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Ведомственные строительные нормы ВСН 51-88</w:t>
        <w:br/>
        <w:t>"Инструкция по уширению автодорожных мостов и путепроводов"</w:t>
        <w:br/>
        <w:t>(утв. Минавтодором РСФСР 26 июля 1988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Вводится впервые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1 июля 1989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35039256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О Концепции улучшения состояния мостовых сооружении на федеральной сети автомобильных дорог России (на период 2002-2010 гг.) см. распоряжение Минтранса РФ от 25 декабря 2002 г. N ИС-1146-р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35039256"/>
      <w:bookmarkStart w:id="2" w:name="sub_35039256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Оценка состояния эксплуатируемого моста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Принципы и схемы уширения мостов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Проектирование уширения мостов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Особенности производства и приемка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Примеры уширения пролетных строений и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Перечень    типовых    проектов       пролетных строений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эксплуатируемых мостов и поперечные сечения балок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Ориентировочная  оценка  несущей   способности   свайных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фундаментов мостов постройки до 1962 г.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3. Методика ускоренной оценки возможности уширения  свайно-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эстакадных опор (методика УО)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4. Методика  определения  увеличения  несущей   способности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висячих  забивных  свай  по   результатам   зондирования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грунтов оснований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5. Методы расчета уширенных пролетных строений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6. Учет длительных деформации при расчете уширенных мостов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7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7. Методика  определения  оптимальных  объемов     работ по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уширению автодорожных мостов и очередности их выполнения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8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8. Перечень нормативных документов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1"/>
      <w:bookmarkEnd w:id="6"/>
      <w:r>
        <w:rPr>
          <w:rFonts w:cs="Arial" w:ascii="Arial" w:hAnsi="Arial"/>
          <w:sz w:val="20"/>
          <w:szCs w:val="20"/>
        </w:rPr>
        <w:t>1.1. Настоящая Инструкция разработана в развитие следующих глав СНиП: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1"/>
      <w:bookmarkEnd w:id="7"/>
      <w:r>
        <w:rPr>
          <w:rFonts w:cs="Arial" w:ascii="Arial" w:hAnsi="Arial"/>
          <w:sz w:val="20"/>
          <w:szCs w:val="20"/>
        </w:rPr>
        <w:t>"Мосты и трубы для проектирования уширяемых мостов";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"Инструкция о составе, порядке разработки, согласования и утверждения проектно-сметной документации на строительство предприятий, зданий и сооружений" для разработки документации на уширение;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"Правила производства и приемки работ" для производства работ по уширению и усилению мостов", а также в дополнение "Указаний по разработке и утверждению технической документации на капитальный ремонт автомобильных дорог" [16] для определения порядка производства проектно-изыскательских работ при уширении и усилении мостов.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Требования Инструкции распространяются на искусственные сооружения с балочными железобетонными и сталежелезобетонными пролетными, строениями длиной до 42 м, расположенные на дорогах общей сети в районах с минимальной температурой наружного воздуха наиболее холодной пятидневки согласно СНиП 2.01.01-82 не ниже минус 45°С и с сейсмичностью, не выше 8 баллов. Характеристики указанных типов пролетных строений изложены в </w:t>
      </w:r>
      <w:hyperlink w:anchor="sub_1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Инструкция предназначена для работников проектно-изыскательских, строительных и эксплуатационных организаций, занимающихся проектированием и реконструкцией (уширением и усилением) мостов и путепроводов на автомобильных дорогах.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2"/>
      <w:bookmarkEnd w:id="8"/>
      <w:r>
        <w:rPr>
          <w:rFonts w:cs="Arial" w:ascii="Arial" w:hAnsi="Arial"/>
          <w:sz w:val="20"/>
          <w:szCs w:val="20"/>
        </w:rPr>
        <w:t>1.2. Инструкция позволяет:</w:t>
      </w:r>
    </w:p>
    <w:p>
      <w:pPr>
        <w:pStyle w:val="Normal"/>
        <w:autoSpaceDE w:val="false"/>
        <w:ind w:firstLine="720"/>
        <w:jc w:val="both"/>
        <w:rPr/>
      </w:pPr>
      <w:bookmarkStart w:id="9" w:name="sub_12"/>
      <w:bookmarkEnd w:id="9"/>
      <w:r>
        <w:rPr>
          <w:rFonts w:cs="Arial" w:ascii="Arial" w:hAnsi="Arial"/>
          <w:sz w:val="20"/>
          <w:szCs w:val="20"/>
        </w:rPr>
        <w:t>определить габарит будущего моста (</w:t>
      </w:r>
      <w:hyperlink w:anchor="sub_4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 4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оценить возможность и целесообразность уширения эксплуатируемого моста по техническому состоянию его элементов (</w:t>
      </w:r>
      <w:hyperlink w:anchor="sub_2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 2</w:t>
        </w:r>
      </w:hyperlink>
      <w:r>
        <w:rPr>
          <w:rFonts w:cs="Arial" w:ascii="Arial" w:hAnsi="Arial"/>
          <w:sz w:val="20"/>
          <w:szCs w:val="20"/>
        </w:rPr>
        <w:t xml:space="preserve"> и приложение 8);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выбрать техническое решение по уширению и усилению моста (</w:t>
      </w:r>
      <w:hyperlink w:anchor="sub_3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 3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запроектировать (рассчитать) сооружение (</w:t>
      </w:r>
      <w:hyperlink w:anchor="sub_4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 4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разработать проект организации работ по уширению (</w:t>
      </w:r>
      <w:hyperlink w:anchor="sub_5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 5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3"/>
      <w:bookmarkEnd w:id="10"/>
      <w:r>
        <w:rPr>
          <w:rFonts w:cs="Arial" w:ascii="Arial" w:hAnsi="Arial"/>
          <w:sz w:val="20"/>
          <w:szCs w:val="20"/>
        </w:rPr>
        <w:t>1.3. Исходными данными для разработки проекта уширения являются: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3"/>
      <w:bookmarkEnd w:id="11"/>
      <w:r>
        <w:rPr>
          <w:rFonts w:cs="Arial" w:ascii="Arial" w:hAnsi="Arial"/>
          <w:sz w:val="20"/>
          <w:szCs w:val="20"/>
        </w:rPr>
        <w:t>результаты обследования, а при необходимости испытания моста с оценкой технического состояния и грузоподъемности сооружения;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материалы инженерно-геологических и гидрологических изысканий;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топографические данные.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наличии документации на мост (проект, исполнительная документация, геологические данные, результаты обследования и испытания, сведения о ремонтах) разработка проекта уширения может осуществляться без дополнительных изысканий. При этом давность материалов обследования не должна превышать двух, а испытания - пяти лет.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4"/>
      <w:bookmarkEnd w:id="12"/>
      <w:r>
        <w:rPr>
          <w:rFonts w:cs="Arial" w:ascii="Arial" w:hAnsi="Arial"/>
          <w:sz w:val="20"/>
          <w:szCs w:val="20"/>
        </w:rPr>
        <w:t>1.4. При разработке проекта уширения моста необходимо максимально использовать существующие конструкции, предусматривая удаление их из состава сооружения лишь в том случае, если доказана невозможность их дальнейшего использования при измененном режиме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4"/>
      <w:bookmarkEnd w:id="13"/>
      <w:r>
        <w:rPr>
          <w:rFonts w:cs="Arial" w:ascii="Arial" w:hAnsi="Arial"/>
          <w:sz w:val="20"/>
          <w:szCs w:val="20"/>
        </w:rPr>
        <w:t>Решение об использовании строительных конструкций и оснований опор существующего постоянного моста принимают в процессе разработки технико-экономических расчетов (ТЭР) реконструкции мостового перехода или ТЭР реконструкции автомобильной дороги, включающей этот мост.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Пригодные по несущей способности и с восстанавливаемой работоспособностью элементы пролетных строений необходимо, как правило, использовать на том же объекте и в том же пролете с минимальным объемом работ по их демонтажу и установке в новое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5"/>
      <w:bookmarkEnd w:id="14"/>
      <w:r>
        <w:rPr>
          <w:rFonts w:cs="Arial" w:ascii="Arial" w:hAnsi="Arial"/>
          <w:sz w:val="20"/>
          <w:szCs w:val="20"/>
        </w:rPr>
        <w:t>1.5. Опоры мостов, расположенные на подрабатываемых территориях, а также с фундаментами, имеющими недопустимые осадки, крены, сдвиги, размывы или другие деформации, могут быть использованы при уширении и усилении мостов только при условии их капитальной перестройки. Как правило, не допускается использовать существующие опоры без их усиления при залегании в основания плывунов, заторфованных и несжимаемых грунтов.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5"/>
      <w:bookmarkStart w:id="16" w:name="sub_16"/>
      <w:bookmarkEnd w:id="15"/>
      <w:bookmarkEnd w:id="16"/>
      <w:r>
        <w:rPr>
          <w:rFonts w:cs="Arial" w:ascii="Arial" w:hAnsi="Arial"/>
          <w:sz w:val="20"/>
          <w:szCs w:val="20"/>
        </w:rPr>
        <w:t>1.6. При выборе технического решения необходимо учитывать состояние сооружения в целом и его отдельных элементов. Следует принимать решения, которые одновременно с увеличением габарита до требуемых размеров позволяют и снизить напряженное состояние в наиболее нагруженных элементах конструкций или повысить (восстановить) грузоподъемность моста. Допускается в отдельных случаях, т.е. при наличии обоснования, восстанавливать грузоподъемность моста лишь до уровня, определенного проектом, который разработан до введения в действие СНиП 2.05.03-84, при уширении малых и средних мостов на дорогах областного и местного значения (до уровня, характеризуемого нагрузкой Н-13 и НГ-60).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16"/>
      <w:bookmarkStart w:id="18" w:name="sub_16"/>
      <w:bookmarkEnd w:id="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" w:name="sub_200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2. Оценка состояния эксплуатируемого моста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" w:name="sub_200"/>
      <w:bookmarkStart w:id="21" w:name="sub_200"/>
      <w:bookmarkEnd w:id="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2" w:name="sub_21"/>
      <w:bookmarkEnd w:id="22"/>
      <w:r>
        <w:rPr>
          <w:rFonts w:cs="Arial" w:ascii="Arial" w:hAnsi="Arial"/>
          <w:sz w:val="20"/>
          <w:szCs w:val="20"/>
        </w:rPr>
        <w:t xml:space="preserve">2.1. При оценке состояния сооружения устанавливают наличие дефектов в нем, определяют несущую способность элементов и грузоподъемность сооружений с учетом повреждений (трещин, коррозии арматуры или металла, или других ослаблений сечения, деформаций связей и т.д.) по специальным методикам </w:t>
      </w:r>
      <w:hyperlink w:anchor="sub_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*(1)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1"/>
      <w:bookmarkEnd w:id="23"/>
      <w:r>
        <w:rPr>
          <w:rFonts w:cs="Arial" w:ascii="Arial" w:hAnsi="Arial"/>
          <w:sz w:val="20"/>
          <w:szCs w:val="20"/>
        </w:rPr>
        <w:t>Для оценки несущей способности, элементов должны быть известны все геометрические размеры и армирование элементов, характеристики материалов (металл, бетон, арматура, грунты). Эти данные принимаются по имеющейся технической документации и, при необходимости, по результатам специальных обследований и изысканий, проводимых перед разработкой проекта.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Обследование выполняют в соответствии с требованиями, изложенными в действующих нормативных документах.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2"/>
      <w:bookmarkEnd w:id="24"/>
      <w:r>
        <w:rPr>
          <w:rFonts w:cs="Arial" w:ascii="Arial" w:hAnsi="Arial"/>
          <w:sz w:val="20"/>
          <w:szCs w:val="20"/>
        </w:rPr>
        <w:t>2.2. Результаты обследования и испытаний (если их проводили) должны быть представлены в виде отчета, содержащего необходимую информацию для разработки ТЭР и последующего проектирования реконструкции объекта, в том числе: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2"/>
      <w:bookmarkEnd w:id="25"/>
      <w:r>
        <w:rPr>
          <w:rFonts w:cs="Arial" w:ascii="Arial" w:hAnsi="Arial"/>
          <w:sz w:val="20"/>
          <w:szCs w:val="20"/>
        </w:rPr>
        <w:t>схемы фактического расположения и размеры элементов сооружения;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ведомость дефектов с соответствующими схемами, фотографиями и объемами соответствующих ремонтных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сведения о размывах и деформациях русла;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прочностные и деформативные характеристики материалов со ссылкой на проектную, исполнительскую документацию или результаты испытания материалов;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ссылки на стандарты, регламентирующие физико-механические характеристики материалов, из которых изготовлены основные несущие элементы;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данные по грузоподъемности всего сооружения на момент обследования (при необходимости);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предложения по использованию существующего сооружения в целом или отдельных его частей при уширении со схемами расположения элементов и объемами основных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сталежелезобетонных пролетных строений оценка состояния должна характеризовать и степень участия железобетонной плиты в совместной работе с главными балками. При необходимости это можно определять по результатам статических испытаний пролетного строения.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3"/>
      <w:bookmarkEnd w:id="26"/>
      <w:r>
        <w:rPr>
          <w:rFonts w:cs="Arial" w:ascii="Arial" w:hAnsi="Arial"/>
          <w:sz w:val="20"/>
          <w:szCs w:val="20"/>
        </w:rPr>
        <w:t>2.3. Обследование конструкций с целью оценки их технического состояния перед разработкой проекта реконструкции производят для надземных элементов. Скрытые элементы обследуют только в случае видимых признаков начала разрушения открытых частей при наличии коррозии бетона подферменной площадки береговой опоры из-за плохой гидроизоляции шкафной стенки и протекания воды через стыки ее элементов; при деформации опор или наличии сведений из документации на мост о низком качестве строительных работ. Однако следует иметь в виду, что вскрытие грунта за шкафной стенкой нежелательно, поскольку исключает возможность учета в расчетах упрочнения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3"/>
      <w:bookmarkEnd w:id="27"/>
      <w:r>
        <w:rPr>
          <w:rFonts w:cs="Arial" w:ascii="Arial" w:hAnsi="Arial"/>
          <w:sz w:val="20"/>
          <w:szCs w:val="20"/>
        </w:rPr>
        <w:t>В русловых опорах проводят подводные обследования с определением фактического состояния конструкций и величин размывов.</w:t>
      </w:r>
    </w:p>
    <w:p>
      <w:pPr>
        <w:pStyle w:val="Normal"/>
        <w:autoSpaceDE w:val="false"/>
        <w:ind w:firstLine="720"/>
        <w:jc w:val="both"/>
        <w:rPr/>
      </w:pPr>
      <w:bookmarkStart w:id="28" w:name="sub_24"/>
      <w:bookmarkEnd w:id="28"/>
      <w:r>
        <w:rPr>
          <w:rFonts w:cs="Arial" w:ascii="Arial" w:hAnsi="Arial"/>
          <w:sz w:val="20"/>
          <w:szCs w:val="20"/>
        </w:rPr>
        <w:t xml:space="preserve">2.4. Грузоподъемность железобетонных балочных пролетных строений эксплуатируемого моста определяют в соответствии с требованиями ВСН 32-78 </w:t>
      </w:r>
      <w:hyperlink w:anchor="sub_8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[1]</w:t>
        </w:r>
      </w:hyperlink>
      <w:r>
        <w:rPr>
          <w:rFonts w:cs="Arial" w:ascii="Arial" w:hAnsi="Arial"/>
          <w:sz w:val="20"/>
          <w:szCs w:val="20"/>
        </w:rPr>
        <w:t xml:space="preserve">, а сталежелезобетонных пролетных строений по Инструкции </w:t>
      </w:r>
      <w:hyperlink w:anchor="sub_8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[4]</w:t>
        </w:r>
      </w:hyperlink>
      <w:r>
        <w:rPr>
          <w:rFonts w:cs="Arial" w:ascii="Arial" w:hAnsi="Arial"/>
          <w:sz w:val="20"/>
          <w:szCs w:val="20"/>
        </w:rPr>
        <w:t xml:space="preserve"> путем пересчета конструкций современными методами, учитывающими пространственную работу сооружения и неупругие деформации (в необходимых случаях).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4"/>
      <w:bookmarkEnd w:id="29"/>
      <w:r>
        <w:rPr>
          <w:rFonts w:cs="Arial" w:ascii="Arial" w:hAnsi="Arial"/>
          <w:sz w:val="20"/>
          <w:szCs w:val="20"/>
        </w:rPr>
        <w:t>Допускается устанавливать грузоподъемность пролетных строений по результатам специальных испытаний, фиксирующих фактические деформации в арматуре растянутой зоны и хомутах, бетоне сжатой зоны, бетоне элементов, испытывающих крутильные деформации, а также фиксирующих раскрытие силовых трещин. Усилия определяют только в основных расчетных сечениях элементов и сечениях с дефектами, снижающими несущую способность.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5"/>
      <w:bookmarkEnd w:id="30"/>
      <w:r>
        <w:rPr>
          <w:rFonts w:cs="Arial" w:ascii="Arial" w:hAnsi="Arial"/>
          <w:sz w:val="20"/>
          <w:szCs w:val="20"/>
        </w:rPr>
        <w:t>2.5. При оценке жесткости диафрагм учитывают наличие трещин в диафрагмах, состояние мест приварки накладок, несовпадение полудиафрагмы в плане.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5"/>
      <w:bookmarkEnd w:id="31"/>
      <w:r>
        <w:rPr>
          <w:rFonts w:cs="Arial" w:ascii="Arial" w:hAnsi="Arial"/>
          <w:sz w:val="20"/>
          <w:szCs w:val="20"/>
        </w:rPr>
        <w:t>При смещении полудиафрагм в плане до 15 мм изменение поперечной жесткости можно не принимать в расчет. При большем смещении полудиафрагм и наличии дефектов в сварных швах накладок степень снижения поперечной жесткости принимают пропорционально степени снижения несущей способности объединения или устанавливают экспериментальным путем по результатам испытаний моста.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смещении полудиафрагм свыше 50 мм, отрыве накладок и повреждениях в сварных швах распределение нагрузок между балками пролетных строений определяют в предположении шарнирного объединения сборных балок в уровне плиты проезжей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Фактическая жесткость балок пролетных строений может быть определена как теоретически, так и по результатам статических или динамических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6"/>
      <w:bookmarkEnd w:id="32"/>
      <w:r>
        <w:rPr>
          <w:rFonts w:cs="Arial" w:ascii="Arial" w:hAnsi="Arial"/>
          <w:sz w:val="20"/>
          <w:szCs w:val="20"/>
        </w:rPr>
        <w:t>2.6. При оценке несущей способности элементов пролетных строений сечение арматуры принимают с учетом ослабления металла коррозией. Внешним признаком коррозии арматуры является наличие трещины вдоль нее в защитном слое бетона. Фактическое сечение арматуры определяют по результатам замеров на полностью оголенной арматуре на каком-либо участке или на арматуре, оголенной с одной стороны. При этом, если не представляется возможным замерить фактический диаметр неповрежденной арматуры, его определяют по толщине коррозии, принимая, что наличие окислов толщиной 5 мм соответствует повреждению металла на глубину 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6"/>
      <w:bookmarkEnd w:id="33"/>
      <w:r>
        <w:rPr>
          <w:rFonts w:cs="Arial" w:ascii="Arial" w:hAnsi="Arial"/>
          <w:sz w:val="20"/>
          <w:szCs w:val="20"/>
        </w:rPr>
        <w:t>В отдельных случаях (для тротуаров, консолей балок, диафрагм, стоек опор) степень повреждения арматуры коррозией определяют приближенно по раскрытию трещин и продолжительности эксплуатации сооружения (см. п.2.6 ВСН 32-78). Коррозию предварительно напрягаемой арматуры устанавливают после вскрытия пучка на участке с наиболее сильными протечками и следами коррозии.</w:t>
      </w:r>
    </w:p>
    <w:p>
      <w:pPr>
        <w:pStyle w:val="Normal"/>
        <w:autoSpaceDE w:val="false"/>
        <w:ind w:firstLine="720"/>
        <w:jc w:val="both"/>
        <w:rPr/>
      </w:pPr>
      <w:bookmarkStart w:id="34" w:name="sub_27"/>
      <w:bookmarkEnd w:id="34"/>
      <w:r>
        <w:rPr>
          <w:rFonts w:cs="Arial" w:ascii="Arial" w:hAnsi="Arial"/>
          <w:sz w:val="20"/>
          <w:szCs w:val="20"/>
        </w:rPr>
        <w:t xml:space="preserve">2.7. Грузоподъемность сталежелезобетонных пролетных строений определяют путем пересчета в соответствии с требованиями </w:t>
      </w:r>
      <w:hyperlink w:anchor="sub_8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[4]</w:t>
        </w:r>
      </w:hyperlink>
      <w:r>
        <w:rPr>
          <w:rFonts w:cs="Arial" w:ascii="Arial" w:hAnsi="Arial"/>
          <w:sz w:val="20"/>
          <w:szCs w:val="20"/>
        </w:rPr>
        <w:t xml:space="preserve"> конструкции методами, учитывающими пространственную и совместную работу отдельных элементов, а также с учетом фактического состояния самих несущих элементов и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7"/>
      <w:bookmarkEnd w:id="35"/>
      <w:r>
        <w:rPr>
          <w:rFonts w:cs="Arial" w:ascii="Arial" w:hAnsi="Arial"/>
          <w:sz w:val="20"/>
          <w:szCs w:val="20"/>
        </w:rPr>
        <w:t>Расчетные характеристики материалов (металл, бетон, арматурная сталь) определяют испытаниями или принимают по данным проектной документации (со своими коэффициентами надежности), а при отсутствии документации - по нормам или ГОСТам, действовавшим на момент изготовления пролетных строений.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8"/>
      <w:bookmarkEnd w:id="36"/>
      <w:r>
        <w:rPr>
          <w:rFonts w:cs="Arial" w:ascii="Arial" w:hAnsi="Arial"/>
          <w:sz w:val="20"/>
          <w:szCs w:val="20"/>
        </w:rPr>
        <w:t>2.8. Несущую способность основания опор как показателя состояния сооружения, предусмотренного к уширению, определяют с учетом увеличения несущей способности по грунту за период эксплуатации сооружения. При этом срок эксплуатации сооружения должен быть не менее 5 лет. При меньшем сроке увеличение несущей способности не учитывают. Практически не учитывают увеличения несущей способности свай-стоек или однорядных свайных опор.</w:t>
      </w:r>
    </w:p>
    <w:p>
      <w:pPr>
        <w:pStyle w:val="Normal"/>
        <w:autoSpaceDE w:val="false"/>
        <w:ind w:firstLine="720"/>
        <w:jc w:val="both"/>
        <w:rPr/>
      </w:pPr>
      <w:bookmarkStart w:id="37" w:name="sub_28"/>
      <w:bookmarkEnd w:id="37"/>
      <w:r>
        <w:rPr>
          <w:rFonts w:cs="Arial" w:ascii="Arial" w:hAnsi="Arial"/>
          <w:sz w:val="20"/>
          <w:szCs w:val="20"/>
        </w:rPr>
        <w:t xml:space="preserve">Несущую способность оснований на стадии ТЭР определяют с целью установить возможность уширения опор, не затрагивая основания и фундаментов. В случаях, когда уширения фундаментов избежать нельзя, предварительные расчеты не выполняют, а несущую способность уширенной опоры проверяют на стадии разработки проекта в соответствии с требованиями СНиП 2.05.03-84 и </w:t>
      </w:r>
      <w:hyperlink w:anchor="sub_4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раздела 4</w:t>
        </w:r>
      </w:hyperlink>
      <w:r>
        <w:rPr>
          <w:rFonts w:cs="Arial" w:ascii="Arial" w:hAnsi="Arial"/>
          <w:sz w:val="20"/>
          <w:szCs w:val="20"/>
        </w:rPr>
        <w:t xml:space="preserve"> настоящей Инструкции.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9"/>
      <w:bookmarkEnd w:id="38"/>
      <w:r>
        <w:rPr>
          <w:rFonts w:cs="Arial" w:ascii="Arial" w:hAnsi="Arial"/>
          <w:sz w:val="20"/>
          <w:szCs w:val="20"/>
        </w:rPr>
        <w:t>2.9. Допускается без предварительных расчетов принять, что возможно использование массивных опор автодорожных мостов постройки до 1962 г. без уширения фундамента, при условиях: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9"/>
      <w:bookmarkEnd w:id="39"/>
      <w:r>
        <w:rPr>
          <w:rFonts w:cs="Arial" w:ascii="Arial" w:hAnsi="Arial"/>
          <w:sz w:val="20"/>
          <w:szCs w:val="20"/>
        </w:rPr>
        <w:t>в существующей опоре фундаменты мелкого заложения на глубину более 2 м и свайные фундаменты с длиной свай свыше 7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основаниях глинистые грунты с показателем текучести I_A &lt;= 0,4, крупные и средние пески;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опора требует уширения на величину до 2 м с каждой стороны.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свайных фундаментов массивных опор с иными грунтами и иной длиной свай несущая способность может быть оценена с использованием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приложения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мостов постройки после 1962 г. возможность использования при уширении свайно-эстакадных опор, не затрагивая фундаментов, определяется по данным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приложения 3</w:t>
        </w:r>
      </w:hyperlink>
      <w:r>
        <w:rPr>
          <w:rFonts w:cs="Arial" w:ascii="Arial" w:hAnsi="Arial"/>
          <w:sz w:val="20"/>
          <w:szCs w:val="20"/>
        </w:rPr>
        <w:t>, справедливого при условии симметричного уширения от 1 до 3 м.</w:t>
      </w:r>
    </w:p>
    <w:p>
      <w:pPr>
        <w:pStyle w:val="Normal"/>
        <w:autoSpaceDE w:val="false"/>
        <w:ind w:firstLine="720"/>
        <w:jc w:val="both"/>
        <w:rPr/>
      </w:pPr>
      <w:bookmarkStart w:id="40" w:name="sub_210"/>
      <w:bookmarkEnd w:id="40"/>
      <w:r>
        <w:rPr>
          <w:rFonts w:cs="Arial" w:ascii="Arial" w:hAnsi="Arial"/>
          <w:sz w:val="20"/>
          <w:szCs w:val="20"/>
        </w:rPr>
        <w:t xml:space="preserve">2.10. В случаях, когда состояние опор вызывает опасение, исполнительская документация отсутствует или имеются сведения о нарушении технологии работ при строительстве фундаментов, а также при необходимости более точного определения несущей способности по грунту в сложных условиях реконструкции, следует использовать метод динамического зондирования грунтов основания (см.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210"/>
      <w:bookmarkStart w:id="42" w:name="sub_210"/>
      <w:bookmarkEnd w:id="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" w:name="sub_300"/>
      <w:bookmarkEnd w:id="43"/>
      <w:r>
        <w:rPr>
          <w:rFonts w:cs="Arial" w:ascii="Arial" w:hAnsi="Arial"/>
          <w:b/>
          <w:bCs/>
          <w:color w:val="000080"/>
          <w:sz w:val="20"/>
          <w:szCs w:val="20"/>
        </w:rPr>
        <w:t>3. Принципы и схемы уширения мостов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4" w:name="sub_300"/>
      <w:bookmarkStart w:id="45" w:name="sub_300"/>
      <w:bookmarkEnd w:id="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Схемы уширения железобетонных пролетных строений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Схемы уширения сталежелезобетонных пролетных строений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Схемы уширения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" w:name="sub_301"/>
      <w:bookmarkEnd w:id="46"/>
      <w:r>
        <w:rPr>
          <w:rFonts w:cs="Arial" w:ascii="Arial" w:hAnsi="Arial"/>
          <w:b/>
          <w:bCs/>
          <w:color w:val="000080"/>
          <w:sz w:val="20"/>
          <w:szCs w:val="20"/>
        </w:rPr>
        <w:t>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" w:name="sub_301"/>
      <w:bookmarkStart w:id="48" w:name="sub_301"/>
      <w:bookmarkEnd w:id="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31"/>
      <w:bookmarkEnd w:id="49"/>
      <w:r>
        <w:rPr>
          <w:rFonts w:cs="Arial" w:ascii="Arial" w:hAnsi="Arial"/>
          <w:sz w:val="20"/>
          <w:szCs w:val="20"/>
        </w:rPr>
        <w:t>3.1. Возможны следующие принципиальные методы уширения: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31"/>
      <w:bookmarkStart w:id="51" w:name="sub_3102"/>
      <w:bookmarkEnd w:id="50"/>
      <w:bookmarkEnd w:id="51"/>
      <w:r>
        <w:rPr>
          <w:rFonts w:cs="Arial" w:ascii="Arial" w:hAnsi="Arial"/>
          <w:sz w:val="20"/>
          <w:szCs w:val="20"/>
        </w:rPr>
        <w:t>увеличение ширины тротуаров с добетонированием консолей или применением сборных тротуарных плит, обеспечивающих увеличение пешеходного габарита; смещение тротуарных блоков или их удаление, смещение тротуарных блоков с добетонированием консолей плит (группа 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3102"/>
      <w:bookmarkStart w:id="53" w:name="sub_3103"/>
      <w:bookmarkEnd w:id="52"/>
      <w:bookmarkEnd w:id="53"/>
      <w:r>
        <w:rPr>
          <w:rFonts w:cs="Arial" w:ascii="Arial" w:hAnsi="Arial"/>
          <w:sz w:val="20"/>
          <w:szCs w:val="20"/>
        </w:rPr>
        <w:t>устройство монолитной (сборно-монолитной, сборной) накладной плиты, включенной в совместную работу с главными балками, с увеличенными консолями (группа Б);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103"/>
      <w:bookmarkStart w:id="55" w:name="sub_3104"/>
      <w:bookmarkEnd w:id="54"/>
      <w:bookmarkEnd w:id="55"/>
      <w:r>
        <w:rPr>
          <w:rFonts w:cs="Arial" w:ascii="Arial" w:hAnsi="Arial"/>
          <w:sz w:val="20"/>
          <w:szCs w:val="20"/>
        </w:rPr>
        <w:t>пристройка балок пролетных строений в одну или две стороны (симметрично или несимметрично) с уширением: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3104"/>
      <w:bookmarkStart w:id="57" w:name="sub_31041"/>
      <w:bookmarkEnd w:id="56"/>
      <w:bookmarkEnd w:id="57"/>
      <w:r>
        <w:rPr>
          <w:rFonts w:cs="Arial" w:ascii="Arial" w:hAnsi="Arial"/>
          <w:sz w:val="20"/>
          <w:szCs w:val="20"/>
        </w:rPr>
        <w:t>а) только ригеля (группа В),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1041"/>
      <w:bookmarkStart w:id="59" w:name="sub_31042"/>
      <w:bookmarkEnd w:id="58"/>
      <w:bookmarkEnd w:id="59"/>
      <w:r>
        <w:rPr>
          <w:rFonts w:cs="Arial" w:ascii="Arial" w:hAnsi="Arial"/>
          <w:sz w:val="20"/>
          <w:szCs w:val="20"/>
        </w:rPr>
        <w:t>б) ригеля и тела опоры (группа Г),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31042"/>
      <w:bookmarkStart w:id="61" w:name="sub_31043"/>
      <w:bookmarkEnd w:id="60"/>
      <w:bookmarkEnd w:id="61"/>
      <w:r>
        <w:rPr>
          <w:rFonts w:cs="Arial" w:ascii="Arial" w:hAnsi="Arial"/>
          <w:sz w:val="20"/>
          <w:szCs w:val="20"/>
        </w:rPr>
        <w:t>в) всей опоры, в том числе и фундаментной части (группа Д);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31043"/>
      <w:bookmarkStart w:id="63" w:name="sub_3105"/>
      <w:bookmarkEnd w:id="62"/>
      <w:bookmarkEnd w:id="63"/>
      <w:r>
        <w:rPr>
          <w:rFonts w:cs="Arial" w:ascii="Arial" w:hAnsi="Arial"/>
          <w:sz w:val="20"/>
          <w:szCs w:val="20"/>
        </w:rPr>
        <w:t>комбинированный метод из перечисленных выше (группа 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3105"/>
      <w:bookmarkStart w:id="65" w:name="sub_32"/>
      <w:bookmarkEnd w:id="64"/>
      <w:bookmarkEnd w:id="65"/>
      <w:r>
        <w:rPr>
          <w:rFonts w:cs="Arial" w:ascii="Arial" w:hAnsi="Arial"/>
          <w:sz w:val="20"/>
          <w:szCs w:val="20"/>
        </w:rPr>
        <w:t>3.2. При уширении путем добавления элементов пролетных строений следует использовать элементы конструкций, выпускаемые предприятиями мостостроительной индустрии, и товарный стальной прокат. При необходимости уширения пролетных строений, длина которых отлична от унифицированных размеров, выпускаемых заводами и полигонами железобетонных балок и плит, следует предусматривать изготовление элементов уширения в существующих опалубках и формах с изменением длины.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32"/>
      <w:bookmarkEnd w:id="66"/>
      <w:r>
        <w:rPr>
          <w:rFonts w:cs="Arial" w:ascii="Arial" w:hAnsi="Arial"/>
          <w:sz w:val="20"/>
          <w:szCs w:val="20"/>
        </w:rPr>
        <w:t>В отдельных случаях допускается уширение с использованием современных конструкций пролетных строений без изменения их длины. При этом смещение в плане между новым и старым пролетным строением (ступенька) на устое не должно превышать 1 м, а длина моста - 50 м. В мостах большей длины ступенька в уровне плиты проезжей части не допускается (из условия работы деформационных швов).</w:t>
      </w:r>
    </w:p>
    <w:p>
      <w:pPr>
        <w:pStyle w:val="Normal"/>
        <w:autoSpaceDE w:val="false"/>
        <w:ind w:firstLine="720"/>
        <w:jc w:val="both"/>
        <w:rPr/>
      </w:pPr>
      <w:bookmarkStart w:id="67" w:name="sub_33"/>
      <w:bookmarkEnd w:id="67"/>
      <w:r>
        <w:rPr>
          <w:rFonts w:cs="Arial" w:ascii="Arial" w:hAnsi="Arial"/>
          <w:sz w:val="20"/>
          <w:szCs w:val="20"/>
        </w:rPr>
        <w:t xml:space="preserve">3.3. При уширении по </w:t>
      </w:r>
      <w:hyperlink w:anchor="sub_310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группам В-Е</w:t>
        </w:r>
      </w:hyperlink>
      <w:r>
        <w:rPr>
          <w:rFonts w:cs="Arial" w:ascii="Arial" w:hAnsi="Arial"/>
          <w:sz w:val="20"/>
          <w:szCs w:val="20"/>
        </w:rPr>
        <w:t xml:space="preserve"> используют следующие конструкции: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33"/>
      <w:bookmarkEnd w:id="68"/>
      <w:r>
        <w:rPr>
          <w:rFonts w:cs="Arial" w:ascii="Arial" w:hAnsi="Arial"/>
          <w:sz w:val="20"/>
          <w:szCs w:val="20"/>
        </w:rPr>
        <w:t>балки пролетных строений с каркасной арматурой (типовой проект 710/5) - при уширении ребристых пролетных строений с диафрагмами и без диафрагм длиной до 16,76 м (типовые проекты, инв. N 10, 11, 56, 56Д и 710/5);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балки пролетных строений ребристо-плитных конструкций (типовой проект вып.856) - при уширении монолитных ребристых, балочных, балочно-консольных и рамно-консольных мостов, а также ребристых сборных пролетных строений с пролетами до 15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балки преднапряженные по типовому проекту 384/46 - при уширении ребристых пролетных строений балочных систем с пролетами свыше 15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плиты пустотные преднапряженные (типовой проект 384/43) - при уширении ребристых диафрагменных каркасных (типовой проект 56) и преднапряженных (типовой проект 384/26), а также плитных пролетных строений и сталежелезобетонных пролетных строений с прокатными балками;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стальной прокатный профиль (например, I N 55) или двутавровые широкополочные стальные балки - при уширении сталежелезобетонных пролетных строений с прокатными балками.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302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Схемы уширения железобетонных пролетных строений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302"/>
      <w:bookmarkStart w:id="71" w:name="sub_302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72" w:name="sub_34"/>
      <w:bookmarkEnd w:id="72"/>
      <w:r>
        <w:rPr>
          <w:rFonts w:cs="Arial" w:ascii="Arial" w:hAnsi="Arial"/>
          <w:sz w:val="20"/>
          <w:szCs w:val="20"/>
        </w:rPr>
        <w:t xml:space="preserve">3.4. Схемы увеличения пешеходного габарита с целью повышения пропускной способности тротуаров (схемы уширения по </w:t>
      </w:r>
      <w:hyperlink w:anchor="sub_3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группе А</w:t>
        </w:r>
      </w:hyperlink>
      <w:r>
        <w:rPr>
          <w:rFonts w:cs="Arial" w:ascii="Arial" w:hAnsi="Arial"/>
          <w:sz w:val="20"/>
          <w:szCs w:val="20"/>
        </w:rPr>
        <w:t>) предусматривают замену существующих тротуарных блоков. Применяемые типовые конструкции тротуарных блоков (1,0 м или 1,5 м взамен 0,5; 0,75 или 1,0 м) закрепляют на крайних балках пролетного строения или поддерживают специальными конструкциями (кронштейнами, подкосами, ребрами жесткости).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34"/>
      <w:bookmarkEnd w:id="73"/>
      <w:r>
        <w:rPr>
          <w:rFonts w:cs="Arial" w:ascii="Arial" w:hAnsi="Arial"/>
          <w:sz w:val="20"/>
          <w:szCs w:val="20"/>
        </w:rPr>
        <w:t>При неудовлетворительном состоянии консолей крайних плит замена тротуарных блоков должна сопровождаться удалением существующих консолей и добетонированием новых (с устройством кронштейнов, подкосов, ребер жесткости). Схемы с подкосами применяют в конструкциях с плитой, армированной в двух уровнях.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Возможные схемы увеличения пешеходного габарита приведены на </w:t>
      </w:r>
      <w:hyperlink w:anchor="sub_100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рис.3.1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Схемы уширения, предусматривающие смещение тротуарных блоков или их удаление, могут быть применены при увеличении габарита на 0,5-1,5 м (</w:t>
      </w:r>
      <w:hyperlink w:anchor="sub_100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рис.3.2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74" w:name="sub_35"/>
      <w:bookmarkEnd w:id="74"/>
      <w:r>
        <w:rPr>
          <w:rFonts w:cs="Arial" w:ascii="Arial" w:hAnsi="Arial"/>
          <w:sz w:val="20"/>
          <w:szCs w:val="20"/>
        </w:rPr>
        <w:t>3.5. Уширение за счет монолитной накладной плиты (</w:t>
      </w:r>
      <w:hyperlink w:anchor="sub_3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группа Б</w:t>
        </w:r>
      </w:hyperlink>
      <w:r>
        <w:rPr>
          <w:rFonts w:cs="Arial" w:ascii="Arial" w:hAnsi="Arial"/>
          <w:sz w:val="20"/>
          <w:szCs w:val="20"/>
        </w:rPr>
        <w:t>), не требующее добавления балок, применяют, как правило, при увеличении габарита на 1,0-3,0 м в пролетных строениях до 18 м, а в отдельных случаях и более. При этом предусматривают удаление всех элементов мостового полотна (тротуаров, слоев одежды и др.) и обеспечение совместной работы плиты и эксплуатируемых пролетных строений.</w:t>
      </w:r>
    </w:p>
    <w:p>
      <w:pPr>
        <w:pStyle w:val="Normal"/>
        <w:autoSpaceDE w:val="false"/>
        <w:ind w:firstLine="720"/>
        <w:jc w:val="both"/>
        <w:rPr/>
      </w:pPr>
      <w:bookmarkStart w:id="75" w:name="sub_35"/>
      <w:bookmarkEnd w:id="75"/>
      <w:r>
        <w:rPr>
          <w:rFonts w:cs="Arial" w:ascii="Arial" w:hAnsi="Arial"/>
          <w:sz w:val="20"/>
          <w:szCs w:val="20"/>
        </w:rPr>
        <w:t xml:space="preserve">Возможные схемы уширения по группе Б приведены на </w:t>
      </w:r>
      <w:hyperlink w:anchor="sub_100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рис.3.3</w:t>
        </w:r>
      </w:hyperlink>
      <w:r>
        <w:rPr>
          <w:rFonts w:cs="Arial" w:ascii="Arial" w:hAnsi="Arial"/>
          <w:sz w:val="20"/>
          <w:szCs w:val="20"/>
        </w:rPr>
        <w:t xml:space="preserve">. При выборе схем на стадии вариантного проектирования учитывают область рационального применения, оговоренную выше и в </w:t>
      </w:r>
      <w:hyperlink w:anchor="sub_9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табл.3.1</w:t>
        </w:r>
      </w:hyperlink>
      <w:r>
        <w:rPr>
          <w:rFonts w:cs="Arial" w:ascii="Arial" w:hAnsi="Arial"/>
          <w:sz w:val="20"/>
          <w:szCs w:val="20"/>
        </w:rPr>
        <w:t>, а также реальную степень повышения класса элементов по грузоподъемности, показанную в табл.3.1.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6" w:name="sub_931"/>
      <w:bookmarkEnd w:id="76"/>
      <w:r>
        <w:rPr>
          <w:rFonts w:cs="Arial" w:ascii="Arial" w:hAnsi="Arial"/>
          <w:b/>
          <w:bCs/>
          <w:color w:val="000080"/>
          <w:sz w:val="20"/>
          <w:szCs w:val="20"/>
        </w:rPr>
        <w:t>Таблица 3.1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931"/>
      <w:bookmarkStart w:id="78" w:name="sub_931"/>
      <w:bookmarkEnd w:id="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┌─────────┬──────────────┬────────────┬───────┬─────────────────────────────┐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Схема по │ Существующий │   Новый    │ Длина │      Повышение класса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0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рис.3.3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габарит    │  габарит   │пролет-│грузоподъемности %, для балок│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├──────┬───────┬──────┬───────┤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строе- │ N 1  │  N 2  │ N 3  │  N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ния, м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├─────────┼──────────────┼────────────┼───────┼──────┼───────┼──────┼───────┤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Г-7+2х0,75  │ Г-8+2х0,75 │  9,0  │  25  │  30   │  35  │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12,0  │  20  │  26   │  32  │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Г-7+2х0,75  │ Г-8+2х0,75 │ 15,0  │  15  │  20   │  25  │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18,0  │  10  │  18   │  23  │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Г-8+2х0,75  │Г-9,5+2х1,0 │  9,0  │  20  │  26   │  35  │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12,0  │  15  │  22   │  32  │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15,0  │  10  │  15   │  25  │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18,0  │  5   │  13   │  23  │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    │  Г-7+2х0,5   │ Г-8+2х0,75 │ 11,36 │  15  │  25   │  30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(проект N 56) │            │ 14,06 │  15  │  25   │  30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16,76 │  10  │  20   │  25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Г-8+2х0,75  │Г-9,5+2х1,0 │ 11,36 │  15  │  25   │  30  │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(ТП N 56)   │            │ 14,06 │  10  │  20   │  25  │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16,76 │  5   │  15   │  25  │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│  Г,8+2х0,75  │ Г-10+2х1,0 │ 11,36 │  10  │  15   │  20  │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(проект N 56) │            │ 14,06 │  5   │  15   │  20  │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16,76 │  0   │  10   │  15  │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Г-9+2х1,0   │  Г-11,5 +  │ 11,36 │  5   │  15   │  20  │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2х1,5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14,06 │  0   │  10   │  15  │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    │  Г-8+2х0,75  │ Г-10+2х1,0 │ 16,76 │  15  │  25   │  30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(ТП 122,   │            │ 22,16 │  10  │  20   │  25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ВТП-16_)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Г-8+2х0,75  │  Г-11,5 +  │ 16,76 │  5   │  15   │  25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2х1,5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Г-6+2х0,50  │ Г-8+2х1,0  │ 8,66  │  30  │  35   │  40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(рис.3.3-│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2)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11,36 │  30  │  35   │  40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14,06 │  25  │  30   │  35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    │  Г-7+2х0,75  │ Г-9+2х1,0  │ 8,66  │  35  │  40   │  45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(рис.3.3-│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2)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16,76 │  30  │  35   │  40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Г-10+2х1,0 │ 8,66  │  30  │  35   │  40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16,76 │  20  │  25   │  30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Г-8+2х1,0   │ Г-10+2х1,0 │ 8,66  │  35  │  40   │  45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16,76 │  25  │  30   │  35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│  Г-8+2х1,0   │  Г-11,5 +  │ 8,66  │  35  │  40   │  45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(рис.3.3-│              │   2х1,5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2)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11,36 │  35  │  40   │  45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14,06 │  30  │  35   │  40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└─────────┴──────────────┴────────────┴───────┴──────┴───────┴──────┴───────┘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Степень повышения класса грузоподъемности подсчитана по изгибающему моменту в середине пролета, она показывает примерную возможность схем уширения по </w:t>
      </w:r>
      <w:hyperlink w:anchor="sub_100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рис.3.3</w:t>
        </w:r>
      </w:hyperlink>
      <w:r>
        <w:rPr>
          <w:rFonts w:cs="Arial" w:ascii="Arial" w:hAnsi="Arial"/>
          <w:sz w:val="20"/>
          <w:szCs w:val="20"/>
        </w:rPr>
        <w:t xml:space="preserve">. </w:t>
      </w:r>
      <w:hyperlink w:anchor="sub_9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Табл.3.1</w:t>
        </w:r>
      </w:hyperlink>
      <w:r>
        <w:rPr>
          <w:rFonts w:cs="Arial" w:ascii="Arial" w:hAnsi="Arial"/>
          <w:sz w:val="20"/>
          <w:szCs w:val="20"/>
        </w:rPr>
        <w:t>, как и последующие таблицы этого раздела, дана в качестве примера при выборе технического решения.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79" w:name="sub_36"/>
      <w:bookmarkEnd w:id="79"/>
      <w:r>
        <w:rPr>
          <w:rFonts w:cs="Arial" w:ascii="Arial" w:hAnsi="Arial"/>
          <w:sz w:val="20"/>
          <w:szCs w:val="20"/>
        </w:rPr>
        <w:t>3.6. Схемы уширения с помощью ребристой накладной плиты (в сборном или сборно-монолитном вариантах), а также не требующие уширения опор, применяют при увеличении габарита в основном на 2-5 м (а в отдельных случаях, при достаточном технико-экономическом обосновании - и более) в мостах с пролетами до 18 м и с пролетными строениями как разрезных, так и неразрезных систем (</w:t>
      </w:r>
      <w:hyperlink w:anchor="sub_100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рис.3.4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36"/>
      <w:bookmarkEnd w:id="80"/>
      <w:r>
        <w:rPr>
          <w:rFonts w:cs="Arial" w:ascii="Arial" w:hAnsi="Arial"/>
          <w:sz w:val="20"/>
          <w:szCs w:val="20"/>
        </w:rPr>
        <w:t>Расположенные поперек пролетного строения вертикальные ребра плит с заключенными между ними армированными швами замоноличивания выполняют роль дополнительных диафрагм, увеличивая поперечную жесткость пролетного строения, а также подкрепляют свесы консолей, что позволяет существенно увеличить их вылет.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Уширение ребристой накладной плитой наиболее целесообразно в условиях, когда иные способы затруднены (например, при высоких опорах) и когда требуется существенное увеличение грузоподъемности существующего пролетного строения.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424170" cy="56102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bookmarkStart w:id="81" w:name="sub_10031"/>
      <w:bookmarkEnd w:id="81"/>
      <w:r>
        <w:rPr>
          <w:rFonts w:cs="Arial" w:ascii="Arial" w:hAnsi="Arial"/>
          <w:sz w:val="20"/>
          <w:szCs w:val="20"/>
        </w:rPr>
        <w:t>"Рис.3.1. Схемы увеличения ширины тротуаров (группа А)"</w:t>
      </w:r>
    </w:p>
    <w:sectPr>
      <w:type w:val="nextPage"/>
      <w:pgSz w:w="11906" w:h="16838"/>
      <w:pgMar w:left="850" w:right="284" w:header="0" w:top="567" w:footer="0" w:bottom="56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2006-11-27T21:58:00Z</dcterms:created>
  <dc:creator>Виктор</dc:creator>
  <dc:description/>
  <dc:language>ru-RU</dc:language>
  <cp:lastModifiedBy>Виктор</cp:lastModifiedBy>
  <dcterms:modified xsi:type="dcterms:W3CDTF">2006-11-27T21:59:00Z</dcterms:modified>
  <cp:revision>2</cp:revision>
  <dc:subject/>
  <dc:title/>
</cp:coreProperties>
</file>