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Свод правил по проектированию и строительству</w:t>
        <w:br/>
        <w:t>СП 40-106-2002</w:t>
        <w:br/>
        <w:t>"Проектирование и монтаж подземных трубопроводов водоснабжения</w:t>
        <w:br/>
        <w:t>с использованием труб из высокопрочного чугуна с шаровидным графитом"</w:t>
        <w:br/>
        <w:t>(утв. постановлением Госстроя РФ от 4 июня 2002 г. N 34)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Design and erection of underground pipelines for water supply usingof high-strength globular graphite cast iron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августа 2002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Введение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Проектирование  трубопроводов  из  труб   из  высокопрочного  чугуна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шаровидным графитом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Монтаж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Номограммы   для  приближенного  гидравлического  расчета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водопроводов    из    труб   из   высокопрочного   чугуна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шаровидным графитом по ТУ 1461-037-50254094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Б. Номограммы   для  приближенного  гидравлического  расчета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водопроводов    из    труб   из   высокопрочного   чугуна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шаровидным графитом по ТУ 14-161-183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В. Номограмма для выбора опорной площади упоров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999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Введение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999"/>
      <w:bookmarkStart w:id="2" w:name="sub_999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Свод правил содержит указания по проектированию и монтажу подземных трубопроводов водоснабжения с использованием труб из высокопрочного чугуна с шаровидным графитом. Выполнение этих указаний обеспечит соблюдение обязательных требований к наружным системам водоснабжения, установленных действующими СНиП 2.04.02-84* "Водоснабжение. Наружные сети и сооружения" и СНиП 3.05.04-85* "Наружные сети и сооружения водоснабжения и канализации".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Своде правил рассмотрены вопросы, касающиеся применения труб из высокопрочного чугуна с шаровидным графитом, изготовляемых, например, ОАО "Синарский трубный завод" и ОАО "Липецкий металлургический завод "Свободный Сокол". Приведены основные показатели труб, соединительных частей и способы их соединения, рассмотрены правила хранения труб, вопросы монтажа и испытания трубопроводов, а также техники безопасности при их монтаже. Приведены методики гидравлического расчета трубопроводов водоснабжения, а также выбора типоразмеров труб для напорных трубопроводов при подземной прокладке в грунте с учетом требований прочности, предъявляемых к водопроводным сетям.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разработке Свода правил принимали участие: канд. техн. наук А.В.Сладков, канд. техн. наук А.А.Отставнов (ГУП "НИИМосстрой"), В.А.Глухарев, В.П.Бовбель (Госстрой России), канд. техн. наук С.Н.Нерсесов, Л.С.Васильева (ФГУП ЦНС).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Свод правил распространяется на проектирование и монтаж подземных трубопроводов хозяйственно-питьевого водоснабжения с использованием труб из высокопрочного чугуна с шаровидным графитом (далее - труб ВЧШГ) с максимальным давлением воды до 1,6 МПа.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2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200"/>
      <w:bookmarkStart w:id="8" w:name="sub_2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Своде правил приведены ссылки на следующие нормативные документы: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12.1.004-91 ССБТ. Пожарная безопасность.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12.4.121-83 ССБТ. Противогазы промышленные фильтрующие.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5525-88 Части соединительные чугунные, изготовленные литьем в песчаные формы, для трубопроводов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10692-80 Трубы стальные, чугунные и соединительные части к ним. Приемка, маркировка, упаковка, транспортирование и хранение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2.04.02-84* Водоснабжение. Наружные сети и сооружения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3.01.04-87 Приемка в эксплуатацию законченных строительством объектов. Основные положения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3.02.01-87 Земляные сооружения, основания и фундаменты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3.05.03-85 Тепловые сети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3.05.04-85* Наружные сети и сооружения водоснабжения и канализации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III-4-80* Техника безопасности в строительстве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ТУ 14-161-183-2000 Трубы напорные из высокопрочного чугуна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ТУ 1460-035-50254094-2000 Части соединительные литые из высокопрочного чугуна для напорных трубопроводов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ТУ 1461-037-50254094-2000 Трубы чугунные напорные высокопрочные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ТУ 1468-041-50254094-2001 Части соединительные сварные из высокопрочного чугуна для напорных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3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3. Проектирование трубопроводов из труб из высокопрочного чугуна</w:t>
        <w:br/>
        <w:t>с шаровидным графитом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300"/>
      <w:bookmarkStart w:id="11" w:name="sub_3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3.3. Соединительные части из ВЧШГ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3.4. Типы соединений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3.5. Гидравлический расчет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3.6. Расчет труб на прочность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31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3.1.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310"/>
      <w:bookmarkStart w:id="14" w:name="sub_31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3.1.1. При проектировании трубопроводов следует руководствоваться общими требованиями СНиП 2.04.02, СНиП 3.05.04.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3.1.2. Трубы ВЧШГ рекомендуется применять, как правило, при подземной траншейной прокладке.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применение труб ВЧШГ также при прокладке трубопроводов хозяйственно-питьевого водоснабжения в коммуникационных коллекторах, тоннелях и каналах при соответствующем технико-экономическом обосновании и по согласованию с заказчиком, эксплуатационными и надзорными организациями.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3.1.3. Выбор труб ВЧШГ по диаметру должен осуществляться на основании гидравлического расчета, а по толщине стенки - на основании прочностного расчета с учетом конкретных условий для проектируемого водопровода.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3.1.4. В слабых грунтах с расчетным сопротивлением менее 0,1 МПа, а также в грунтах с возможной неравномерной осадкой (в неслежавшихся насыпных грунтах) прокладка трубопроводов из труб из чугуна с шаровидным графитом без искусственного основания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необходимости укладки трубопроводов водоснабжения из труб ВЧШГ с теплоизоляцией минимальную глубину их заложения следует принимать не менее 0,5 м вне пределов проезжей части и 0,6 м - в пределах проезжей части, считая до верха теплоизоляции.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32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3.2.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320"/>
      <w:bookmarkStart w:id="17" w:name="sub_32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3.2.1. Для трубопроводов диаметром до 300 мм применяют трубы по ТУ 1461-037-50254094 и ТУ 14-161-183 с показателями, приведенными в </w:t>
      </w:r>
      <w:hyperlink w:anchor="sub_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; для трубопроводов диаметром от 400 до 1000 мм показатели следует принимать по данным предприятия-изготовителя.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" w:name="sub_111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11"/>
      <w:bookmarkStart w:id="20" w:name="sub_111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 │  Величина показателя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прочности при растяжении, МПа          │          420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предел текучести, МПа                │          300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Относительное удлинение, %                    │           10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Гидравлическое испытательное давление, МПа    │            5,0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3.2.2. Для трубопроводов с внутренним цементно-песчаным покрытием применяются трубы, выпускаемые по ТУ 1461-037-50254094 одного класса с размерами, указанными в </w:t>
      </w:r>
      <w:hyperlink w:anchor="sub_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2</w:t>
        </w:r>
      </w:hyperlink>
      <w:r>
        <w:rPr>
          <w:rFonts w:cs="Arial" w:ascii="Arial" w:hAnsi="Arial"/>
          <w:sz w:val="20"/>
          <w:szCs w:val="20"/>
        </w:rPr>
        <w:t xml:space="preserve">, а по ТУ 14-161-183 - с размерами, указанными в </w:t>
      </w:r>
      <w:hyperlink w:anchor="sub_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" w:name="sub_112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12"/>
      <w:bookmarkStart w:id="23" w:name="sub_112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┌──────┬──────────────────┬──────────────────┬──────────────────────────┐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Диа- │ Наружный диаметр │  Толщина стенки  │Толщина цементно-песчаного│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│                  │                  │   внутреннего покрытия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услов-├────────┬─────────┼────────┬─────────┼────────┬────────┬────────┤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│номинал │  пред.  │номинал │  пред.  │номинал │  мин.  │ мин. 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прохо-│        │  откл.  │        │откл. (-)│        │средняя │  одной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 │        │  +(-)   │        │         │        │        │  точке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  118   │1,1 (1,3)│  6,0   │   1,3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├──────┼────────┼─────────┼────────┼─────────┤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│  170   │1,1 (1,3)│  6,0   │   1,3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├──────┼────────┼─────────┼────────┼─────────┤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  222   │1,1 (1,8)│  6,3   │   1,5   │  3,0   │  2,5   │  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├──────┼────────┼─────────┼────────┼─────────┤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│  274   │1,6 (2,6)│  6,8   │   1,6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├──────┼────────┼─────────┼────────┼─────────┤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│  326   │1,6 (3,3)│  7,2   │   1,6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└──────┴────────┴─────────┴────────┴─────────┴────────┴────────┴────────┘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" w:name="sub_113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13"/>
      <w:bookmarkStart w:id="26" w:name="sub_113"/>
      <w:bookmarkEnd w:id="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┌──────┬─────────┬─────────────────────────────────┬────────────────────┐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Диа- │Наружный │    Толщина стенки для класса    │      Толщина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│ диаметр │                                 │ цементно-песчаного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услов-│         │                                 │      покрытия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│         ├───────┬────────┬───────┬────────┼────────┬───────────┤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прохо-│         │  ОТ   │   Т    │  ЛА   │   А    │номинал │пред. откл.│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 │         │       │        │       │        │        │   +(-)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├──────┼─────────┼───────┼────────┼───────┼────────┼────────┼───────────┤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   118   │  6,1  │   7,0  │  7,5  │   8,3  │  6,0   │ 3,2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├──────┼─────────┼───────┼────────┼───────┼────────┼────────┼───────────┤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│   170   │  6,3  │   7,8  │  8,3  │   9,2  │  6,0   │ 3,2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├──────┼─────────┼───────┼────────┼───────┼────────┼────────┼───────────┤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   222   │  6,4  │   8,4  │  9,2  │  10,1  │  6,0   │ 3,2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├──────┼─────────┼───────┼────────┼───────┼────────┼────────┼───────────┤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│   274   │  6,8  │   9,0  │ 10,0  │  11,0  │  6,0   │ 3,2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├──────┼─────────┼───────┼────────┼───────┼────────┼────────┼───────────┤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│   326   │  7,2  │   9,6  │ 10,8  │  11,9  │  8,0   │ 3,2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├──────┼─────────┼───────┼────────┼───────┼────────┼────────┼───────────┤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│   429   │  8,1  │  10,8  │ 12,5  │  13,8  │  8,0   │ 3,2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├──────┼─────────┼───────┼────────┼───────┼────────┼────────┼───────────┤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│   532   │  9,0  │  12,0  │ 14,2  │  15,6  │  8,0   │ 3,2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├──────┼─────────┼───────┼────────┼───────┼────────┼────────┼───────────┤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│   635   │  9,9  │  13,2  │ 15,8  │  17,4  │  9,0   │ 3,2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├──────┼─────────┼───────┼────────┼───────┼────────┼────────┼───────────┤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 │   738   │ 10,8  │  14,4  │ 17,5  │  19,3  │  9,0   │ 3,2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├──────┼─────────┼───────┼────────┼───────┼────────┼────────┼───────────┤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900  │   945   │ 12,6  │  16,8  │ 20,6  │  22,9  │ 10,0   │ 3,2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├──────┼─────────┼───────┼────────┼───────┼────────┼────────┼───────────┤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│  1048   │ 13,5  │  18,0  │ 22,5  │  24,8  │ 12,0   │ 3,2 (1,6)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└──────┴─────────┴───────┴────────┴───────┴────────┴────────┴───────────┘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33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3.3. Соединительные части из ВЧШГ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330"/>
      <w:bookmarkStart w:id="29" w:name="sub_330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3.3.1. При устройстве сетей водоснабжения из труб из высокопрочного чугуна с шаровидным графитом следует предусматривать использование в первую очередь фасонных соединительных частей также из ВЧШГ.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3.3.2. Для трубопроводов диаметром до 300 мм с рабочим давлением до 1,6 МПа следует использовать соединительные части из ВЧШГ по ТУ 1468-041-50254094 сварные либо литые по ТУ 1460-035-50254094.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340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3.4. Типы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340"/>
      <w:bookmarkStart w:id="32" w:name="sub_340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3.4.1. Для сборки труб из высокопрочного чугуна с шаровидным графитом по ТУ 1461-037-50254094 между собой и со сварными фасонными соединительными частями по ТУ 1468-041-50254094 и ТУ 1460-035-50254094 следует использовать раструбные соединения (</w:t>
      </w:r>
      <w:hyperlink w:anchor="sub_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рисунок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 4</w:t>
        </w:r>
      </w:hyperlink>
      <w:r>
        <w:rPr>
          <w:rFonts w:cs="Arial" w:ascii="Arial" w:hAnsi="Arial"/>
          <w:sz w:val="20"/>
          <w:szCs w:val="20"/>
        </w:rPr>
        <w:t>) с уплотнительными кольцами (</w:t>
      </w:r>
      <w:hyperlink w:anchor="sub_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рисунки 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504253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3" w:name="sub_221"/>
      <w:bookmarkEnd w:id="33"/>
      <w:r>
        <w:rPr>
          <w:rFonts w:cs="Arial" w:ascii="Arial" w:hAnsi="Arial"/>
          <w:sz w:val="20"/>
          <w:szCs w:val="20"/>
        </w:rPr>
        <w:t>"Рисунок 1 - Элементы раструбного соединения резиновыми кольцами"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221"/>
      <w:bookmarkStart w:id="35" w:name="sub_221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" w:name="sub_114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14"/>
      <w:bookmarkStart w:id="38" w:name="sub_114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размеры элементов раструбных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350583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┌──────┬──────────┬────────┬───────┬────────┬─────────────────┬─────────┐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D_у  │   D_н    │   S    │  S_1  │Соедине-│ Соединение ВРС  │Соедине-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под │                 │ ние ВР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│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универ.├─────┬─────┬─────┼─────────┤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│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резин. │  l  │ l_1 │  h  │   l_1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│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кольцо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│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l_1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├──────┼──────────┼────────┼───────┼────────┼─────┼─────┼─────┼─────────┤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100,0 │     +1,0 │6,0     │  3,0  │  85,0  │ 91,0│135,0│ 5,0 │   90,0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118,0     │   -1,3 │       │     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-1,3 │        │       │     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├──────┼──────────┼────────┼───────┼────────┼─────┼─────┼─────┼─────────┤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150,0 │     +1,0 │6,0     │  3,0  │  90,0  │101,0│150,0│ 5,0 │  100,0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170,0     │   -1,3 │       │     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-1,3 │        │       │     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├──────┼──────────┼────────┼───────┼────────┼─────┼─────┼─────┼─────────┤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200,0 │     +1,0 │6,3     │  3,0  │  89,0  │106,0│160,0│ 5,5 │  105,0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222,0     │   -1,5 │       │     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-1,8 │        │       │     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├──────┼──────────┼────────┼───────┼────────┼─────┼─────┼─────┼─────────┤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250,0 │     +1,0 │6,8     │  3,0  │  94,0  │106,0│165,0│ 5,5 │  105,0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274,0     │   -1,6 │       │     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-2,6 │        │       │     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├──────┼──────────┼────────┼───────┼────────┼─────┼─────┼─────┼─────────┤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300,0 │     +1,0 │7,2     │  3,0  │  98,0  │106,0│170,0│ 5,5 │  105,0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326,0     │   -1,6 │       │     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-3,3 │        │       │     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 │        │     │     │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└──────┴──────────┴────────┴───────┴────────┴─────┴─────┴─────┴─────────┘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/>
      </w:pPr>
      <w:bookmarkStart w:id="39" w:name="sub_222"/>
      <w:bookmarkEnd w:id="39"/>
      <w:r>
        <w:rPr>
          <w:rFonts w:cs="Arial" w:ascii="Arial" w:hAnsi="Arial"/>
          <w:sz w:val="20"/>
          <w:szCs w:val="20"/>
        </w:rPr>
        <w:t xml:space="preserve">"Рисунок 2 - Универсальное резиновое кольцо к раструбным соединениям (рисунок 1а, размеры по </w:t>
      </w:r>
      <w:hyperlink w:anchor="sub_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5)</w:t>
        </w:r>
      </w:hyperlink>
      <w:r>
        <w:rPr>
          <w:rFonts w:cs="Arial" w:ascii="Arial" w:hAnsi="Arial"/>
          <w:sz w:val="20"/>
          <w:szCs w:val="20"/>
        </w:rPr>
        <w:t>"</w:t>
      </w:r>
    </w:p>
    <w:sectPr>
      <w:type w:val="nextPage"/>
      <w:pgSz w:w="11906" w:h="16838"/>
      <w:pgMar w:left="567" w:right="284" w:header="0" w:top="567" w:footer="0" w:bottom="56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2007-01-18T20:11:00Z</dcterms:created>
  <dc:creator>Виктор</dc:creator>
  <dc:description/>
  <dc:language>ru-RU</dc:language>
  <cp:lastModifiedBy>Виктор</cp:lastModifiedBy>
  <dcterms:modified xsi:type="dcterms:W3CDTF">2007-01-18T20:16:00Z</dcterms:modified>
  <cp:revision>2</cp:revision>
  <dc:subject/>
  <dc:title/>
</cp:coreProperties>
</file>