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920155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СП 11-106-97, утвержденным постановлением Госстроя РФ от 12 марта 2001 г. N 17, в настоящие СП внесены изменения.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9201552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СП в предыдущей редакции.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11-106-97</w:t>
        <w:br/>
        <w:t xml:space="preserve">"Порядок разработки, согласования, утверждения и состава </w:t>
        <w:br/>
        <w:t>проектно-планировочной документации на застройку территорий</w:t>
        <w:br/>
        <w:t>садоводческих объединений граждан"</w:t>
        <w:br/>
        <w:t>(утв. приказом директора ЦНИИЭПграждансельстроя</w:t>
        <w:br/>
        <w:t>от 20 августа 1997 г. N 1Т)</w:t>
        <w:br/>
        <w:t>(с изменениями от 12 марта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Code practice development, coordination, approval and compositionprojects of territories of gardening unions of sitizens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4*.Градостроительная подготовка территории садоводческого (дачного)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объединения граждан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5*.Состав градостроительной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6*.Планировочные решения территорий садоводческих (дачных) объеднений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7*.Планировочные решения садовых (дачных) участков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8*.Объемно-планировочные    и    конструктивные   решения   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9*.Инженерное обустройство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Примерный   перечень   документации,   необходимой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получения  разрешения  на  застройку  садового  (дачного)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участка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Примерная  форма   разрешения   на   застройку   садового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(дачного) участка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Примерный состав паспорта проекта жилого строения  (дома)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застройки садового (дачного) участка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Примерный состав проекта на строительство жилого строения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(дома)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Настоящий нормативный документ устанавливает рекомендуемые положения в развитие и обеспечение обязательных требований строительных норм и правил Российской Федерации СНиП 30-02 "Планировка и застройка территорий садоводческих (дачных) объединений граждан, здания и сооружения" и предназначен для использования проектными и строительными организациями, органами архитектуры и градостроительства, иными юридическими и физическими лицами, участвующими в проектировании, застройке и инженерном обустройстве территорий садоводческих (дачных) объединений, а также в ведении садоводческих и дачных хозяйств.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2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200"/>
      <w:bookmarkStart w:id="7" w:name="sub_2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Настоящий Свод правил составлен с учетом требований следующих нормативных документов: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СНиП 30-02-97       Планировка  и  застройка   территорий   садоводческих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объединений граждан,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СНиП 2.07.01-89*    Градостроительство. Планировка и застройка  городских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сельских поселений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ВСН 59-88           Электрооборудование  жилых  и   общественных 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ПУЭ                 Правила устройства электроустановок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СанПиН 2.1.4.559-96 Питьевая    вода.    Гигиенические    требования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качеству    воды  централизованных  систем  питьевого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водоснабжения. Контроль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209317996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2.1.4.1074-01 "Питьевая вода. Гигиенические требования к качеству воды централизованных систем питьевого водоснабжения. Контроль качества", утвержденные Главным государственным санитарным врачом РФ 26 сентября 2001 г. N 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209317996"/>
      <w:bookmarkStart w:id="10" w:name="sub_209317996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МГСН 2.02-96        Нормы допустимых  уровней  гамма-излучений  и  радона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участках застройки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3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3.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300"/>
      <w:bookmarkStart w:id="13" w:name="sub_3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"/>
      <w:bookmarkEnd w:id="14"/>
      <w:r>
        <w:rPr>
          <w:rFonts w:cs="Arial" w:ascii="Arial" w:hAnsi="Arial"/>
          <w:sz w:val="20"/>
          <w:szCs w:val="20"/>
        </w:rPr>
        <w:t>3.1.* Выбор и предоставление земельных участков для садоводческих (дачных) объединений граждан осуществляется органами местного самоуправления или органами исполнительной власти субъектов Российской Федерации из находящихся в их ведении фондов перераспределения земель и государственного запаса земель.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"/>
      <w:bookmarkStart w:id="16" w:name="sub_2"/>
      <w:bookmarkEnd w:id="15"/>
      <w:bookmarkEnd w:id="16"/>
      <w:r>
        <w:rPr>
          <w:rFonts w:cs="Arial" w:ascii="Arial" w:hAnsi="Arial"/>
          <w:sz w:val="20"/>
          <w:szCs w:val="20"/>
        </w:rPr>
        <w:t>3.2 Проектирование застройки территорий садоводческих (дачных) объединений осуществляется в соответствии с СНиП 30-02 и положениями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"/>
      <w:bookmarkStart w:id="18" w:name="sub_330"/>
      <w:bookmarkEnd w:id="17"/>
      <w:bookmarkEnd w:id="18"/>
      <w:r>
        <w:rPr>
          <w:rFonts w:cs="Arial" w:ascii="Arial" w:hAnsi="Arial"/>
          <w:sz w:val="20"/>
          <w:szCs w:val="20"/>
        </w:rPr>
        <w:t>3.3.* Градостроительное регулирование и организация территорий садоводческих (дачных) объединений граждан проводятся в соответствии с утвержденной градостроительной документацией - проектами планировки и межевания, являющимися основными юридическими документами, определяющими в интересах населения условия ведения садоводства, отдыха и проживания.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30"/>
      <w:bookmarkStart w:id="20" w:name="sub_34"/>
      <w:bookmarkEnd w:id="19"/>
      <w:bookmarkEnd w:id="20"/>
      <w:r>
        <w:rPr>
          <w:rFonts w:cs="Arial" w:ascii="Arial" w:hAnsi="Arial"/>
          <w:sz w:val="20"/>
          <w:szCs w:val="20"/>
        </w:rPr>
        <w:t>3.4.* Градостроительная документация предназначена для применения заказчиками, органами государственного и местного управления и надзора, предприятиями, организациями, объединениями, иными юридическими и физическими лицами - участниками инвестиционного процесса и заинтересованными субъектами градостроительной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4"/>
      <w:bookmarkStart w:id="22" w:name="sub_35"/>
      <w:bookmarkEnd w:id="21"/>
      <w:bookmarkEnd w:id="22"/>
      <w:r>
        <w:rPr>
          <w:rFonts w:cs="Arial" w:ascii="Arial" w:hAnsi="Arial"/>
          <w:sz w:val="20"/>
          <w:szCs w:val="20"/>
        </w:rPr>
        <w:t>3.5.* Основанием для разработки градостроительной документации является принятое в установленном порядке постановление органа местного самоуправления о разрешении проектирования на конкретной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5"/>
      <w:bookmarkStart w:id="24" w:name="sub_36"/>
      <w:bookmarkEnd w:id="23"/>
      <w:bookmarkEnd w:id="24"/>
      <w:r>
        <w:rPr>
          <w:rFonts w:cs="Arial" w:ascii="Arial" w:hAnsi="Arial"/>
          <w:sz w:val="20"/>
          <w:szCs w:val="20"/>
        </w:rPr>
        <w:t>3.6.* Градостроительная документация выполняется по заказу правления садоводческого (дачного) объединения граждан за счет средств его членов.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6"/>
      <w:bookmarkStart w:id="26" w:name="sub_37"/>
      <w:bookmarkEnd w:id="25"/>
      <w:bookmarkEnd w:id="26"/>
      <w:r>
        <w:rPr>
          <w:rFonts w:cs="Arial" w:ascii="Arial" w:hAnsi="Arial"/>
          <w:sz w:val="20"/>
          <w:szCs w:val="20"/>
        </w:rPr>
        <w:t>3.7.* Градостроительная документация разрабатывается проектными организациями (институтами, акционерными обществами, творческими архитектурными мастерскими), иными юридическими и физическими лицами, имеющими лицензии на право заниматься разработкой соответствующей градостроительной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7"/>
      <w:bookmarkStart w:id="28" w:name="sub_37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4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4*. Градостроительная подготовка территории</w:t>
        <w:br/>
        <w:t>садоводческого (дачного) объединения граждан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400"/>
      <w:bookmarkStart w:id="31" w:name="sub_40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4.1.* Границы территорий садоводческих (дачных) объединений граждан определяются территориальной комплексной схемой градостроительного планирования развития регионов, на основании которой по заявке заказчика органом архитектуры и градостроительства выдается архитектурно-планировочное задание на выполнение градостроительной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Задание на проектирование утверждается заказчиком, согласовывается с органами архитектуры и градостроительства (главным архитектором района).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2"/>
      <w:bookmarkEnd w:id="32"/>
      <w:r>
        <w:rPr>
          <w:rFonts w:cs="Arial" w:ascii="Arial" w:hAnsi="Arial"/>
          <w:sz w:val="20"/>
          <w:szCs w:val="20"/>
        </w:rPr>
        <w:t>4.2.* Заказчик обеспечивает подготовку исходных данных для проектирования. Ответственность за достоверность исходных данных несет заказчик и организация, предприятие, другое юридическое лицо, предоставившее исходные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2"/>
      <w:bookmarkStart w:id="34" w:name="sub_43"/>
      <w:bookmarkEnd w:id="33"/>
      <w:bookmarkEnd w:id="34"/>
      <w:r>
        <w:rPr>
          <w:rFonts w:cs="Arial" w:ascii="Arial" w:hAnsi="Arial"/>
          <w:sz w:val="20"/>
          <w:szCs w:val="20"/>
        </w:rPr>
        <w:t>4.3.* Условия подготовки исходных данных, разработки градостроительной документации и финансирование этих работ определяются договором на выполнение проектных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43"/>
      <w:bookmarkStart w:id="36" w:name="sub_4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51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5*. Состав градостроительной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510"/>
      <w:bookmarkStart w:id="39" w:name="sub_510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5.1.* Градостроительная документация для территории садоводческих (дачных) объединений граждан разрабатывается в соответствии с гл.5 Градостроительного кодекса РФ и "Инструкцией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2"/>
      <w:bookmarkEnd w:id="40"/>
      <w:r>
        <w:rPr>
          <w:rFonts w:cs="Arial" w:ascii="Arial" w:hAnsi="Arial"/>
          <w:sz w:val="20"/>
          <w:szCs w:val="20"/>
        </w:rPr>
        <w:t>5.2.* Основным видом градостроительной документации являются проект планировки территории и проект межевания. Разработка этих проектов может совмещаться. В состав проекта планировки территории садоводческого (дачного) объединения включаются следующие графические и текстовые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2"/>
      <w:bookmarkEnd w:id="41"/>
      <w:r>
        <w:rPr>
          <w:rFonts w:cs="Arial" w:ascii="Arial" w:hAnsi="Arial"/>
          <w:sz w:val="20"/>
          <w:szCs w:val="20"/>
        </w:rPr>
        <w:t>- схема размещения (ситуационный план) территории в системе расселения региона, с нанесением внешних связей и сооружений внешней зоны (транспортные и пешеходные связи, места свалок и скотомогильников, высоковольтные электрические линии, нефтепродуктопроводы, трансформаторные подстанции, газораспределительные станции и т.д. с санитарными, защитными и санитарно-защитными зонами этих и других объектов) в масштабе 1:10000 или 1:5000;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генеральный план (основной чертеж), выполняется в масштабе 1:1000 или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схема вертикальной планировки в масштабе основного чертежа;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 перенесения проекта на местность;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схема инженерных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рекомендуемые паспорта проектов садовых (дачных) домов;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пояснительная записка;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проектной документации для застройки индивидуального садового (дачного) участка осуществляется в составе градостроительной документации (по отдельному заданию) или на его основании по заказу собственника (владельца) участка имеющими соответствующую лицензию юридическими и физическими лицами.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3"/>
      <w:bookmarkEnd w:id="42"/>
      <w:r>
        <w:rPr>
          <w:rFonts w:cs="Arial" w:ascii="Arial" w:hAnsi="Arial"/>
          <w:sz w:val="20"/>
          <w:szCs w:val="20"/>
        </w:rPr>
        <w:t>5.3.* Проект межевания территории устанавливает (с выносом в натуру) границы территорий общего пользования и границы индивидуальных садово-дачных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3"/>
      <w:bookmarkStart w:id="44" w:name="sub_54"/>
      <w:bookmarkEnd w:id="43"/>
      <w:bookmarkEnd w:id="44"/>
      <w:r>
        <w:rPr>
          <w:rFonts w:cs="Arial" w:ascii="Arial" w:hAnsi="Arial"/>
          <w:sz w:val="20"/>
          <w:szCs w:val="20"/>
        </w:rPr>
        <w:t>5.4.* Проект планировки территории садоводческого (дачного) объединения подлежит согласованию: с органами архитектуры и градостроительства, охраны окружающей среды, с учреждениями Государственной санитарно-эпидемиологической службы, органами Государственной противопожарной службы и экологического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4"/>
      <w:bookmarkEnd w:id="45"/>
      <w:r>
        <w:rPr>
          <w:rFonts w:cs="Arial" w:ascii="Arial" w:hAnsi="Arial"/>
          <w:sz w:val="20"/>
          <w:szCs w:val="20"/>
        </w:rPr>
        <w:t>Организации и учреждения, которым направлена для согласования градостроительная документация территории садоводческого (дачного) объединения, в месячный срок согласовывают его или сообщают свои замечания заказчику и проектировщику.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Нормативно-правовыми актами субъектов Федерации и органами местного самоуправления может быть установлен иной (меньший) срок согласования.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5"/>
      <w:bookmarkEnd w:id="46"/>
      <w:r>
        <w:rPr>
          <w:rFonts w:cs="Arial" w:ascii="Arial" w:hAnsi="Arial"/>
          <w:sz w:val="20"/>
          <w:szCs w:val="20"/>
        </w:rPr>
        <w:t>5.5. Администрация местного самоуправления рассматривает согласованную документацию и утверждает ее. Утвержденная градостроительная документация территории садоводческого (дачного) объединения является обязательной для исполнения всеми участниками организации и ведения садового и дачного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5"/>
      <w:bookmarkStart w:id="48" w:name="sub_56"/>
      <w:bookmarkEnd w:id="47"/>
      <w:bookmarkEnd w:id="48"/>
      <w:r>
        <w:rPr>
          <w:rFonts w:cs="Arial" w:ascii="Arial" w:hAnsi="Arial"/>
          <w:sz w:val="20"/>
          <w:szCs w:val="20"/>
        </w:rPr>
        <w:t>5.6. Освоение территории садоводческих (дачных) объединений граждан допускается после геодезического выноса и закрепления их границ в натуре (на местности) с оформлением и передачей застройщику выполненных работ по акту.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56"/>
      <w:bookmarkStart w:id="50" w:name="sub_56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61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6*. Планировочные решения территорий</w:t>
        <w:br/>
        <w:t>садоводческих (дачных) объединений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610"/>
      <w:bookmarkStart w:id="53" w:name="sub_61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6.1.* Въезд на территорию садоводческого (дачного) объединения рекомендуется оборудовать вывеской с наименованием садоводческого объединения, знаками, регулирующими движение автотранспорта, а также вывешивать схему расположения естественных и искусственных водоисточников, водонапорных башен.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2"/>
      <w:bookmarkEnd w:id="54"/>
      <w:r>
        <w:rPr>
          <w:rFonts w:cs="Arial" w:ascii="Arial" w:hAnsi="Arial"/>
          <w:sz w:val="20"/>
          <w:szCs w:val="20"/>
        </w:rPr>
        <w:t>6.2.* На садовых (дачных) участках, примыкающих к перекресткам улиц и проездов, рекомендуется углы участков, выходящих к перекресткам, делать срезанными под 45°. При этом длину стороны срезанного угла рекомендуется принимать не менее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2"/>
      <w:bookmarkStart w:id="56" w:name="sub_63"/>
      <w:bookmarkEnd w:id="55"/>
      <w:bookmarkEnd w:id="56"/>
      <w:r>
        <w:rPr>
          <w:rFonts w:cs="Arial" w:ascii="Arial" w:hAnsi="Arial"/>
          <w:sz w:val="20"/>
          <w:szCs w:val="20"/>
        </w:rPr>
        <w:t>6.3.* Все улицы и проезды территории садоводческого (дачного) объединения обозначаются названиями; таблички с названиями вывешиваются на перекрестках. Садовые (дачные) участки имеют номерные знаки.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3"/>
      <w:bookmarkStart w:id="58" w:name="sub_64"/>
      <w:bookmarkEnd w:id="57"/>
      <w:bookmarkEnd w:id="58"/>
      <w:r>
        <w:rPr>
          <w:rFonts w:cs="Arial" w:ascii="Arial" w:hAnsi="Arial"/>
          <w:sz w:val="20"/>
          <w:szCs w:val="20"/>
        </w:rPr>
        <w:t>6.4.* Вывоз мусора рекомендуется предусматривать на полигон бытовых отходов. При невозможности вывоза мусора вопрос его захоронения на месте решается с соблюдением природоохранных мероприятий и по согласованию с территориальными учреждениями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4"/>
      <w:bookmarkStart w:id="60" w:name="sub_65"/>
      <w:bookmarkEnd w:id="59"/>
      <w:bookmarkEnd w:id="60"/>
      <w:r>
        <w:rPr>
          <w:rFonts w:cs="Arial" w:ascii="Arial" w:hAnsi="Arial"/>
          <w:sz w:val="20"/>
          <w:szCs w:val="20"/>
        </w:rPr>
        <w:t>6.5.* По решению общего собрания членов садоводческого (дачного) объединения на территории общего пользования может быть выделен участок для дома сторожа (семьи сторожа).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5"/>
      <w:bookmarkStart w:id="62" w:name="sub_66"/>
      <w:bookmarkEnd w:id="61"/>
      <w:bookmarkEnd w:id="62"/>
      <w:r>
        <w:rPr>
          <w:rFonts w:cs="Arial" w:ascii="Arial" w:hAnsi="Arial"/>
          <w:sz w:val="20"/>
          <w:szCs w:val="20"/>
        </w:rPr>
        <w:t>6.6.* Примерный рекомендуемый перечень объектов общего пользования, размещаемых на территории садоводческого (дачного) объединения, для социального торгового и культурно-бытового обслуживания садоводов (дачников), приведен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6"/>
      <w:bookmarkStart w:id="64" w:name="sub_67"/>
      <w:bookmarkEnd w:id="63"/>
      <w:bookmarkEnd w:id="64"/>
      <w:r>
        <w:rPr>
          <w:rFonts w:cs="Arial" w:ascii="Arial" w:hAnsi="Arial"/>
          <w:sz w:val="20"/>
          <w:szCs w:val="20"/>
        </w:rPr>
        <w:t>6.7.* Обслуживание садоводческих (дачных) объединений сетью культурно-бытовых, торговых и социальных предприятий может быть организовано через соответствующие системы близлежащих населенных пунктов, а также с применением передвижных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7"/>
      <w:bookmarkStart w:id="66" w:name="sub_68"/>
      <w:bookmarkEnd w:id="65"/>
      <w:bookmarkEnd w:id="66"/>
      <w:r>
        <w:rPr>
          <w:rFonts w:cs="Arial" w:ascii="Arial" w:hAnsi="Arial"/>
          <w:sz w:val="20"/>
          <w:szCs w:val="20"/>
        </w:rPr>
        <w:t>6.8.* В районах сосредоточения крупных массивов садоводческих (дачных) объединений рекомендуется устраивать центры сервисного обслуживания.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68"/>
      <w:bookmarkStart w:id="68" w:name="sub_68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601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Примерный рекомендуемый перечень</w:t>
        <w:br/>
        <w:t>объектов общего пользования, удельные размеры земельных участков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601"/>
      <w:bookmarkStart w:id="71" w:name="sub_601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       │   Удельные размеры земельных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участков, м2 на 1 садовый (дачный)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в садоводческих (дачных)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объединениях с числом участников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15-100   │  101-300  │301 и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(малые)  │ (средние) │ (крупные)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Детская игровая площадка           │   2-1    │    1-0,5  │0,5 и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Универсальная спортивная площадка  │  43,4    │  3,4-2,8  │2,8 и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удобрений и химикатов        │ 0,3-0,1  │  0,1-0,05 │0,05 и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Промежуточный     склад     газовых│ 0,3-0,25 │0,025-0,2  │0,2 и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               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  проката  агротехники  (мини-│   2-0,6  │  0,6-0,3  │0,3 и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трактор, автоприцеп, электроинстру-│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менты и др.)              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Приемно-заготовительный       пункт│   2-0,5  │  0,5-0,3  │0,3 и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сельскохозяйственной продукции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Общественная уборная               │  По заданию на проектирование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71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7*. Планировочные решения садовых (дачных) участков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710"/>
      <w:bookmarkStart w:id="74" w:name="sub_71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7.1.* Площадь садовых (дачных) участков устанавливается заданием на проектирование в соответствии с требованиями органов субъекта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72"/>
      <w:bookmarkEnd w:id="75"/>
      <w:r>
        <w:rPr>
          <w:rFonts w:cs="Arial" w:ascii="Arial" w:hAnsi="Arial"/>
          <w:sz w:val="20"/>
          <w:szCs w:val="20"/>
        </w:rPr>
        <w:t>7.2.* На садовых (дачных) участках, рекомендуется, выделять следующие основные зоны: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72"/>
      <w:bookmarkEnd w:id="76"/>
      <w:r>
        <w:rPr>
          <w:rFonts w:cs="Arial" w:ascii="Arial" w:hAnsi="Arial"/>
          <w:sz w:val="20"/>
          <w:szCs w:val="20"/>
        </w:rPr>
        <w:t>жилья;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санитарно-инженерных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сада, огорода.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Дополнительно могут выделяться различные подзоны для хозяйственно-бытовой деятельности (содержание мелкого скота и птицы, столярные работы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3"/>
      <w:bookmarkEnd w:id="77"/>
      <w:r>
        <w:rPr>
          <w:rFonts w:cs="Arial" w:ascii="Arial" w:hAnsi="Arial"/>
          <w:sz w:val="20"/>
          <w:szCs w:val="20"/>
        </w:rPr>
        <w:t>7.3.* Минимальная площадь садового (дачного) участка - 0,06 га - принята из расчета возведения на участке садового (дачного) дома, хозяйственных построек и выращивания плодов, ягод и овощей в объеме годового потребления одной семьей.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73"/>
      <w:bookmarkStart w:id="79" w:name="sub_74"/>
      <w:bookmarkEnd w:id="78"/>
      <w:bookmarkEnd w:id="79"/>
      <w:r>
        <w:rPr>
          <w:rFonts w:cs="Arial" w:ascii="Arial" w:hAnsi="Arial"/>
          <w:sz w:val="20"/>
          <w:szCs w:val="20"/>
        </w:rPr>
        <w:t>7.4.* В целях наименьшего затенения соседних участков расстояние от садового (дачного) дома, хозяйственных построек и сооружений до границ соседних садовых (дачных) участков, расположенных с востока, севера, запада и промежуточных положений, рекомендуется принимать не менее высоты указанных строений (сооружений), измеренных от планировочной отметки земли до конька крыши (до верхней отметки сооружения).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4"/>
      <w:bookmarkStart w:id="81" w:name="sub_75"/>
      <w:bookmarkEnd w:id="80"/>
      <w:bookmarkEnd w:id="81"/>
      <w:r>
        <w:rPr>
          <w:rFonts w:cs="Arial" w:ascii="Arial" w:hAnsi="Arial"/>
          <w:sz w:val="20"/>
          <w:szCs w:val="20"/>
        </w:rPr>
        <w:t>7.5.* При группировке двух жилых строений (домов) расстояние между ними, не лимитируемое противопожарными нормами, составит 6 м, так как каждый из садовых домов, согласно санитарным нормам, отстоит от границы соседнего садового участка на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5"/>
      <w:bookmarkStart w:id="83" w:name="sub_76"/>
      <w:bookmarkEnd w:id="82"/>
      <w:bookmarkEnd w:id="83"/>
      <w:r>
        <w:rPr>
          <w:rFonts w:cs="Arial" w:ascii="Arial" w:hAnsi="Arial"/>
          <w:sz w:val="20"/>
          <w:szCs w:val="20"/>
        </w:rPr>
        <w:t>7.6*. Группировка так же позволяет разместить необходимый набор хозяйственных построек с соблюдением санитарных норм и способствует увеличению площади участка, облучаемой солнцем.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6"/>
      <w:bookmarkStart w:id="85" w:name="sub_77"/>
      <w:bookmarkEnd w:id="84"/>
      <w:bookmarkEnd w:id="85"/>
      <w:r>
        <w:rPr>
          <w:rFonts w:cs="Arial" w:ascii="Arial" w:hAnsi="Arial"/>
          <w:sz w:val="20"/>
          <w:szCs w:val="20"/>
        </w:rPr>
        <w:t>7.7.* Хозяйственные постройки рекомендуется располагать в глубине садового участка и объединять в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7"/>
      <w:bookmarkStart w:id="87" w:name="sub_78"/>
      <w:bookmarkEnd w:id="86"/>
      <w:bookmarkEnd w:id="87"/>
      <w:r>
        <w:rPr>
          <w:rFonts w:cs="Arial" w:ascii="Arial" w:hAnsi="Arial"/>
          <w:sz w:val="20"/>
          <w:szCs w:val="20"/>
        </w:rPr>
        <w:t>7.8.* Указанные в СНиП 30-02 минимальные расстояния до границ соседних участков касаются всех строений и сооружений, включая парники, навесы, стационарную емкость для воды, навес (гараж) для автомобиля, погреб, уборную, баню, сауну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8"/>
      <w:bookmarkStart w:id="89" w:name="sub_79"/>
      <w:bookmarkEnd w:id="88"/>
      <w:bookmarkEnd w:id="89"/>
      <w:r>
        <w:rPr>
          <w:rFonts w:cs="Arial" w:ascii="Arial" w:hAnsi="Arial"/>
          <w:sz w:val="20"/>
          <w:szCs w:val="20"/>
        </w:rPr>
        <w:t>7.9.* На территории садового (дачного) участка допускается устройство пасеки. Пасека должна иметь глухое ограждение высотой 2 м, и располагается не ближе чем в 2 м от границ садового (дачного)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79"/>
      <w:bookmarkStart w:id="91" w:name="sub_79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81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8*. Объемно-планировочные и конструктивные решения</w:t>
        <w:br/>
        <w:t>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810"/>
      <w:bookmarkStart w:id="94" w:name="sub_810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8.1.* Объемно-планировочные и конструктивные решения домов, возводимых на территории садоводческого или дачного объединения граждан, могут быть рассчитаны, спроектированы и выполнены для сезонного и постоянного проживания в соответствии с действующими строительными нормами и правилами. Согласование проекта и получение разрешения на строительство дома сезонного или постоянного проживания осуществляется в порядке, установленном законодательством субъекта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9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9*. Инженерное обустройство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900"/>
      <w:bookmarkStart w:id="97" w:name="sub_90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9.1.* Автономное водоснабжение по составу оборудования и его месту расположения может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применением гидропневматических и открытых баков;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использованием горизонтальных, вертикальных, вибрационных погружных скважинных или погружных поршневых насосов;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размещением оборудования в колодцах (камерах).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92"/>
      <w:bookmarkEnd w:id="98"/>
      <w:r>
        <w:rPr>
          <w:rFonts w:cs="Arial" w:ascii="Arial" w:hAnsi="Arial"/>
          <w:sz w:val="20"/>
          <w:szCs w:val="20"/>
        </w:rPr>
        <w:t>9.2.* Для очистки сточных вод на садовых (дачных) участках наиболее рациональными являются децентрализованные системы канализации, рассчитанные на обеспечение, как правило, отдельных домов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92"/>
      <w:bookmarkStart w:id="100" w:name="sub_93"/>
      <w:bookmarkEnd w:id="99"/>
      <w:bookmarkEnd w:id="100"/>
      <w:r>
        <w:rPr>
          <w:rFonts w:cs="Arial" w:ascii="Arial" w:hAnsi="Arial"/>
          <w:sz w:val="20"/>
          <w:szCs w:val="20"/>
        </w:rPr>
        <w:t>9.3.* Для очистки хозяйственных стоков может применяться схема с отведением их в накопители с дальнейшей очисткой стоков от одного дома или объединение выпусков от нескольких домов в местную систему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93"/>
      <w:bookmarkEnd w:id="101"/>
      <w:r>
        <w:rPr>
          <w:rFonts w:cs="Arial" w:ascii="Arial" w:hAnsi="Arial"/>
          <w:sz w:val="20"/>
          <w:szCs w:val="20"/>
        </w:rPr>
        <w:t>При благоприятных грунтовых условиях (пески, супеси, мелкие суглинки) и низком уровне грунтовых вод, при отсутствии или удаленности водоема-приемника сточных вод, целесообразно использовать септики с сооружениями подземной фильтрации (фильтрующий колодец, фильтрующая кассета, песчано-гравийный фильтр).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94"/>
      <w:bookmarkEnd w:id="102"/>
      <w:r>
        <w:rPr>
          <w:rFonts w:cs="Arial" w:ascii="Arial" w:hAnsi="Arial"/>
          <w:sz w:val="20"/>
          <w:szCs w:val="20"/>
        </w:rPr>
        <w:t>9.4.* Рекомендуется избегать устройства люфт-клозетов при высоком уровне грунтовых вод - 1,5 м и выше. Люфт-клозет не предназначен для слива хозяйственно-бытовых вод, а также мусора и пищевых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94"/>
      <w:bookmarkStart w:id="104" w:name="sub_95"/>
      <w:bookmarkEnd w:id="103"/>
      <w:bookmarkEnd w:id="104"/>
      <w:r>
        <w:rPr>
          <w:rFonts w:cs="Arial" w:ascii="Arial" w:hAnsi="Arial"/>
          <w:sz w:val="20"/>
          <w:szCs w:val="20"/>
        </w:rPr>
        <w:t>9.5.* Основным видом теплоснабжения и горячего водоснабжения жилых строений (домов) могут быть автономные системы, к которым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95"/>
      <w:bookmarkEnd w:id="105"/>
      <w:r>
        <w:rPr>
          <w:rFonts w:cs="Arial" w:ascii="Arial" w:hAnsi="Arial"/>
          <w:sz w:val="20"/>
          <w:szCs w:val="20"/>
        </w:rPr>
        <w:t>печи и камины (на твердом топливе);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котлы (на газообразном, жидком и твердом топливе) в сочетании с внутренней системой трубопроводов и нагревательных приборов;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водонагреватели различных систем (на газе, электричестве и твердом топливе).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96"/>
      <w:bookmarkEnd w:id="106"/>
      <w:r>
        <w:rPr>
          <w:rFonts w:cs="Arial" w:ascii="Arial" w:hAnsi="Arial"/>
          <w:sz w:val="20"/>
          <w:szCs w:val="20"/>
        </w:rPr>
        <w:t>9.6.* При устройстве печей на твердом топливе отвод дыма осуществляется по строго вертикальным дымовым трубам без уступов. Толщина стенок дымовых каналов из кирпича принимается не менее 120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96"/>
      <w:bookmarkStart w:id="108" w:name="sub_97"/>
      <w:bookmarkEnd w:id="107"/>
      <w:bookmarkEnd w:id="108"/>
      <w:r>
        <w:rPr>
          <w:rFonts w:cs="Arial" w:ascii="Arial" w:hAnsi="Arial"/>
          <w:sz w:val="20"/>
          <w:szCs w:val="20"/>
        </w:rPr>
        <w:t>9.7.* Теплоснабжение домов может осуществляться от теплогенераторов заводского изготовления, работающих на твердом топливе.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97"/>
      <w:bookmarkEnd w:id="109"/>
      <w:r>
        <w:rPr>
          <w:rFonts w:cs="Arial" w:ascii="Arial" w:hAnsi="Arial"/>
          <w:sz w:val="20"/>
          <w:szCs w:val="20"/>
        </w:rPr>
        <w:t>По функциональному назначению тепло генераторы могут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одно-функциональные отопительные, с водяным контуром;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комбинированные или двухфункциональные, предназначенные для отопления и горячего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аппараты, сочетающие функции обогрева помещений и приготовления пищи;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аппараты, колонки, водоподогреватели, предназначенные для нагрева воды для ванн, душа и мытья посуды.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8"/>
      <w:bookmarkEnd w:id="110"/>
      <w:r>
        <w:rPr>
          <w:rFonts w:cs="Arial" w:ascii="Arial" w:hAnsi="Arial"/>
          <w:sz w:val="20"/>
          <w:szCs w:val="20"/>
        </w:rPr>
        <w:t>9.8.* Для эпизодического обогрева отдельных помещений возможно применение электрообогревателей (стационарных или переносных) различной конструкции, в том числе с автоматизированным или ручным терморегулированием.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98"/>
      <w:bookmarkEnd w:id="111"/>
      <w:r>
        <w:rPr>
          <w:rFonts w:cs="Arial" w:ascii="Arial" w:hAnsi="Arial"/>
          <w:sz w:val="20"/>
          <w:szCs w:val="20"/>
        </w:rPr>
        <w:t>Для отопления помещений допускается применение газовых каминов, калориферов и других приборов заводского изготовления с отводом продуктов сгорания в дымоход.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9"/>
      <w:bookmarkEnd w:id="112"/>
      <w:r>
        <w:rPr>
          <w:rFonts w:cs="Arial" w:ascii="Arial" w:hAnsi="Arial"/>
          <w:sz w:val="20"/>
          <w:szCs w:val="20"/>
        </w:rPr>
        <w:t>9.9.* Для сезонного подогрева воды на хозяйственно-гигиенические нужды рекомендуется использование солнечной энергии на основе применения солнечных коллекторов.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99"/>
      <w:bookmarkStart w:id="114" w:name="sub_99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10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hyperlink w:anchor="sub_0">
        <w:bookmarkStart w:id="116" w:name="sub_1000"/>
        <w:bookmarkEnd w:id="116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 11-106-97*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Примерный перечень документации,</w:t>
        <w:br/>
        <w:t>необходимой для получения разрешения</w:t>
        <w:br/>
        <w:t>на застройку садового (дачного)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Заявление члена садово-дачного объединения на получение разрешения на застройку садового (дачного)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Постановление Главы администрации (решение Правления садово-дачного объединения) о разрешении обустройства и застройки индивидуального садового (дачного)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Проект застройки индивидуального садового (дачного) участка и паспорта проекта жилого строения дома и других построек, согласованные в установленном порядке с органами архитектуры и градостроительства.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Акт о натурном установлении границ земельного участка и разбивки строений, красных линий и осей построек.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2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hyperlink w:anchor="sub_0">
        <w:bookmarkStart w:id="118" w:name="sub_2000"/>
        <w:bookmarkEnd w:id="118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 11-106-97*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                                    Утверждаю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    правления                     Глава администрации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садово-дачного объединения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                   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  200_ г.                     "____" __________ 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Примерная форма разрешения на застройку садового (дачного)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Выдано члену садово-дачного объединения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выполнение _______обустройства и застройки индивидуального участка 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 также обозначенных на проекте застройки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надворных строений)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расположенных по адресу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Разрешение выдано на основании наличия следующих документов: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заявление на получение  разрешения  на  обустройство  и  застройку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участка;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проекта застройки индивидуального садового (дачного) участка;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документа, удостоверяющего право на садовый (дачный) участок;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проектной документации на строительство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разработанной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организации, разработчика)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согласованной с Управлением (отделом) архитектуры градостроительства.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акта о натурном установлении границ земельного участка и  разбивки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строений (габаритов, осей зданий, трасс инженерных коммуникаций).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Технический надзор поручен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физического 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юридического лица)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Авторский надзор поручен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физического 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юридического лица)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Член садово-дачного объединения обязан: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выполнять работы в соответствии с проектом, техническими  условиями,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условиями на производство работ,  с  обеспечением  противопожарных  норм,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Санэпиднадзора и охраны труда, в  первую  очередь,  работы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внешнему  благоустройству   (ограждение,   ворота,   калитки,   тротуары,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озеленение и другие);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сохранять все зеленые насаждения на участке, на тротуарах и  улицах,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 исключением подлежащих переноске или вырубке.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Запрещается  возведение  на  земельном  участке   дополнительных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строений и сооружений, не предусмотренных проектом застройки.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Срок действия разрешения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Все  пункты  данного  разрешения   мне   лично   известны,   что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удостоверяет своей подписью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 садово-дачного объединения ____________________  (_________________)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выдачи разрешения                    "____" __________ 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архитектор города (района) _________________  (_________________)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разрешения продлено до         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(число, год)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архитектор города (района) _________________  (_________________)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30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hyperlink w:anchor="sub_0">
        <w:bookmarkStart w:id="120" w:name="sub_3000"/>
        <w:bookmarkEnd w:id="120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 11-106-97*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Примерный состав паспорта проекта</w:t>
        <w:br/>
        <w:t>жилого строения (дома) и застройки садового (дачного) участка</w:t>
        <w:br/>
        <w:t>(нормативно-правовой документ для всех участков</w:t>
        <w:br/>
        <w:t>градостроительной деятельности)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Краткая пояснительная записка, технико-экономические показатели.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Ситуационный план (в масштабе 1:5000, 1:2000).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Выкопировка из генплана (садово-дачного объединения) (в масштабе 1:1000; 1:500).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Топосъемка (то же опорный план).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 застройки садового (дачного)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Планы этажей, фасады, разрез (масштаб произвольный).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согласования или запись о соответствии СНиП лицензированного лица.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40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hyperlink w:anchor="sub_0">
        <w:bookmarkStart w:id="122" w:name="sub_4000"/>
        <w:bookmarkEnd w:id="122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 11-106-97*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Примерный состав проекта на строительство жилого строения (дома)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Ситуационный план (1:500).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Генеральный план участка: с вертикальной планировкой и привязкой проекта к местности (М 1:200 - 1:1000).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План подвала (техподполья, цокольного этажа).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Планы этажей (М 1:100, 1:50).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Главный и боковой фасады зданий (М 1:50, 1:100).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Разрезы (характерные) (М 1:100, 1:50).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Планы перекрытий и покрытий неповторяющихся этажей (М:100).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План стропильной системы крыши (М 1:100).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План кровли (М 1:100, 1:200).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План фундамента (М 1:100, 1:50).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Сечение фундаментов, характерные архитектурно-строительные узлы и детали (М 1:10, 1:20).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Общая пояснительная записка и технико-экономические показатели.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Чертежи инженерного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состав проекта жилого строения (дома) сезонного проживания может быть упрощен в соответствии с заданием на проектирование.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2007-01-19T18:24:00Z</dcterms:created>
  <dc:creator>Виктор</dc:creator>
  <dc:description/>
  <dc:language>ru-RU</dc:language>
  <cp:lastModifiedBy>Виктор</cp:lastModifiedBy>
  <dcterms:modified xsi:type="dcterms:W3CDTF">2007-01-19T18:26:00Z</dcterms:modified>
  <cp:revision>2</cp:revision>
  <dc:subject/>
  <dc:title/>
</cp:coreProperties>
</file>