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Соглашение Госстроя РФ и Госгортехнадзора РФ от 17 мая 1993 г.</w:t>
        <w:br/>
        <w:t>"О взаимодействии и разграничении компетенции и полномочий</w:t>
        <w:br/>
        <w:t>по вопросам лицензирования строительной деятельности между</w:t>
        <w:br/>
        <w:t>Госстроем России и Госгортехнадзором России"</w:t>
        <w:br/>
        <w:t>(утв. Госстроем России и Госгортехнадзором России 17 мая 1993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Указанное Соглашение определяет порядок взаимодействия и разграничения компетенции и полномочий в области лицензирования видов деятельности, связанных со строительством, между органами Госгортехнадзора России и центрами лицензирования строительной деятельности Госстроя России и основывается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Указах Президента Российской Федерации от 12.11.92 N 1355 "О государственных надзорных органах" и от 18.02.93 N 234 "Об утверждении Положения о Федеральном горном и промышленном надзоре России";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Постановлении Совета Министров РСФСР от 08.11.91 N 593 "О введении государственного лицензирования строительной деятельности на территории РСФСР";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Постановлении Совета Министров - Правительства Российской Федерации от 02.02.93 N 90 "Об утверждении Положения о Государственном комитете Российской Федерации по вопросам архитектуры и строительства", которым методологическое руководство и организация лицензирования в области инженерных изысканий, проектирования и строительства, аккредитация органов по лицензированию строительной деятельности возложены на Госстрой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Перечне видов строительной деятельности и работ, осуществляемых на основании лицензий, утвержденном Минстроем России 28.01.92; Перечне видов деятельности, связанных с повышенной опасностью промышленных производств (объектов) и работ, а также с обеспечением безопасности при пользовании недрами, на проведение которых выдается специальное разрешение (лицензия) органами Госгортехнадзора России, утвержденном Указом Президента Российской Федерации от 18.02.93 N 234.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Взаимодействие и разграничение компетенции и полномочий органов Госгортехнадзора России и органов Государственного лицензирования строительной деятельности осуществляются на основании соблюдения принципов и целей соответствующих систем лицензирования, связанных: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 защитой производственного персонала, населения и окружающей среды от воздействия опасных факторов производственной деятельности;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защитой прав и интересов потребителей строительной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Органы Госгортехнадзора России и органы Государственного лицензирования строительной деятельности взаимодействуют в области лицензирования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на постоянной и безвозмездной основе и на всех уровнях обмениваются нормативно-методическими документами и информацией, связанными с организацией и осуществлением процедуры выдачи соответствующих лицензий;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организуют и осуществляют совместные проверки выполнения условий действия выданных лицензий.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Территориальные лицензионные центры, Федеральный лицензионный центр при Госстрое России при выдаче лицензий на строительную деятельность, подконтрольную органам Госгортехнадзора России, в графе "Особые условия" в обязательном порядке указывают необходимость получения соответствующего специального разрешения (лицензии) от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Виды строительной деятельности и работы, связанные с повышенной опасностью промышленных производств и объектов, на проведение которых необходимо специальное разрешение (лицензия) Госгортехнадзора России, прилагаются.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При выдаче специальных разрешений (лицензий) органами Госгортехнадзора России организациям (предприятиям) на виды строительной деятельности и работы, связанные с повышенной опасностью промышленных производств и объектов, одним из обязательных условий является наличие у них государственной лицензии на строительную деятельность, выдаваемую лицензионными центрами.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Процедура нормативно-методологического обеспечения и контроля действия настоящего Соглашения возлагается на Управление лицензирования Госстроя России и Главное техническое управление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" w:name="sub_1000"/>
      <w:bookmarkEnd w:id="11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b/>
          <w:b/>
          <w:bCs/>
          <w:sz w:val="20"/>
          <w:szCs w:val="20"/>
        </w:rPr>
      </w:pPr>
      <w:bookmarkStart w:id="12" w:name="sub_1000"/>
      <w:bookmarkEnd w:id="12"/>
      <w:r>
        <w:rPr>
          <w:rFonts w:cs="Arial" w:ascii="Arial" w:hAnsi="Arial"/>
          <w:b/>
          <w:bCs/>
          <w:sz w:val="20"/>
          <w:szCs w:val="20"/>
        </w:rPr>
        <w:t xml:space="preserve">к </w:t>
      </w:r>
      <w:hyperlink w:anchor="sub_0">
        <w:r>
          <w:rPr>
            <w:rStyle w:val="Style16"/>
            <w:rFonts w:cs="Arial" w:ascii="Arial" w:hAnsi="Arial"/>
            <w:b/>
            <w:bCs/>
            <w:sz w:val="20"/>
            <w:szCs w:val="20"/>
            <w:u w:val="single"/>
          </w:rPr>
          <w:t>Соглашению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Виды строительной деятельности и работы, связанные</w:t>
        <w:br/>
        <w:t>с повышенной опасностью промышленных производств и объектов,</w:t>
        <w:br/>
        <w:t>на проведение которых выдается специальное разрешение</w:t>
        <w:br/>
        <w:t>(лицензия) органами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Проектирование, строительство (монтаж):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01"/>
      <w:bookmarkEnd w:id="13"/>
      <w:r>
        <w:rPr>
          <w:rFonts w:cs="Arial" w:ascii="Arial" w:hAnsi="Arial"/>
          <w:sz w:val="20"/>
          <w:szCs w:val="20"/>
        </w:rPr>
        <w:t>1. Горных производств и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01"/>
      <w:bookmarkEnd w:id="14"/>
      <w:r>
        <w:rPr>
          <w:rFonts w:cs="Arial" w:ascii="Arial" w:hAnsi="Arial"/>
          <w:sz w:val="20"/>
          <w:szCs w:val="20"/>
        </w:rPr>
        <w:t>ведущих горные работы с применением взрывчатых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повышенной температурой окружающих пород в местах производства горных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опасных по газу и пыли;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опасных по внезапным выбросам угля, породы, газа;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опасных по горным ударам;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опасных по прорыву воды, плывунов;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ведущих горные работы под водными объектами;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разрабатывающих участки месторождения, в пределах которых имеются затопленные горные выработки, горизонты напорных вод и плывуны;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разрабатывающих месторождения полезных ископаемых в зоне с повышенной сейсмичностью;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разрабатывающих месторождения полезных ископаемых, склонных к самовозгоранию;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разрабатывающих месторождения полезных ископаемых с повышенным горным давлением массива горных пород;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подрабатывающих города, поселки, населенные пункты, промышленные комплексы, отдельные предприятия, здания, сооружения и водные объекты, а также объекты железнодорожного и трубопроводного транспорта;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подрабатывающих объекты, в которых производятся или хранятся вредные химические и отравляющие вещества;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разрабатывающих месторождения полезных ископаемых в сложных горно-геологических условиях;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разрабатывающих месторождения полезных ископаемых открытым способом со сложными горно-геологическими и гидрогеологическими условиями, вызывающими оползни бортов, уступов, отвалов горных пород;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разрабатывающих месторождения полезных ископаемых одновременно открытым и подземным способами;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шахтного, гидротехнического, транспортного и специального строительства (включая метрополитены и тоннели).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02"/>
      <w:bookmarkEnd w:id="15"/>
      <w:r>
        <w:rPr>
          <w:rFonts w:cs="Arial" w:ascii="Arial" w:hAnsi="Arial"/>
          <w:sz w:val="20"/>
          <w:szCs w:val="20"/>
        </w:rPr>
        <w:t>2. Нефте- и газодобывающих производств и объектов: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02"/>
      <w:bookmarkEnd w:id="16"/>
      <w:r>
        <w:rPr>
          <w:rFonts w:cs="Arial" w:ascii="Arial" w:hAnsi="Arial"/>
          <w:sz w:val="20"/>
          <w:szCs w:val="20"/>
        </w:rPr>
        <w:t>разрабатывающих нефтяные и газовые месторождения с содержанием в добываемых полезных ископаемых вредных и ядовитых компонентов, а также нефтяные и газовые месторождения на континентальном шельфе.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003"/>
      <w:bookmarkEnd w:id="17"/>
      <w:r>
        <w:rPr>
          <w:rFonts w:cs="Arial" w:ascii="Arial" w:hAnsi="Arial"/>
          <w:sz w:val="20"/>
          <w:szCs w:val="20"/>
        </w:rPr>
        <w:t>3. Магистральных газо-, нефте-, продуктопроводов.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03"/>
      <w:bookmarkStart w:id="19" w:name="sub_1004"/>
      <w:bookmarkEnd w:id="18"/>
      <w:bookmarkEnd w:id="19"/>
      <w:r>
        <w:rPr>
          <w:rFonts w:cs="Arial" w:ascii="Arial" w:hAnsi="Arial"/>
          <w:sz w:val="20"/>
          <w:szCs w:val="20"/>
        </w:rPr>
        <w:t>4. Объектов газового хозяйства: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04"/>
      <w:bookmarkEnd w:id="20"/>
      <w:r>
        <w:rPr>
          <w:rFonts w:cs="Arial" w:ascii="Arial" w:hAnsi="Arial"/>
          <w:sz w:val="20"/>
          <w:szCs w:val="20"/>
        </w:rPr>
        <w:t>наружных газопроводов городов, поселков и сельских населенных пунктов (включая межпоселковые); газорегуляторных пунктов и установок, газопроводов и газового оборудования промышленных, сельскохозяйственных и других предприятий, использующих природные газы (газовых и газонефтяных месторождений) с избыточным давлением не более 1,2 МПа (12 кгс/кв. см) и сжиженные углеводородные газы с избыточным давлением не более 1,6 МПа (16 кгс/кв. см) в качестве топлива, газонаполнительных станций и пунктов, стационарных автомобильных газозаправочных станций, резервуарных и групповых баллонных установок сжиженного газа.</w:t>
      </w:r>
    </w:p>
    <w:p>
      <w:pPr>
        <w:pStyle w:val="Normal"/>
        <w:autoSpaceDE w:val="false"/>
        <w:ind w:firstLine="720"/>
        <w:jc w:val="both"/>
        <w:rPr/>
      </w:pPr>
      <w:bookmarkStart w:id="21" w:name="sub_1005"/>
      <w:bookmarkEnd w:id="21"/>
      <w:r>
        <w:rPr>
          <w:rFonts w:cs="Arial" w:ascii="Arial" w:hAnsi="Arial"/>
          <w:sz w:val="20"/>
          <w:szCs w:val="20"/>
        </w:rPr>
        <w:t>5. Металлургических производств и объектов (</w:t>
      </w:r>
      <w:hyperlink w:anchor="sub_1997">
        <w:r>
          <w:rPr>
            <w:rStyle w:val="Style16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05"/>
      <w:bookmarkEnd w:id="22"/>
      <w:r>
        <w:rPr>
          <w:rFonts w:cs="Arial" w:ascii="Arial" w:hAnsi="Arial"/>
          <w:sz w:val="20"/>
          <w:szCs w:val="20"/>
        </w:rPr>
        <w:t>доменных сталеплавильных, ферросплавных, прокатных, коксохимических, алюминиевых, медно-никелевых, кобальтовых, титано-магниевых, свинцово-цинковых, оловянных, полупроводниковых материалов (германия и кремния), твердосплавных, серы, порошков металлов;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получению, переработке, хранению и применению продуктов разделения воздуха, водорода, хлора, аммиака, используемых в вышеперечисленных производствах.</w:t>
      </w:r>
    </w:p>
    <w:p>
      <w:pPr>
        <w:pStyle w:val="Normal"/>
        <w:autoSpaceDE w:val="false"/>
        <w:ind w:firstLine="720"/>
        <w:jc w:val="both"/>
        <w:rPr/>
      </w:pPr>
      <w:bookmarkStart w:id="23" w:name="sub_1006"/>
      <w:bookmarkEnd w:id="23"/>
      <w:r>
        <w:rPr>
          <w:rFonts w:cs="Arial" w:ascii="Arial" w:hAnsi="Arial"/>
          <w:sz w:val="20"/>
          <w:szCs w:val="20"/>
        </w:rPr>
        <w:t>6. Химических, нефтехимических, нефте- и газоперерабатывающих, химико-фармацевтических, целлюлозно-бумажных, микробиологических и других взрывопожароопасных производств и объектов (</w:t>
      </w:r>
      <w:hyperlink w:anchor="sub_1998">
        <w:r>
          <w:rPr>
            <w:rStyle w:val="Style16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), связанных с обращением или хранением в них веществ, которые могут образовывать пылевоздушные или паровоздушные взрывоопасные смеси.</w:t>
      </w:r>
    </w:p>
    <w:p>
      <w:pPr>
        <w:pStyle w:val="Normal"/>
        <w:autoSpaceDE w:val="false"/>
        <w:ind w:firstLine="720"/>
        <w:jc w:val="both"/>
        <w:rPr/>
      </w:pPr>
      <w:bookmarkStart w:id="24" w:name="sub_1006"/>
      <w:bookmarkStart w:id="25" w:name="sub_1007"/>
      <w:bookmarkEnd w:id="24"/>
      <w:bookmarkEnd w:id="25"/>
      <w:r>
        <w:rPr>
          <w:rFonts w:cs="Arial" w:ascii="Arial" w:hAnsi="Arial"/>
          <w:sz w:val="20"/>
          <w:szCs w:val="20"/>
        </w:rPr>
        <w:t>7. Паровых котлов, трубопроводов для пара и сосудов, работающих под давлением более 0,07 МПа (0,7 кгс/кв. см), водогрейных котлов и трубопроводов горячей воды с температурой нагрева более 115 градусов С, грузоподъемных кранов, подъемников (вышек), лифтов, эскалаторов, фуникулеров, подвесных пассажирских и грузовых канатных дорог, регистрируемых в органах Госгортехнадзора России (</w:t>
      </w:r>
      <w:hyperlink w:anchor="sub_1998">
        <w:r>
          <w:rPr>
            <w:rStyle w:val="Style16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6" w:name="sub_1007"/>
      <w:bookmarkStart w:id="27" w:name="sub_1008"/>
      <w:bookmarkEnd w:id="26"/>
      <w:bookmarkEnd w:id="27"/>
      <w:r>
        <w:rPr>
          <w:rFonts w:cs="Arial" w:ascii="Arial" w:hAnsi="Arial"/>
          <w:sz w:val="20"/>
          <w:szCs w:val="20"/>
        </w:rPr>
        <w:t>8. Производство объектов по хранению и переработке зерна: элеваторов, складов силосного типа, мельниц, крупозаводов и комбикормовых заводов (</w:t>
      </w:r>
      <w:hyperlink w:anchor="sub_1999">
        <w:r>
          <w:rPr>
            <w:rStyle w:val="Style16"/>
            <w:rFonts w:cs="Arial" w:ascii="Arial" w:hAnsi="Arial"/>
            <w:sz w:val="20"/>
            <w:szCs w:val="20"/>
            <w:u w:val="single"/>
          </w:rPr>
          <w:t>***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008"/>
      <w:bookmarkStart w:id="29" w:name="sub_1009"/>
      <w:bookmarkEnd w:id="28"/>
      <w:bookmarkEnd w:id="29"/>
      <w:r>
        <w:rPr>
          <w:rFonts w:cs="Arial" w:ascii="Arial" w:hAnsi="Arial"/>
          <w:sz w:val="20"/>
          <w:szCs w:val="20"/>
        </w:rPr>
        <w:t>9. Складов, пунктов погрузки-разгрузки взрывчатых материалов, механизированных пунктов изготовления и подготовки взрывчатых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009"/>
      <w:bookmarkStart w:id="31" w:name="sub_1010"/>
      <w:bookmarkEnd w:id="30"/>
      <w:bookmarkEnd w:id="31"/>
      <w:r>
        <w:rPr>
          <w:rFonts w:cs="Arial" w:ascii="Arial" w:hAnsi="Arial"/>
          <w:sz w:val="20"/>
          <w:szCs w:val="20"/>
        </w:rPr>
        <w:t>10. Производство работ с применением взрывчатых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010"/>
      <w:bookmarkStart w:id="33" w:name="sub_1011"/>
      <w:bookmarkEnd w:id="32"/>
      <w:bookmarkEnd w:id="33"/>
      <w:r>
        <w:rPr>
          <w:rFonts w:cs="Arial" w:ascii="Arial" w:hAnsi="Arial"/>
          <w:sz w:val="20"/>
          <w:szCs w:val="20"/>
        </w:rPr>
        <w:t>11. Производство маркшейдерских работ при пользовании недрами.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011"/>
      <w:bookmarkStart w:id="35" w:name="sub_1011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При необходимости указанная компетенция органов Госгортехнадзора России в области лицензирования строительной деятельности, связанной с повышенной опасностью промышленных производств и объектов, может быть уточнена по взаимному согласию Управления лицензирования в строительстве Госстроя России и Главного технического управления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997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997"/>
      <w:bookmarkEnd w:id="37"/>
      <w:r>
        <w:rPr>
          <w:rFonts w:cs="Arial" w:ascii="Arial" w:hAnsi="Arial"/>
          <w:sz w:val="20"/>
          <w:szCs w:val="20"/>
        </w:rPr>
        <w:t>(*) Органы Госгортехнадзора России выдают специальные разрешения (лицензии) только на проектирование и монтаж указанных металлургических и химических производств и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998"/>
      <w:bookmarkEnd w:id="38"/>
      <w:r>
        <w:rPr>
          <w:rFonts w:cs="Arial" w:ascii="Arial" w:hAnsi="Arial"/>
          <w:sz w:val="20"/>
          <w:szCs w:val="20"/>
        </w:rPr>
        <w:t>(**) Органы Госгортехнадзора России выдают специальные разрешения (лицензии) на проектирование и монтаж указанных объектов и оборудования. (Специализированные предприятия, выполняющие своими силами работы исключительно по проектированию и монтажу подъемного оборудования, получают специальное разрешение (лицензию) на осуществление такой деятельности в органах Госгортехнадзора России. При осуществлении других видов строительной деятельности и работ указанными предприятиями обязательно получение государственной лицензии на строительную деятельность.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998"/>
      <w:bookmarkStart w:id="40" w:name="sub_1999"/>
      <w:bookmarkEnd w:id="39"/>
      <w:bookmarkEnd w:id="40"/>
      <w:r>
        <w:rPr>
          <w:rFonts w:cs="Arial" w:ascii="Arial" w:hAnsi="Arial"/>
          <w:sz w:val="20"/>
          <w:szCs w:val="20"/>
        </w:rPr>
        <w:t>(***) Органы Госгортехнадзора России выдают специальные разрешения (лицензии) на проектирование указанных производств и объектов по хранению и переработке зерна.</w:t>
      </w:r>
    </w:p>
    <w:p>
      <w:pPr>
        <w:pStyle w:val="Normal"/>
        <w:rPr>
          <w:rFonts w:ascii="Arial" w:hAnsi="Arial" w:cs="Arial"/>
          <w:sz w:val="20"/>
          <w:szCs w:val="20"/>
        </w:rPr>
      </w:pPr>
      <w:bookmarkStart w:id="41" w:name="sub_1999"/>
      <w:bookmarkStart w:id="42" w:name="sub_1999"/>
      <w:bookmarkEnd w:id="42"/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2007-01-31T19:16:00Z</dcterms:created>
  <dc:creator>Виктор</dc:creator>
  <dc:description/>
  <dc:language>ru-RU</dc:language>
  <cp:lastModifiedBy>Виктор</cp:lastModifiedBy>
  <dcterms:modified xsi:type="dcterms:W3CDTF">2007-01-31T19:17:00Z</dcterms:modified>
  <cp:revision>2</cp:revision>
  <dc:subject/>
  <dc:title/>
</cp:coreProperties>
</file>