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11.wmf" ContentType="image/x-wmf"/>
  <Override PartName="/word/media/image410.wmf" ContentType="image/x-wmf"/>
  <Override PartName="/word/media/image179.wmf" ContentType="image/x-wmf"/>
  <Override PartName="/word/media/image239.wmf" ContentType="image/x-wmf"/>
  <Override PartName="/word/media/image178.wmf" ContentType="image/x-wmf"/>
  <Override PartName="/word/media/image238.wmf" ContentType="image/x-wmf"/>
  <Override PartName="/word/media/image177.wmf" ContentType="image/x-wmf"/>
  <Override PartName="/word/media/image237.wmf" ContentType="image/x-wmf"/>
  <Override PartName="/word/media/image176.wmf" ContentType="image/x-wmf"/>
  <Override PartName="/word/media/image236.wmf" ContentType="image/x-wmf"/>
  <Override PartName="/word/media/image175.wmf" ContentType="image/x-wmf"/>
  <Override PartName="/word/media/image235.wmf" ContentType="image/x-wmf"/>
  <Override PartName="/word/media/image174.wmf" ContentType="image/x-wmf"/>
  <Override PartName="/word/media/image234.wmf" ContentType="image/x-wmf"/>
  <Override PartName="/word/media/image173.wmf" ContentType="image/x-wmf"/>
  <Override PartName="/word/media/image233.wmf" ContentType="image/x-wmf"/>
  <Override PartName="/word/media/image172.wmf" ContentType="image/x-wmf"/>
  <Override PartName="/word/media/image171.wmf" ContentType="image/x-wmf"/>
  <Override PartName="/word/media/image231.wmf" ContentType="image/x-wmf"/>
  <Override PartName="/word/media/image170.wmf" ContentType="image/x-wmf"/>
  <Override PartName="/word/media/image230.wmf" ContentType="image/x-wmf"/>
  <Override PartName="/word/media/image169.wmf" ContentType="image/x-wmf"/>
  <Override PartName="/word/media/image229.wmf" ContentType="image/x-wmf"/>
  <Override PartName="/word/media/image168.wmf" ContentType="image/x-wmf"/>
  <Override PartName="/word/media/image228.wmf" ContentType="image/x-wmf"/>
  <Override PartName="/word/media/image167.wmf" ContentType="image/x-wmf"/>
  <Override PartName="/word/media/image227.wmf" ContentType="image/x-wmf"/>
  <Override PartName="/word/media/image166.wmf" ContentType="image/x-wmf"/>
  <Override PartName="/word/media/image226.wmf" ContentType="image/x-wmf"/>
  <Override PartName="/word/media/image165.wmf" ContentType="image/x-wmf"/>
  <Override PartName="/word/media/image225.wmf" ContentType="image/x-wmf"/>
  <Override PartName="/word/media/image164.wmf" ContentType="image/x-wmf"/>
  <Override PartName="/word/media/image163.wmf" ContentType="image/x-wmf"/>
  <Override PartName="/word/media/image223.wmf" ContentType="image/x-wmf"/>
  <Override PartName="/word/media/image162.wmf" ContentType="image/x-wmf"/>
  <Override PartName="/word/media/image161.wmf" ContentType="image/x-wmf"/>
  <Override PartName="/word/media/image221.wmf" ContentType="image/x-wmf"/>
  <Override PartName="/word/media/image160.wmf" ContentType="image/x-wmf"/>
  <Override PartName="/word/media/image220.wmf" ContentType="image/x-wmf"/>
  <Override PartName="/word/media/image214.wmf" ContentType="image/x-wmf"/>
  <Override PartName="/word/media/image213.wmf" ContentType="image/x-wmf"/>
  <Override PartName="/word/media/image212.wmf" ContentType="image/x-wmf"/>
  <Override PartName="/word/media/image211.wmf" ContentType="image/x-wmf"/>
  <Override PartName="/word/media/image150.wmf" ContentType="image/x-wmf"/>
  <Override PartName="/word/media/image210.wmf" ContentType="image/x-wmf"/>
  <Override PartName="/word/media/image208.wmf" ContentType="image/x-wmf"/>
  <Override PartName="/word/media/image207.wmf" ContentType="image/x-wmf"/>
  <Override PartName="/word/media/image206.wmf" ContentType="image/x-wmf"/>
  <Override PartName="/word/media/image205.wmf" ContentType="image/x-wmf"/>
  <Override PartName="/word/media/image204.wmf" ContentType="image/x-wmf"/>
  <Override PartName="/word/media/image203.wmf" ContentType="image/x-wmf"/>
  <Override PartName="/word/media/image202.wmf" ContentType="image/x-wmf"/>
  <Override PartName="/word/media/image201.wmf" ContentType="image/x-wmf"/>
  <Override PartName="/word/media/image140.wmf" ContentType="image/x-wmf"/>
  <Override PartName="/word/media/image200.wmf" ContentType="image/x-wmf"/>
  <Override PartName="/word/media/image130.wmf" ContentType="image/x-wmf"/>
  <Override PartName="/word/media/image299.wmf" ContentType="image/x-wmf"/>
  <Override PartName="/word/media/image120.wmf" ContentType="image/x-wmf"/>
  <Override PartName="/word/media/image153.wmf" ContentType="image/x-wmf"/>
  <Override PartName="/word/media/image292.wmf" ContentType="image/x-wmf"/>
  <Override PartName="/word/media/image289.wmf" ContentType="image/x-wmf"/>
  <Override PartName="/word/media/image148.wmf" ContentType="image/x-wmf"/>
  <Override PartName="/word/media/image287.wmf" ContentType="image/x-wmf"/>
  <Override PartName="/word/media/image147.wmf" ContentType="image/x-wmf"/>
  <Override PartName="/word/media/image286.wmf" ContentType="image/x-wmf"/>
  <Override PartName="/word/media/image145.wmf" ContentType="image/x-wmf"/>
  <Override PartName="/word/media/image284.wmf" ContentType="image/x-wmf"/>
  <Override PartName="/word/media/image144.wmf" ContentType="image/x-wmf"/>
  <Override PartName="/word/media/image283.wmf" ContentType="image/x-wmf"/>
  <Override PartName="/word/media/image110.wmf" ContentType="image/x-wmf"/>
  <Override PartName="/word/media/image143.wmf" ContentType="image/x-wmf"/>
  <Override PartName="/word/media/image282.wmf" ContentType="image/x-wmf"/>
  <Override PartName="/word/media/image279.wmf" ContentType="image/x-wmf"/>
  <Override PartName="/word/media/image137.wmf" ContentType="image/x-wmf"/>
  <Override PartName="/word/media/image276.wmf" ContentType="image/x-wmf"/>
  <Override PartName="/word/media/image99.wmf" ContentType="image/x-wmf"/>
  <Override PartName="/word/media/image98.wmf" ContentType="image/x-wmf"/>
  <Override PartName="/word/media/image135.wmf" ContentType="image/x-wmf"/>
  <Override PartName="/word/media/image274.wmf" ContentType="image/x-wmf"/>
  <Override PartName="/word/media/image97.wmf" ContentType="image/x-wmf"/>
  <Override PartName="/word/media/image46.wmf" ContentType="image/x-wmf"/>
  <Override PartName="/word/media/image45.wmf" ContentType="image/x-wmf"/>
  <Override PartName="/word/media/image44.wmf" ContentType="image/x-wmf"/>
  <Override PartName="/word/media/image43.wmf" ContentType="image/x-wmf"/>
  <Override PartName="/word/media/image35.wmf" ContentType="image/x-wmf"/>
  <Override PartName="/word/media/image34.wmf" ContentType="image/x-wmf"/>
  <Override PartName="/word/media/image33.wmf" ContentType="image/x-wmf"/>
  <Override PartName="/word/media/image32.wmf" ContentType="image/x-wmf"/>
  <Override PartName="/word/media/image31.wmf" ContentType="image/x-wmf"/>
  <Override PartName="/word/media/image30.wmf" ContentType="image/x-wmf"/>
  <Override PartName="/word/media/image89.wmf" ContentType="image/x-wmf"/>
  <Override PartName="/word/media/image29.wmf" ContentType="image/x-wmf"/>
  <Override PartName="/word/media/image28.wmf" ContentType="image/x-wmf"/>
  <Override PartName="/word/media/image118.wmf" ContentType="image/x-wmf"/>
  <Override PartName="/word/media/image381.wmf" ContentType="image/x-wmf"/>
  <Override PartName="/word/media/image257.wmf" ContentType="image/x-wmf"/>
  <Override PartName="/word/media/image27.wmf" ContentType="image/x-wmf"/>
  <Override PartName="/word/media/image379.wmf" ContentType="image/x-wmf"/>
  <Override PartName="/word/media/image117.wmf" ContentType="image/x-wmf"/>
  <Override PartName="/word/media/image380.wmf" ContentType="image/x-wmf"/>
  <Override PartName="/word/media/image256.wmf" ContentType="image/x-wmf"/>
  <Override PartName="/word/media/image26.wmf" ContentType="image/x-wmf"/>
  <Override PartName="/word/media/image378.wmf" ContentType="image/x-wmf"/>
  <Override PartName="/word/media/image116.wmf" ContentType="image/x-wmf"/>
  <Override PartName="/word/media/image255.wmf" ContentType="image/x-wmf"/>
  <Override PartName="/word/media/image342.png" ContentType="image/png"/>
  <Override PartName="/word/media/image25.wmf" ContentType="image/x-wmf"/>
  <Override PartName="/word/media/image377.wmf" ContentType="image/x-wmf"/>
  <Override PartName="/word/media/image115.wmf" ContentType="image/x-wmf"/>
  <Override PartName="/word/media/image254.wmf" ContentType="image/x-wmf"/>
  <Override PartName="/word/media/image24.wmf" ContentType="image/x-wmf"/>
  <Override PartName="/word/media/image376.wmf" ContentType="image/x-wmf"/>
  <Override PartName="/word/media/image59.wmf" ContentType="image/x-wmf"/>
  <Override PartName="/word/media/image416.wmf" ContentType="image/x-wmf"/>
  <Override PartName="/word/media/image194.wmf" ContentType="image/x-wmf"/>
  <Override PartName="/word/media/image10.wmf" ContentType="image/x-wmf"/>
  <Override PartName="/word/media/image362.wmf" ContentType="image/x-wmf"/>
  <Override PartName="/word/media/image69.wmf" ContentType="image/x-wmf"/>
  <Override PartName="/word/media/image42.wmf" ContentType="image/x-wmf"/>
  <Override PartName="/word/media/image309.wmf" ContentType="image/x-wmf"/>
  <Override PartName="/word/media/image415.wmf" ContentType="image/x-wmf"/>
  <Override PartName="/word/media/image193.wmf" ContentType="image/x-wmf"/>
  <Override PartName="/word/media/image114.wmf" ContentType="image/x-wmf"/>
  <Override PartName="/word/media/image253.wmf" ContentType="image/x-wmf"/>
  <Override PartName="/word/media/image340.png" ContentType="image/png"/>
  <Override PartName="/word/media/image23.wmf" ContentType="image/x-wmf"/>
  <Override PartName="/word/media/image375.wmf" ContentType="image/x-wmf"/>
  <Override PartName="/word/media/image58.wmf" ContentType="image/x-wmf"/>
  <Override PartName="/word/media/image146.wmf" ContentType="image/x-wmf"/>
  <Override PartName="/word/media/image232.png" ContentType="image/png"/>
  <Override PartName="/word/media/image36.wmf" ContentType="image/x-wmf"/>
  <Override PartName="/word/media/image294.wmf" ContentType="image/x-wmf"/>
  <Override PartName="/word/media/image155.wmf" ContentType="image/x-wmf"/>
  <Override PartName="/word/media/image215.wmf" ContentType="image/x-wmf"/>
  <Override PartName="/word/media/image56.wmf" ContentType="image/x-wmf"/>
  <Override PartName="/word/media/image413.wmf" ContentType="image/x-wmf"/>
  <Override PartName="/word/media/image191.wmf" ContentType="image/x-wmf"/>
  <Override PartName="/word/media/image112.wmf" ContentType="image/x-wmf"/>
  <Override PartName="/word/media/image251.wmf" ContentType="image/x-wmf"/>
  <Override PartName="/word/media/image21.wmf" ContentType="image/x-wmf"/>
  <Override PartName="/word/media/image373.wmf" ContentType="image/x-wmf"/>
  <Override PartName="/word/media/image37.wmf" ContentType="image/x-wmf"/>
  <Override PartName="/word/media/image295.wmf" ContentType="image/x-wmf"/>
  <Override PartName="/word/media/image156.wmf" ContentType="image/x-wmf"/>
  <Override PartName="/word/media/image1.wmf" ContentType="image/x-wmf"/>
  <Override PartName="/word/media/image216.wmf" ContentType="image/x-wmf"/>
  <Override PartName="/word/media/image57.wmf" ContentType="image/x-wmf"/>
  <Override PartName="/word/media/image414.wmf" ContentType="image/x-wmf"/>
  <Override PartName="/word/media/image192.wmf" ContentType="image/x-wmf"/>
  <Override PartName="/word/media/image113.wmf" ContentType="image/x-wmf"/>
  <Override PartName="/word/media/image252.wmf" ContentType="image/x-wmf"/>
  <Override PartName="/word/media/image22.wmf" ContentType="image/x-wmf"/>
  <Override PartName="/word/media/image374.wmf" ContentType="image/x-wmf"/>
  <Override PartName="/word/media/image38.wmf" ContentType="image/x-wmf"/>
  <Override PartName="/word/media/image384.wmf" ContentType="image/x-wmf"/>
  <Override PartName="/word/media/image296.wmf" ContentType="image/x-wmf"/>
  <Override PartName="/word/media/image157.wmf" ContentType="image/x-wmf"/>
  <Override PartName="/word/media/image2.wmf" ContentType="image/x-wmf"/>
  <Override PartName="/word/media/image217.wmf" ContentType="image/x-wmf"/>
  <Override PartName="/word/media/image53.wmf" ContentType="image/x-wmf"/>
  <Override PartName="/word/media/image39.wmf" ContentType="image/x-wmf"/>
  <Override PartName="/word/media/image385.wmf" ContentType="image/x-wmf"/>
  <Override PartName="/word/media/image297.wmf" ContentType="image/x-wmf"/>
  <Override PartName="/word/media/image158.wmf" ContentType="image/x-wmf"/>
  <Override PartName="/word/media/image3.wmf" ContentType="image/x-wmf"/>
  <Override PartName="/word/media/image218.wmf" ContentType="image/x-wmf"/>
  <Override PartName="/word/media/image383.wmf" ContentType="image/x-wmf"/>
  <Override PartName="/word/media/image259.wmf" ContentType="image/x-wmf"/>
  <Override PartName="/word/media/image346.png" ContentType="image/png"/>
  <Override PartName="/word/media/image54.wmf" ContentType="image/x-wmf"/>
  <Override PartName="/word/media/image102.wmf" ContentType="image/x-wmf"/>
  <Override PartName="/word/media/image241.wmf" ContentType="image/x-wmf"/>
  <Override PartName="/word/media/image417.wmf" ContentType="image/x-wmf"/>
  <Override PartName="/word/media/image195.wmf" ContentType="image/x-wmf"/>
  <Override PartName="/word/media/image11.wmf" ContentType="image/x-wmf"/>
  <Override PartName="/word/media/image363.wmf" ContentType="image/x-wmf"/>
  <Override PartName="/word/media/image103.wmf" ContentType="image/x-wmf"/>
  <Override PartName="/word/media/image242.wmf" ContentType="image/x-wmf"/>
  <Override PartName="/word/media/image196.wmf" ContentType="image/x-wmf"/>
  <Override PartName="/word/media/image12.wmf" ContentType="image/x-wmf"/>
  <Override PartName="/word/media/image364.wmf" ContentType="image/x-wmf"/>
  <Override PartName="/word/media/image104.wmf" ContentType="image/x-wmf"/>
  <Override PartName="/word/media/image243.wmf" ContentType="image/x-wmf"/>
  <Override PartName="/word/media/image330.png" ContentType="image/png"/>
  <Override PartName="/word/media/image197.wmf" ContentType="image/x-wmf"/>
  <Override PartName="/word/media/image13.wmf" ContentType="image/x-wmf"/>
  <Override PartName="/word/media/image365.wmf" ContentType="image/x-wmf"/>
  <Override PartName="/word/media/image105.wmf" ContentType="image/x-wmf"/>
  <Override PartName="/word/media/image244.wmf" ContentType="image/x-wmf"/>
  <Override PartName="/word/media/image198.wmf" ContentType="image/x-wmf"/>
  <Override PartName="/word/media/image14.wmf" ContentType="image/x-wmf"/>
  <Override PartName="/word/media/image366.wmf" ContentType="image/x-wmf"/>
  <Override PartName="/word/media/image106.wmf" ContentType="image/x-wmf"/>
  <Override PartName="/word/media/image245.wmf" ContentType="image/x-wmf"/>
  <Override PartName="/word/media/image367.wmf" ContentType="image/x-wmf"/>
  <Override PartName="/word/media/image107.wmf" ContentType="image/x-wmf"/>
  <Override PartName="/word/media/image246.wmf" ContentType="image/x-wmf"/>
  <Override PartName="/word/media/image16.wmf" ContentType="image/x-wmf"/>
  <Override PartName="/word/media/image368.wmf" ContentType="image/x-wmf"/>
  <Override PartName="/word/media/image6.wmf" ContentType="image/x-wmf"/>
  <Override PartName="/word/media/image348.png" ContentType="image/png"/>
  <Override PartName="/word/media/image331.wmf" ContentType="image/x-wmf"/>
  <Override PartName="/word/media/image409.wmf" ContentType="image/x-wmf"/>
  <Override PartName="/word/media/image187.wmf" ContentType="image/x-wmf"/>
  <Override PartName="/word/media/image108.wmf" ContentType="image/x-wmf"/>
  <Override PartName="/word/media/image247.wmf" ContentType="image/x-wmf"/>
  <Override PartName="/word/media/image17.wmf" ContentType="image/x-wmf"/>
  <Override PartName="/word/media/image369.wmf" ContentType="image/x-wmf"/>
  <Override PartName="/word/media/image7.wmf" ContentType="image/x-wmf"/>
  <Override PartName="/word/media/image349.png" ContentType="image/png"/>
  <Override PartName="/word/media/image332.wmf" ContentType="image/x-wmf"/>
  <Override PartName="/word/media/image188.wmf" ContentType="image/x-wmf"/>
  <Override PartName="/word/media/image109.wmf" ContentType="image/x-wmf"/>
  <Override PartName="/word/media/image248.wmf" ContentType="image/x-wmf"/>
  <Override PartName="/word/media/image18.wmf" ContentType="image/x-wmf"/>
  <Override PartName="/word/media/image8.wmf" ContentType="image/x-wmf"/>
  <Override PartName="/word/media/image93.wmf" ContentType="image/x-wmf"/>
  <Override PartName="/word/media/image333.wmf" ContentType="image/x-wmf"/>
  <Override PartName="/word/media/image189.wmf" ContentType="image/x-wmf"/>
  <Override PartName="/word/media/image249.wmf" ContentType="image/x-wmf"/>
  <Override PartName="/word/media/image19.wmf" ContentType="image/x-wmf"/>
  <Override PartName="/word/media/image9.wmf" ContentType="image/x-wmf"/>
  <Override PartName="/word/media/image94.wmf" ContentType="image/x-wmf"/>
  <Override PartName="/word/media/image334.wmf" ContentType="image/x-wmf"/>
  <Override PartName="/word/media/image298.wmf" ContentType="image/x-wmf"/>
  <Override PartName="/word/media/image159.wmf" ContentType="image/x-wmf"/>
  <Override PartName="/word/media/image4.wmf" ContentType="image/x-wmf"/>
  <Override PartName="/word/media/image219.wmf" ContentType="image/x-wmf"/>
  <Override PartName="/word/media/image90.wmf" ContentType="image/x-wmf"/>
  <Override PartName="/word/media/image5.wmf" ContentType="image/x-wmf"/>
  <Override PartName="/word/media/image55.wmf" ContentType="image/x-wmf"/>
  <Override PartName="/word/media/image412.wmf" ContentType="image/x-wmf"/>
  <Override PartName="/word/media/image190.wmf" ContentType="image/x-wmf"/>
  <Override PartName="/word/media/image111.wmf" ContentType="image/x-wmf"/>
  <Override PartName="/word/media/image250.wmf" ContentType="image/x-wmf"/>
  <Override PartName="/word/media/image20.wmf" ContentType="image/x-wmf"/>
  <Override PartName="/word/media/image372.wmf" ContentType="image/x-wmf"/>
  <Override PartName="/word/media/image79.wmf" ContentType="image/x-wmf"/>
  <Override PartName="/word/media/image52.wmf" ContentType="image/x-wmf"/>
  <Override PartName="/word/media/image319.wmf" ContentType="image/x-wmf"/>
  <Override PartName="/word/media/image47.wmf" ContentType="image/x-wmf"/>
  <Override PartName="/word/media/image48.wmf" ContentType="image/x-wmf"/>
  <Override PartName="/word/media/image136.wmf" ContentType="image/x-wmf"/>
  <Override PartName="/word/media/image275.wmf" ContentType="image/x-wmf"/>
  <Override PartName="/word/media/image222.png" ContentType="image/png"/>
  <Override PartName="/word/media/image394.wmf" ContentType="image/x-wmf"/>
  <Override PartName="/word/media/image49.wmf" ContentType="image/x-wmf"/>
  <Override PartName="/word/media/image395.wmf" ContentType="image/x-wmf"/>
  <Override PartName="/word/media/image258.wmf" ContentType="image/x-wmf"/>
  <Override PartName="/word/media/image382.wmf" ContentType="image/x-wmf"/>
  <Override PartName="/word/media/image119.wmf" ContentType="image/x-wmf"/>
  <Override PartName="/word/media/image300.wmf" ContentType="image/x-wmf"/>
  <Override PartName="/word/media/image329.wmf" ContentType="image/x-wmf"/>
  <Override PartName="/word/media/image62.wmf" ContentType="image/x-wmf"/>
  <Override PartName="/word/media/image302.wmf" ContentType="image/x-wmf"/>
  <Override PartName="/word/media/image63.wmf" ContentType="image/x-wmf"/>
  <Override PartName="/word/media/image303.wmf" ContentType="image/x-wmf"/>
  <Override PartName="/word/media/image64.wmf" ContentType="image/x-wmf"/>
  <Override PartName="/word/media/image304.wmf" ContentType="image/x-wmf"/>
  <Override PartName="/word/media/image65.wmf" ContentType="image/x-wmf"/>
  <Override PartName="/word/media/image305.wmf" ContentType="image/x-wmf"/>
  <Override PartName="/word/media/image66.wmf" ContentType="image/x-wmf"/>
  <Override PartName="/word/media/image154.wmf" ContentType="image/x-wmf"/>
  <Override PartName="/word/media/image293.wmf" ContentType="image/x-wmf"/>
  <Override PartName="/word/media/image240.png" ContentType="image/png"/>
  <Override PartName="/word/media/image306.wmf" ContentType="image/x-wmf"/>
  <Override PartName="/word/media/image67.wmf" ContentType="image/x-wmf"/>
  <Override PartName="/word/media/image40.wmf" ContentType="image/x-wmf"/>
  <Override PartName="/word/media/image307.wmf" ContentType="image/x-wmf"/>
  <Override PartName="/word/media/image68.wmf" ContentType="image/x-wmf"/>
  <Override PartName="/word/media/image41.wmf" ContentType="image/x-wmf"/>
  <Override PartName="/word/media/image308.wmf" ContentType="image/x-wmf"/>
  <Override PartName="/word/media/image278.wmf" ContentType="image/x-wmf"/>
  <Override PartName="/word/media/image139.wmf" ContentType="image/x-wmf"/>
  <Override PartName="/word/media/image337.wmf" ContentType="image/x-wmf"/>
  <Override PartName="/word/media/image70.wmf" ContentType="image/x-wmf"/>
  <Override PartName="/word/media/image310.wmf" ContentType="image/x-wmf"/>
  <Override PartName="/word/media/image338.wmf" ContentType="image/x-wmf"/>
  <Override PartName="/word/media/image71.wmf" ContentType="image/x-wmf"/>
  <Override PartName="/word/media/image311.wmf" ContentType="image/x-wmf"/>
  <Override PartName="/word/media/image339.wmf" ContentType="image/x-wmf"/>
  <Override PartName="/word/media/image72.wmf" ContentType="image/x-wmf"/>
  <Override PartName="/word/media/image312.wmf" ContentType="image/x-wmf"/>
  <Override PartName="/word/media/image73.wmf" ContentType="image/x-wmf"/>
  <Override PartName="/word/media/image313.wmf" ContentType="image/x-wmf"/>
  <Override PartName="/word/media/image74.wmf" ContentType="image/x-wmf"/>
  <Override PartName="/word/media/image314.wmf" ContentType="image/x-wmf"/>
  <Override PartName="/word/media/image75.wmf" ContentType="image/x-wmf"/>
  <Override PartName="/word/media/image315.wmf" ContentType="image/x-wmf"/>
  <Override PartName="/word/media/image76.wmf" ContentType="image/x-wmf"/>
  <Override PartName="/word/media/image316.wmf" ContentType="image/x-wmf"/>
  <Override PartName="/word/media/image77.wmf" ContentType="image/x-wmf"/>
  <Override PartName="/word/media/image50.wmf" ContentType="image/x-wmf"/>
  <Override PartName="/word/media/image317.wmf" ContentType="image/x-wmf"/>
  <Override PartName="/word/media/image78.wmf" ContentType="image/x-wmf"/>
  <Override PartName="/word/media/image51.wmf" ContentType="image/x-wmf"/>
  <Override PartName="/word/media/image318.wmf" ContentType="image/x-wmf"/>
  <Override PartName="/word/media/image288.wmf" ContentType="image/x-wmf"/>
  <Override PartName="/word/media/image149.wmf" ContentType="image/x-wmf"/>
  <Override PartName="/word/media/image209.wmf" ContentType="image/x-wmf"/>
  <Override PartName="/word/media/image320.wmf" ContentType="image/x-wmf"/>
  <Override PartName="/word/media/image81.wmf" ContentType="image/x-wmf"/>
  <Override PartName="/word/media/image321.wmf" ContentType="image/x-wmf"/>
  <Override PartName="/word/media/image82.wmf" ContentType="image/x-wmf"/>
  <Override PartName="/word/media/image322.wmf" ContentType="image/x-wmf"/>
  <Override PartName="/word/media/image83.wmf" ContentType="image/x-wmf"/>
  <Override PartName="/word/media/image323.wmf" ContentType="image/x-wmf"/>
  <Override PartName="/word/media/image84.wmf" ContentType="image/x-wmf"/>
  <Override PartName="/word/media/image324.wmf" ContentType="image/x-wmf"/>
  <Override PartName="/word/media/image85.wmf" ContentType="image/x-wmf"/>
  <Override PartName="/word/media/image325.wmf" ContentType="image/x-wmf"/>
  <Override PartName="/word/media/image86.wmf" ContentType="image/x-wmf"/>
  <Override PartName="/word/media/image326.wmf" ContentType="image/x-wmf"/>
  <Override PartName="/word/media/image87.wmf" ContentType="image/x-wmf"/>
  <Override PartName="/word/media/image60.wmf" ContentType="image/x-wmf"/>
  <Override PartName="/word/media/image327.wmf" ContentType="image/x-wmf"/>
  <Override PartName="/word/media/image88.wmf" ContentType="image/x-wmf"/>
  <Override PartName="/word/media/image61.wmf" ContentType="image/x-wmf"/>
  <Override PartName="/word/media/image328.wmf" ContentType="image/x-wmf"/>
  <Override PartName="/word/media/image100.wmf" ContentType="image/x-wmf"/>
  <Override PartName="/word/media/image133.wmf" ContentType="image/x-wmf"/>
  <Override PartName="/word/media/image272.wmf" ContentType="image/x-wmf"/>
  <Override PartName="/word/media/image95.wmf" ContentType="image/x-wmf"/>
  <Override PartName="/word/media/image335.wmf" ContentType="image/x-wmf"/>
  <Override PartName="/word/media/image101.wmf" ContentType="image/x-wmf"/>
  <Override PartName="/word/media/image134.wmf" ContentType="image/x-wmf"/>
  <Override PartName="/word/media/image273.wmf" ContentType="image/x-wmf"/>
  <Override PartName="/word/media/image96.wmf" ContentType="image/x-wmf"/>
  <Override PartName="/word/media/image336.wmf" ContentType="image/x-wmf"/>
  <Override PartName="/word/media/image138.wmf" ContentType="image/x-wmf"/>
  <Override PartName="/word/media/image277.wmf" ContentType="image/x-wmf"/>
  <Override PartName="/word/media/image224.png" ContentType="image/png"/>
  <Override PartName="/word/media/image396.wmf" ContentType="image/x-wmf"/>
  <Override PartName="/word/media/image121.wmf" ContentType="image/x-wmf"/>
  <Override PartName="/word/media/image260.wmf" ContentType="image/x-wmf"/>
  <Override PartName="/word/media/image122.wmf" ContentType="image/x-wmf"/>
  <Override PartName="/word/media/image261.wmf" ContentType="image/x-wmf"/>
  <Override PartName="/word/media/image123.wmf" ContentType="image/x-wmf"/>
  <Override PartName="/word/media/image262.wmf" ContentType="image/x-wmf"/>
  <Override PartName="/word/media/image124.wmf" ContentType="image/x-wmf"/>
  <Override PartName="/word/media/image263.wmf" ContentType="image/x-wmf"/>
  <Override PartName="/word/media/image125.wmf" ContentType="image/x-wmf"/>
  <Override PartName="/word/media/image264.wmf" ContentType="image/x-wmf"/>
  <Override PartName="/word/media/image351.png" ContentType="image/png"/>
  <Override PartName="/word/media/image126.wmf" ContentType="image/x-wmf"/>
  <Override PartName="/word/media/image265.wmf" ContentType="image/x-wmf"/>
  <Override PartName="/word/media/image127.wmf" ContentType="image/x-wmf"/>
  <Override PartName="/word/media/image390.wmf" ContentType="image/x-wmf"/>
  <Override PartName="/word/media/image266.wmf" ContentType="image/x-wmf"/>
  <Override PartName="/word/media/image128.wmf" ContentType="image/x-wmf"/>
  <Override PartName="/word/media/image391.wmf" ContentType="image/x-wmf"/>
  <Override PartName="/word/media/image267.wmf" ContentType="image/x-wmf"/>
  <Override PartName="/word/media/image392.wmf" ContentType="image/x-wmf"/>
  <Override PartName="/word/media/image129.wmf" ContentType="image/x-wmf"/>
  <Override PartName="/word/media/image268.wmf" ContentType="image/x-wmf"/>
  <Override PartName="/word/media/image393.wmf" ContentType="image/x-wmf"/>
  <Override PartName="/word/media/image269.wmf" ContentType="image/x-wmf"/>
  <Override PartName="/word/media/image131.wmf" ContentType="image/x-wmf"/>
  <Override PartName="/word/media/image270.wmf" ContentType="image/x-wmf"/>
  <Override PartName="/word/media/image132.wmf" ContentType="image/x-wmf"/>
  <Override PartName="/word/media/image271.wmf" ContentType="image/x-wmf"/>
  <Override PartName="/word/media/image141.wmf" ContentType="image/x-wmf"/>
  <Override PartName="/word/media/image280.wmf" ContentType="image/x-wmf"/>
  <Override PartName="/word/media/image142.wmf" ContentType="image/x-wmf"/>
  <Override PartName="/word/media/image281.wmf" ContentType="image/x-wmf"/>
  <Override PartName="/word/media/image199.wmf" ContentType="image/x-wmf"/>
  <Override PartName="/word/media/image15.wmf" ContentType="image/x-wmf"/>
  <Override PartName="/word/media/image285.png" ContentType="image/png"/>
  <Override PartName="/word/media/image151.wmf" ContentType="image/x-wmf"/>
  <Override PartName="/word/media/image290.wmf" ContentType="image/x-wmf"/>
  <Override PartName="/word/media/image152.wmf" ContentType="image/x-wmf"/>
  <Override PartName="/word/media/image291.wmf" ContentType="image/x-wmf"/>
  <Override PartName="/word/media/image341.wmf" ContentType="image/x-wmf"/>
  <Override PartName="/word/media/image401.wmf" ContentType="image/x-wmf"/>
  <Override PartName="/word/media/image343.wmf" ContentType="image/x-wmf"/>
  <Override PartName="/word/media/image181.wmf" ContentType="image/x-wmf"/>
  <Override PartName="/word/media/image403.wmf" ContentType="image/x-wmf"/>
  <Override PartName="/word/media/image344.wmf" ContentType="image/x-wmf"/>
  <Override PartName="/word/media/image182.wmf" ContentType="image/x-wmf"/>
  <Override PartName="/word/media/image404.wmf" ContentType="image/x-wmf"/>
  <Override PartName="/word/media/image345.wmf" ContentType="image/x-wmf"/>
  <Override PartName="/word/media/image183.wmf" ContentType="image/x-wmf"/>
  <Override PartName="/word/media/image405.wmf" ContentType="image/x-wmf"/>
  <Override PartName="/word/media/image80.wmf" ContentType="image/x-wmf"/>
  <Override PartName="/word/media/image347.wmf" ContentType="image/x-wmf"/>
  <Override PartName="/word/media/image185.wmf" ContentType="image/x-wmf"/>
  <Override PartName="/word/media/image407.wmf" ContentType="image/x-wmf"/>
  <Override PartName="/word/media/image350.wmf" ContentType="image/x-wmf"/>
  <Override PartName="/word/media/image352.wmf" ContentType="image/x-wmf"/>
  <Override PartName="/word/media/image353.wmf" ContentType="image/x-wmf"/>
  <Override PartName="/word/media/image301.png" ContentType="image/png"/>
  <Override PartName="/word/media/image354.wmf" ContentType="image/x-wmf"/>
  <Override PartName="/word/media/image355.wmf" ContentType="image/x-wmf"/>
  <Override PartName="/word/media/image356.wmf" ContentType="image/x-wmf"/>
  <Override PartName="/word/media/image357.png" ContentType="image/png"/>
  <Override PartName="/word/media/image91.wmf" ContentType="image/x-wmf"/>
  <Override PartName="/word/media/image358.wmf" ContentType="image/x-wmf"/>
  <Override PartName="/word/media/image92.wmf" ContentType="image/x-wmf"/>
  <Override PartName="/word/media/image359.wmf" ContentType="image/x-wmf"/>
  <Override PartName="/word/media/image360.wmf" ContentType="image/x-wmf"/>
  <Override PartName="/word/media/image361.wmf" ContentType="image/x-wmf"/>
  <Override PartName="/word/media/image370.wmf" ContentType="image/x-wmf"/>
  <Override PartName="/word/media/image371.wmf" ContentType="image/x-wmf"/>
  <Override PartName="/word/media/image386.wmf" ContentType="image/x-wmf"/>
  <Override PartName="/word/media/image387.wmf" ContentType="image/x-wmf"/>
  <Override PartName="/word/media/image388.wmf" ContentType="image/x-wmf"/>
  <Override PartName="/word/media/image389.wmf" ContentType="image/x-wmf"/>
  <Override PartName="/word/media/image397.wmf" ContentType="image/x-wmf"/>
  <Override PartName="/word/media/image398.wmf" ContentType="image/x-wmf"/>
  <Override PartName="/word/media/image399.wmf" ContentType="image/x-wmf"/>
  <Override PartName="/word/media/image400.wmf" ContentType="image/x-wmf"/>
  <Override PartName="/word/media/image180.wmf" ContentType="image/x-wmf"/>
  <Override PartName="/word/media/image402.wmf" ContentType="image/x-wmf"/>
  <Override PartName="/word/media/image184.wmf" ContentType="image/x-wmf"/>
  <Override PartName="/word/media/image406.wmf" ContentType="image/x-wmf"/>
  <Override PartName="/word/media/image186.wmf" ContentType="image/x-wmf"/>
  <Override PartName="/word/media/image408.wmf" ContentType="image/x-wmf"/>
  <Override PartName="/word/header1.xml" ContentType="application/vnd.openxmlformats-officedocument.wordprocessingml.head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end"/>
        <w:rPr/>
      </w:pPr>
      <w:r>
        <w:rPr/>
      </w:r>
    </w:p>
    <w:p>
      <w:pPr>
        <w:pStyle w:val="Heading"/>
        <w:jc w:val="center"/>
        <w:rPr/>
      </w:pPr>
      <w:r>
        <w:rPr/>
        <w:t>СТРОИТЕЛЬНЫЕ НОРМЫ И ПРАВИЛА</w:t>
      </w:r>
    </w:p>
    <w:p>
      <w:pPr>
        <w:pStyle w:val="Heading"/>
        <w:jc w:val="center"/>
        <w:rPr/>
      </w:pPr>
      <w:r>
        <w:rPr/>
      </w:r>
    </w:p>
    <w:p>
      <w:pPr>
        <w:pStyle w:val="Heading"/>
        <w:jc w:val="center"/>
        <w:rPr/>
      </w:pPr>
      <w:r>
        <w:rPr/>
      </w:r>
    </w:p>
    <w:p>
      <w:pPr>
        <w:pStyle w:val="Heading"/>
        <w:jc w:val="center"/>
        <w:rPr/>
      </w:pPr>
      <w:r>
        <w:rPr/>
        <w:t>ВОДОСНАБЖЕНИЕ.</w:t>
      </w:r>
    </w:p>
    <w:p>
      <w:pPr>
        <w:pStyle w:val="Heading"/>
        <w:jc w:val="center"/>
        <w:rPr/>
      </w:pPr>
      <w:r>
        <w:rPr/>
        <w:t xml:space="preserve">НАРУЖНЫЕ СЕТИ И СООРУЖЕНИЯ </w:t>
      </w:r>
    </w:p>
    <w:p>
      <w:pPr>
        <w:pStyle w:val="Normal"/>
        <w:jc w:val="end"/>
        <w:rPr/>
      </w:pPr>
      <w:r>
        <w:rPr/>
      </w:r>
    </w:p>
    <w:p>
      <w:pPr>
        <w:pStyle w:val="Normal"/>
        <w:jc w:val="end"/>
        <w:rPr/>
      </w:pPr>
      <w:r>
        <w:rPr/>
        <w:t>Дата введения 1985-01-01</w:t>
      </w:r>
    </w:p>
    <w:p>
      <w:pPr>
        <w:pStyle w:val="Normal"/>
        <w:jc w:val="end"/>
        <w:rPr/>
      </w:pPr>
      <w:r>
        <w:rPr/>
      </w:r>
    </w:p>
    <w:p>
      <w:pPr>
        <w:pStyle w:val="Normal"/>
        <w:jc w:val="center"/>
        <w:rPr/>
      </w:pPr>
      <w:r>
        <w:rPr/>
        <w:t xml:space="preserve">    </w:t>
      </w:r>
    </w:p>
    <w:p>
      <w:pPr>
        <w:pStyle w:val="Normal"/>
        <w:ind w:firstLine="225"/>
        <w:jc w:val="both"/>
        <w:rPr/>
      </w:pPr>
      <w:r>
        <w:rPr/>
        <w:t>РАЗРАБОТАНЫ Государственным проектным институтом «Союзводоканалпроект» Госстроя СССР (А.Ф.Бриткин - руководитель темы; К.Д.Семенов; А.Е.Высота; Л.В.Ярославский; Н.Г.Егорова); Всесоюзным научно-исследовательским институтом "ВОДГЕО" Госстроя СССР (В.В.Ашанин, канд. техн. наук; Э.М.Хохлатов, канд. техн. наук; А. А.Смирнов, канд. техн. наук; Л.Ф.Мошнин, д-р техн. наук; В.А.Гладков, д-р техн. наук); НИИ коммунального водоснабжения и очистки воды Академии коммунального хозяйства им. К.Д.Памфилова Минжилкомхоза РСФСР (Л.Н.Паскуцкая, канд. техн. наук; М.П.Майзельс, канд. техн. наук); Проектным институтом "Гипрокоммунводоканал" Минжилкомхоза РСФСР (В.А.Красулин); ЦНИИЭП инженерного оборудования Госгражданстроя (Г.Р.Рабинович); МИСИ им. В.В.Куйбышева Минвуза СССР (В.С.Макагонов, канд. техн. наук); Проектным институтом "Союзгипроводхоза" Минводхоза СССР (Н.О.Оганесов); Институтом "МосводоканалНИИпроект" УВКХ Мосгорисполкома (В.А.Афанасьев); ВНИИГ им. Б.Е.Веденеева Минэнерго СССР (И.И.Макаров, канд. техн. наук); НИКТИ ГХ Минжилкомхоза Украинской ССР (С.Г.Кожушко, канд. техн. наук); Донецким ПромстройНИИпроектом Госстроя СССР (С.А.Светницкий); НИИ оснований и подземных сооружений им. Н.М.Герсеванова Госстроя СССР (В.Г.Галицкий, канд. техн. наук); Красноярским ПромстройНИИпроектом Минтяжстроя СССР (В.Ф.Кардымон, канд. техн. наук); Институтом механики и сейсмостойкости сооружений им. М.Т.Уразбаева АН Узбекской ССР (Г.Х.Хожметов, д-р техн. наук).</w:t>
      </w:r>
    </w:p>
    <w:p>
      <w:pPr>
        <w:pStyle w:val="Normal"/>
        <w:ind w:firstLine="180"/>
        <w:jc w:val="both"/>
        <w:rPr/>
      </w:pPr>
      <w:r>
        <w:rPr/>
      </w:r>
    </w:p>
    <w:p>
      <w:pPr>
        <w:pStyle w:val="Normal"/>
        <w:ind w:firstLine="225"/>
        <w:jc w:val="both"/>
        <w:rPr/>
      </w:pPr>
      <w:r>
        <w:rPr/>
        <w:t>ВНЕСЕНЫ Государственным проектным институтом "Союзводоканалпроект" Госстроя СССР.</w:t>
      </w:r>
    </w:p>
    <w:p>
      <w:pPr>
        <w:pStyle w:val="Normal"/>
        <w:ind w:firstLine="225"/>
        <w:jc w:val="both"/>
        <w:rPr/>
      </w:pPr>
      <w:r>
        <w:rPr/>
      </w:r>
    </w:p>
    <w:p>
      <w:pPr>
        <w:pStyle w:val="Normal"/>
        <w:ind w:firstLine="225"/>
        <w:jc w:val="both"/>
        <w:rPr/>
      </w:pPr>
      <w:r>
        <w:rPr/>
        <w:t xml:space="preserve">ПОДГОТОВЛЕНЫ К УТВЕРЖДЕНИЮ Главным управлением технического нормирования и стандартизации Госстроя СССР (Б.В.Тамбовцев).  </w:t>
      </w:r>
    </w:p>
    <w:p>
      <w:pPr>
        <w:pStyle w:val="Normal"/>
        <w:ind w:firstLine="225"/>
        <w:jc w:val="both"/>
        <w:rPr/>
      </w:pPr>
      <w:r>
        <w:rPr/>
      </w:r>
    </w:p>
    <w:p>
      <w:pPr>
        <w:pStyle w:val="Normal"/>
        <w:ind w:firstLine="225"/>
        <w:jc w:val="both"/>
        <w:rPr/>
      </w:pPr>
      <w:r>
        <w:rPr/>
        <w:t xml:space="preserve">УТВЕРЖДЕНЫ  постановлением Государственного комитета СССР по делам строительства от 27 июля 1984 г. №  123. </w:t>
      </w:r>
    </w:p>
    <w:p>
      <w:pPr>
        <w:pStyle w:val="Normal"/>
        <w:ind w:firstLine="225"/>
        <w:jc w:val="both"/>
        <w:rPr/>
      </w:pPr>
      <w:r>
        <w:rPr/>
      </w:r>
    </w:p>
    <w:p>
      <w:pPr>
        <w:pStyle w:val="Normal"/>
        <w:ind w:firstLine="225"/>
        <w:jc w:val="both"/>
        <w:rPr/>
      </w:pPr>
      <w:r>
        <w:rPr/>
        <w:t xml:space="preserve">СОГЛАСОВАНЫ Минздравом СССР, Минводхозом СССР, Минрыбхозом СССР, ГУПО МВД СССР, МПС, Минречфлотом РСФСР. </w:t>
      </w:r>
    </w:p>
    <w:p>
      <w:pPr>
        <w:pStyle w:val="Normal"/>
        <w:ind w:firstLine="495"/>
        <w:jc w:val="both"/>
        <w:rPr/>
      </w:pPr>
      <w:r>
        <w:rPr/>
      </w:r>
    </w:p>
    <w:p>
      <w:pPr>
        <w:pStyle w:val="Normal"/>
        <w:ind w:firstLine="270"/>
        <w:jc w:val="both"/>
        <w:rPr/>
      </w:pPr>
      <w:r>
        <w:rPr/>
        <w:t>С введением в действие СНиП 2.04.02-84 "Водоснабжение. Наружные сети и сооружения" утрачивает силу глава СНиП II-31-74 "Водоснабжение. Наружные сети и сооружения".</w:t>
      </w:r>
    </w:p>
    <w:p>
      <w:pPr>
        <w:pStyle w:val="Normal"/>
        <w:ind w:firstLine="225"/>
        <w:jc w:val="both"/>
        <w:rPr/>
      </w:pPr>
      <w:r>
        <w:rPr/>
      </w:r>
    </w:p>
    <w:p>
      <w:pPr>
        <w:pStyle w:val="Normal"/>
        <w:ind w:firstLine="270"/>
        <w:jc w:val="both"/>
        <w:rPr/>
      </w:pPr>
      <w:r>
        <w:rPr/>
        <w:t>В СНиП 2.04.02-84* внесено изменение № 1, утвержденное постановлением Госстроя СССР от 30 апреля 1986 г. № 52.</w:t>
      </w:r>
    </w:p>
    <w:p>
      <w:pPr>
        <w:pStyle w:val="Normal"/>
        <w:ind w:firstLine="270"/>
        <w:jc w:val="both"/>
        <w:rPr/>
      </w:pPr>
      <w:r>
        <w:rPr/>
      </w:r>
    </w:p>
    <w:p>
      <w:pPr>
        <w:pStyle w:val="Normal"/>
        <w:ind w:firstLine="225"/>
        <w:jc w:val="both"/>
        <w:rPr/>
      </w:pPr>
      <w:r>
        <w:rPr/>
        <w:t>Разделы, пункты, таблицы и формулы, в которые внесены изменения, отмечены в настоящих строительных нормах и правилах звездочкой.</w:t>
      </w:r>
    </w:p>
    <w:p>
      <w:pPr>
        <w:pStyle w:val="Normal"/>
        <w:ind w:firstLine="270"/>
        <w:jc w:val="both"/>
        <w:rPr/>
      </w:pPr>
      <w:r>
        <w:rPr/>
      </w:r>
    </w:p>
    <w:p>
      <w:pPr>
        <w:pStyle w:val="Normal"/>
        <w:ind w:firstLine="180"/>
        <w:jc w:val="both"/>
        <w:rPr/>
      </w:pPr>
      <w:r>
        <w:rPr/>
        <w:t>Настоящие нормы должны соблюдаться при проектировании централизованных постоянных наружных систем водоснабжения населенных пунктов и объектов народного хозяйства.</w:t>
      </w:r>
    </w:p>
    <w:p>
      <w:pPr>
        <w:pStyle w:val="Normal"/>
        <w:ind w:firstLine="225"/>
        <w:jc w:val="both"/>
        <w:rPr/>
      </w:pPr>
      <w:r>
        <w:rPr/>
      </w:r>
    </w:p>
    <w:p>
      <w:pPr>
        <w:pStyle w:val="Normal"/>
        <w:ind w:firstLine="270"/>
        <w:jc w:val="both"/>
        <w:rPr/>
      </w:pPr>
      <w:r>
        <w:rPr/>
        <w:t>При разработке проектов водоснабжения надлежит руководствоваться Основами водного законодательства, а также требованиями по охране природы и рациональному использованию природных ресурсов.</w:t>
      </w:r>
    </w:p>
    <w:p>
      <w:pPr>
        <w:pStyle w:val="Normal"/>
        <w:ind w:firstLine="270"/>
        <w:jc w:val="both"/>
        <w:rPr/>
      </w:pPr>
      <w:r>
        <w:rPr/>
      </w:r>
    </w:p>
    <w:p>
      <w:pPr>
        <w:pStyle w:val="Normal"/>
        <w:ind w:firstLine="315"/>
        <w:jc w:val="both"/>
        <w:rPr/>
      </w:pPr>
      <w:r>
        <w:rPr/>
        <w:t>Противопожарные требования настоящих норм не распространяются на водопроводы предприятий, производящих, применяющих или хранящих взрывчатые вещества, склады лесных материалов вместимостью более 10 тыс.куб.м, объекты нефтегазодобывающей и нефтеперерабатывающей промышленности, требования к пожаротушению которых установлены соответствующими нормативными документами.</w:t>
      </w:r>
    </w:p>
    <w:p>
      <w:pPr>
        <w:pStyle w:val="Normal"/>
        <w:ind w:firstLine="225"/>
        <w:jc w:val="both"/>
        <w:rPr/>
      </w:pPr>
      <w:r>
        <w:rPr/>
      </w:r>
    </w:p>
    <w:p>
      <w:pPr>
        <w:pStyle w:val="Normal"/>
        <w:ind w:firstLine="270"/>
        <w:jc w:val="both"/>
        <w:rPr/>
      </w:pPr>
      <w:r>
        <w:rPr/>
      </w:r>
    </w:p>
    <w:p>
      <w:pPr>
        <w:pStyle w:val="Heading"/>
        <w:jc w:val="center"/>
        <w:rPr/>
      </w:pPr>
      <w:r>
        <w:rPr/>
        <w:t>1. ОБЩИЕ ПОЛОЖЕНИЯ</w:t>
      </w:r>
    </w:p>
    <w:p>
      <w:pPr>
        <w:pStyle w:val="Heading"/>
        <w:jc w:val="center"/>
        <w:rPr/>
      </w:pPr>
      <w:r>
        <w:rPr/>
      </w:r>
    </w:p>
    <w:p>
      <w:pPr>
        <w:pStyle w:val="Normal"/>
        <w:ind w:firstLine="270"/>
        <w:jc w:val="both"/>
        <w:rPr/>
      </w:pPr>
      <w:r>
        <w:rPr/>
      </w:r>
    </w:p>
    <w:p>
      <w:pPr>
        <w:pStyle w:val="Normal"/>
        <w:ind w:firstLine="270"/>
        <w:jc w:val="both"/>
        <w:rPr/>
      </w:pPr>
      <w:r>
        <w:rPr/>
        <w:t>1.1. Водоснабжение объектов надлежит проектировать на основе утвержденных схем развития, размещения отраслей народного хозяйства, отраслей промышленности и схем развития и размещения производительных сил по союзным республикам, а также генеральных, бассейновых и территориальных схем комплексного использования и охраны вод, генеральных планов городов и сельских населенных пунктов, генеральных планов промышленных узлов.</w:t>
      </w:r>
    </w:p>
    <w:p>
      <w:pPr>
        <w:pStyle w:val="Normal"/>
        <w:ind w:firstLine="270"/>
        <w:jc w:val="both"/>
        <w:rPr/>
      </w:pPr>
      <w:r>
        <w:rPr/>
      </w:r>
    </w:p>
    <w:p>
      <w:pPr>
        <w:pStyle w:val="Normal"/>
        <w:ind w:firstLine="225"/>
        <w:jc w:val="both"/>
        <w:rPr/>
      </w:pPr>
      <w:r>
        <w:rPr/>
        <w:t>При проектировании необходимо рассматривать целесообразность кооперирования систем водоснабжения объектов независимо от их ведомственной принадлежности.</w:t>
      </w:r>
    </w:p>
    <w:p>
      <w:pPr>
        <w:pStyle w:val="Normal"/>
        <w:ind w:firstLine="225"/>
        <w:jc w:val="both"/>
        <w:rPr/>
      </w:pPr>
      <w:r>
        <w:rPr/>
      </w:r>
    </w:p>
    <w:p>
      <w:pPr>
        <w:pStyle w:val="Normal"/>
        <w:ind w:firstLine="270"/>
        <w:jc w:val="both"/>
        <w:rPr/>
      </w:pPr>
      <w:r>
        <w:rPr/>
        <w:t>При этом проекты водоснабжения объектов необходимо разрабатывать, как правило, одновременно с проектами канализации и обязательным анализом баланса водопотребления и отведения сточных вод.</w:t>
      </w:r>
    </w:p>
    <w:p>
      <w:pPr>
        <w:pStyle w:val="Normal"/>
        <w:ind w:firstLine="270"/>
        <w:jc w:val="both"/>
        <w:rPr/>
      </w:pPr>
      <w:r>
        <w:rPr/>
      </w:r>
    </w:p>
    <w:p>
      <w:pPr>
        <w:pStyle w:val="Normal"/>
        <w:ind w:firstLine="225"/>
        <w:jc w:val="both"/>
        <w:rPr/>
      </w:pPr>
      <w:r>
        <w:rPr/>
        <w:t>1.2. В проектах хозяйственно-питьевых и объединенных производственно-питьевых водопроводов необходимо предусматривать зоны санитарной охраны источников водоснабжения, водопроводных сооружений и водоводов.</w:t>
      </w:r>
    </w:p>
    <w:p>
      <w:pPr>
        <w:pStyle w:val="Normal"/>
        <w:ind w:firstLine="225"/>
        <w:jc w:val="both"/>
        <w:rPr/>
      </w:pPr>
      <w:r>
        <w:rPr/>
      </w:r>
    </w:p>
    <w:p>
      <w:pPr>
        <w:pStyle w:val="Normal"/>
        <w:ind w:firstLine="270"/>
        <w:jc w:val="both"/>
        <w:rPr/>
      </w:pPr>
      <w:r>
        <w:rPr/>
        <w:t>1.3. Качество воды, подаваемой на хозяйственно-питьевые нужды, должно соответствовать требованиям ГОСТ 2874-82.</w:t>
      </w:r>
    </w:p>
    <w:p>
      <w:pPr>
        <w:pStyle w:val="Normal"/>
        <w:ind w:firstLine="225"/>
        <w:jc w:val="both"/>
        <w:rPr/>
      </w:pPr>
      <w:r>
        <w:rPr/>
      </w:r>
    </w:p>
    <w:p>
      <w:pPr>
        <w:pStyle w:val="Normal"/>
        <w:ind w:firstLine="270"/>
        <w:jc w:val="both"/>
        <w:rPr/>
      </w:pPr>
      <w:r>
        <w:rPr/>
        <w:t>При подготовке, транспортировании и хранении воды, используемой на хозяйственно-питьевые нужды, следует применять реагенты, внутренние антикоррозионные покрытия, а также фильтрующие материалы, соответствующие требованиям Госкомсанэпиднадзора для применения в практике хозяйственно-питьевого водоснабжения.</w:t>
      </w:r>
    </w:p>
    <w:p>
      <w:pPr>
        <w:pStyle w:val="Normal"/>
        <w:ind w:firstLine="225"/>
        <w:jc w:val="both"/>
        <w:rPr/>
      </w:pPr>
      <w:r>
        <w:rPr/>
      </w:r>
    </w:p>
    <w:p>
      <w:pPr>
        <w:pStyle w:val="Normal"/>
        <w:ind w:firstLine="270"/>
        <w:jc w:val="both"/>
        <w:rPr/>
      </w:pPr>
      <w:r>
        <w:rPr/>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надлежащих санитарно-гигиенических условий для обслуживающего персонала.</w:t>
      </w:r>
    </w:p>
    <w:p>
      <w:pPr>
        <w:pStyle w:val="Normal"/>
        <w:ind w:firstLine="270"/>
        <w:jc w:val="both"/>
        <w:rPr/>
      </w:pPr>
      <w:r>
        <w:rPr/>
      </w:r>
    </w:p>
    <w:p>
      <w:pPr>
        <w:pStyle w:val="Normal"/>
        <w:ind w:firstLine="225"/>
        <w:jc w:val="both"/>
        <w:rPr/>
      </w:pPr>
      <w:r>
        <w:rPr/>
        <w:t>Качество воды на поливку из самостоятельного поливочного водопровода или из сетей производственного водопровода должно удовлетворять санитарно-гигиеническим и агротехническим требованиям.</w:t>
      </w:r>
    </w:p>
    <w:p>
      <w:pPr>
        <w:pStyle w:val="Normal"/>
        <w:ind w:firstLine="225"/>
        <w:jc w:val="both"/>
        <w:rPr/>
      </w:pPr>
      <w:r>
        <w:rPr/>
      </w:r>
    </w:p>
    <w:p>
      <w:pPr>
        <w:pStyle w:val="Normal"/>
        <w:ind w:firstLine="270"/>
        <w:jc w:val="both"/>
        <w:rPr/>
      </w:pPr>
      <w:r>
        <w:rPr/>
        <w:t>1.4. Основные технические решения, принимаемые в проектах, и очередность их осуществления должны обосновываться сравнением показателей возможных вариантов. Технико-экономические расчеты следует выполнять по тем вариантам, достоинства и недостатки которых нельзя установить без расчетов.</w:t>
      </w:r>
    </w:p>
    <w:p>
      <w:pPr>
        <w:pStyle w:val="Normal"/>
        <w:ind w:firstLine="225"/>
        <w:jc w:val="both"/>
        <w:rPr/>
      </w:pPr>
      <w:r>
        <w:rPr/>
      </w:r>
    </w:p>
    <w:p>
      <w:pPr>
        <w:pStyle w:val="Normal"/>
        <w:ind w:firstLine="270"/>
        <w:jc w:val="both"/>
        <w:rPr/>
      </w:pPr>
      <w:r>
        <w:rPr/>
        <w:t>Оптимальный вариант определяется наименьшей величиной приведенных затрат с учетом сокращения расходов материальных ресурсов, трудозатрат, электроэнергии и топлива.</w:t>
      </w:r>
    </w:p>
    <w:p>
      <w:pPr>
        <w:pStyle w:val="Normal"/>
        <w:ind w:firstLine="225"/>
        <w:jc w:val="both"/>
        <w:rPr/>
      </w:pPr>
      <w:r>
        <w:rPr/>
      </w:r>
    </w:p>
    <w:p>
      <w:pPr>
        <w:pStyle w:val="Normal"/>
        <w:ind w:firstLine="270"/>
        <w:jc w:val="both"/>
        <w:rPr/>
      </w:pPr>
      <w:r>
        <w:rPr/>
        <w:t>1.5. При проектировании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за счет применения сборных конструкций, стандартных и типовых изделий и деталей,  изготавливаемых на заводах и в заготовительных мастерских.</w:t>
      </w:r>
    </w:p>
    <w:p>
      <w:pPr>
        <w:pStyle w:val="Normal"/>
        <w:ind w:firstLine="90"/>
        <w:jc w:val="both"/>
        <w:rPr/>
      </w:pPr>
      <w:r>
        <w:rPr/>
      </w:r>
    </w:p>
    <w:p>
      <w:pPr>
        <w:pStyle w:val="Normal"/>
        <w:ind w:firstLine="180"/>
        <w:jc w:val="both"/>
        <w:rPr/>
      </w:pPr>
      <w:r>
        <w:rPr/>
      </w:r>
    </w:p>
    <w:p>
      <w:pPr>
        <w:pStyle w:val="Normal"/>
        <w:ind w:firstLine="180"/>
        <w:jc w:val="both"/>
        <w:rPr/>
      </w:pPr>
      <w:r>
        <w:rPr/>
      </w:r>
    </w:p>
    <w:p>
      <w:pPr>
        <w:pStyle w:val="Heading"/>
        <w:jc w:val="center"/>
        <w:rPr/>
      </w:pPr>
      <w:r>
        <w:rPr/>
        <w:t>2. РАСЧЕТНЫЕ РАСХОДЫ ВОДЫ</w:t>
      </w:r>
    </w:p>
    <w:p>
      <w:pPr>
        <w:pStyle w:val="Heading"/>
        <w:jc w:val="center"/>
        <w:rPr/>
      </w:pPr>
      <w:r>
        <w:rPr/>
        <w:t>И СВОБОДНЫЕ НАПОРЫ</w:t>
      </w:r>
    </w:p>
    <w:p>
      <w:pPr>
        <w:pStyle w:val="Heading"/>
        <w:jc w:val="center"/>
        <w:rPr/>
      </w:pPr>
      <w:r>
        <w:rPr/>
      </w:r>
    </w:p>
    <w:p>
      <w:pPr>
        <w:pStyle w:val="Heading"/>
        <w:jc w:val="center"/>
        <w:rPr/>
      </w:pPr>
      <w:r>
        <w:rPr/>
        <w:t xml:space="preserve">РАСЧЕТНЫЕ РАСХОДЫ ВОДЫ </w:t>
      </w:r>
    </w:p>
    <w:p>
      <w:pPr>
        <w:pStyle w:val="Normal"/>
        <w:jc w:val="both"/>
        <w:rPr>
          <w:b/>
          <w:b/>
          <w:sz w:val="22"/>
        </w:rPr>
      </w:pPr>
      <w:r>
        <w:rPr>
          <w:b/>
          <w:sz w:val="22"/>
        </w:rPr>
      </w:r>
    </w:p>
    <w:p>
      <w:pPr>
        <w:pStyle w:val="Normal"/>
        <w:ind w:firstLine="660"/>
        <w:jc w:val="both"/>
        <w:rPr>
          <w:b/>
          <w:b/>
          <w:sz w:val="22"/>
        </w:rPr>
      </w:pPr>
      <w:r>
        <w:rPr>
          <w:b/>
          <w:sz w:val="22"/>
        </w:rPr>
      </w:r>
    </w:p>
    <w:p>
      <w:pPr>
        <w:pStyle w:val="Normal"/>
        <w:ind w:firstLine="270"/>
        <w:jc w:val="both"/>
        <w:rPr/>
      </w:pPr>
      <w:r>
        <w:rPr/>
        <w:t>2.1. При проектировании систем водоснабжения населенных пунктов удельное среднесуточное (за год) водопотребление на хозяйственно-питьевые нужды населения должно приниматься по табл. 1.</w:t>
      </w:r>
    </w:p>
    <w:p>
      <w:pPr>
        <w:pStyle w:val="Normal"/>
        <w:ind w:firstLine="270"/>
        <w:jc w:val="both"/>
        <w:rPr/>
      </w:pPr>
      <w:r>
        <w:rPr/>
      </w:r>
    </w:p>
    <w:p>
      <w:pPr>
        <w:pStyle w:val="Normal"/>
        <w:jc w:val="end"/>
        <w:rPr/>
      </w:pPr>
      <w:r>
        <w:rPr/>
        <w:t xml:space="preserve">Таблица 1 </w:t>
      </w:r>
    </w:p>
    <w:p>
      <w:pPr>
        <w:pStyle w:val="Normal"/>
        <w:ind w:firstLine="270"/>
        <w:jc w:val="both"/>
        <w:rPr/>
      </w:pPr>
      <w:r>
        <w:rPr/>
      </w:r>
    </w:p>
    <w:p>
      <w:pPr>
        <w:pStyle w:val="Normal"/>
        <w:ind w:firstLine="270"/>
        <w:jc w:val="both"/>
        <w:rPr/>
      </w:pPr>
      <w:r>
        <w:rPr/>
      </w:r>
    </w:p>
    <w:tbl>
      <w:tblPr>
        <w:tblW w:w="6350" w:type="dxa"/>
        <w:jc w:val="start"/>
        <w:tblInd w:w="105" w:type="dxa"/>
        <w:tblBorders>
          <w:top w:val="single" w:sz="2" w:space="0" w:color="000000"/>
          <w:start w:val="single" w:sz="2" w:space="0" w:color="000000"/>
          <w:bottom w:val="single" w:sz="2" w:space="0" w:color="000000"/>
          <w:insideH w:val="single" w:sz="2" w:space="0" w:color="000000"/>
        </w:tblBorders>
        <w:tblCellMar>
          <w:top w:w="0" w:type="dxa"/>
          <w:start w:w="102" w:type="dxa"/>
          <w:bottom w:w="0" w:type="dxa"/>
          <w:end w:w="105" w:type="dxa"/>
        </w:tblCellMar>
      </w:tblPr>
      <w:tblGrid>
        <w:gridCol w:w="4080"/>
        <w:gridCol w:w="2270"/>
      </w:tblGrid>
      <w:tr>
        <w:trPr/>
        <w:tc>
          <w:tcPr>
            <w:tcW w:w="408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vanish/>
              </w:rPr>
            </w:pPr>
            <w:r>
              <w:rPr>
                <w:vanish/>
              </w:rPr>
              <w:t>#G0</w:t>
            </w:r>
          </w:p>
          <w:p>
            <w:pPr>
              <w:pStyle w:val="Normal"/>
              <w:jc w:val="center"/>
              <w:rPr/>
            </w:pPr>
            <w:r>
              <w:rPr/>
            </w:r>
          </w:p>
          <w:p>
            <w:pPr>
              <w:pStyle w:val="Normal"/>
              <w:jc w:val="center"/>
              <w:rPr/>
            </w:pPr>
            <w:r>
              <w:rPr/>
              <w:t>Степень благоустройства районов</w:t>
            </w:r>
          </w:p>
          <w:p>
            <w:pPr>
              <w:pStyle w:val="Normal"/>
              <w:jc w:val="center"/>
              <w:rPr/>
            </w:pPr>
            <w:r>
              <w:rPr/>
              <w:t xml:space="preserve">жилой застройки </w:t>
            </w:r>
          </w:p>
          <w:p>
            <w:pPr>
              <w:pStyle w:val="Normal"/>
              <w:jc w:val="center"/>
              <w:rPr/>
            </w:pPr>
            <w:r>
              <w:rPr/>
            </w:r>
          </w:p>
        </w:tc>
        <w:tc>
          <w:tcPr>
            <w:tcW w:w="2270" w:type="dxa"/>
            <w:tcBorders>
              <w:top w:val="single" w:sz="2" w:space="0" w:color="000000"/>
              <w:start w:val="single" w:sz="2" w:space="0" w:color="000000"/>
              <w:end w:val="single" w:sz="2" w:space="0" w:color="000000"/>
              <w:insideV w:val="single" w:sz="2" w:space="0" w:color="000000"/>
            </w:tcBorders>
            <w:shd w:fill="auto" w:val="clear"/>
            <w:tcMar>
              <w:start w:w="102" w:type="dxa"/>
            </w:tcMar>
          </w:tcPr>
          <w:p>
            <w:pPr>
              <w:pStyle w:val="Normal"/>
              <w:rPr/>
            </w:pPr>
            <w:r>
              <w:rPr/>
              <w:t xml:space="preserve">Удельное хозяйственно-питьевое водопотребление </w:t>
            </w:r>
          </w:p>
          <w:p>
            <w:pPr>
              <w:pStyle w:val="Normal"/>
              <w:rPr/>
            </w:pPr>
            <w:r>
              <w:rPr/>
              <w:t xml:space="preserve">в населенных пунктах </w:t>
            </w:r>
          </w:p>
          <w:p>
            <w:pPr>
              <w:pStyle w:val="Normal"/>
              <w:rPr/>
            </w:pPr>
            <w:r>
              <w:rPr/>
              <w:t xml:space="preserve">на одного жителя среднесуточное (за год), л/сут </w:t>
            </w:r>
          </w:p>
          <w:p>
            <w:pPr>
              <w:pStyle w:val="Normal"/>
              <w:rPr/>
            </w:pPr>
            <w:r>
              <w:rPr/>
            </w:r>
          </w:p>
        </w:tc>
      </w:tr>
      <w:tr>
        <w:trPr/>
        <w:tc>
          <w:tcPr>
            <w:tcW w:w="4080" w:type="dxa"/>
            <w:tcBorders>
              <w:start w:val="single" w:sz="2" w:space="0" w:color="000000"/>
            </w:tcBorders>
            <w:shd w:fill="auto" w:val="clear"/>
            <w:tcMar>
              <w:start w:w="102" w:type="dxa"/>
            </w:tcMar>
          </w:tcPr>
          <w:p>
            <w:pPr>
              <w:pStyle w:val="Normal"/>
              <w:snapToGrid w:val="false"/>
              <w:jc w:val="both"/>
              <w:rPr/>
            </w:pPr>
            <w:r>
              <w:rPr/>
            </w:r>
          </w:p>
          <w:p>
            <w:pPr>
              <w:pStyle w:val="Normal"/>
              <w:jc w:val="both"/>
              <w:rPr/>
            </w:pPr>
            <w:r>
              <w:rPr/>
            </w:r>
          </w:p>
          <w:p>
            <w:pPr>
              <w:pStyle w:val="Normal"/>
              <w:jc w:val="both"/>
              <w:rPr/>
            </w:pPr>
            <w:r>
              <w:rPr/>
              <w:t>Застройка зданиями, оборудованными внутренним водопроводом и канализацией:</w:t>
            </w:r>
          </w:p>
          <w:p>
            <w:pPr>
              <w:pStyle w:val="Normal"/>
              <w:jc w:val="both"/>
              <w:rPr/>
            </w:pPr>
            <w:r>
              <w:rPr/>
            </w:r>
          </w:p>
          <w:p>
            <w:pPr>
              <w:pStyle w:val="Normal"/>
              <w:ind w:firstLine="315"/>
              <w:jc w:val="both"/>
              <w:rPr/>
            </w:pPr>
            <w:r>
              <w:rPr/>
              <w:t xml:space="preserve">без ванн </w:t>
            </w:r>
          </w:p>
          <w:p>
            <w:pPr>
              <w:pStyle w:val="Normal"/>
              <w:ind w:firstLine="315"/>
              <w:jc w:val="both"/>
              <w:rPr/>
            </w:pPr>
            <w:r>
              <w:rPr/>
            </w:r>
          </w:p>
        </w:tc>
        <w:tc>
          <w:tcPr>
            <w:tcW w:w="2270" w:type="dxa"/>
            <w:tcBorders>
              <w:top w:val="single" w:sz="2" w:space="0" w:color="000000"/>
              <w:start w:val="single" w:sz="2" w:space="0" w:color="000000"/>
              <w:end w:val="single" w:sz="2" w:space="0" w:color="000000"/>
              <w:insideV w:val="single" w:sz="2" w:space="0" w:color="000000"/>
            </w:tcBorders>
            <w:shd w:fill="auto" w:val="clear"/>
            <w:tcMar>
              <w:start w:w="102" w:type="dxa"/>
            </w:tcMar>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 xml:space="preserve">125-160 </w:t>
            </w:r>
          </w:p>
          <w:p>
            <w:pPr>
              <w:pStyle w:val="Normal"/>
              <w:jc w:val="center"/>
              <w:rPr/>
            </w:pPr>
            <w:r>
              <w:rPr/>
            </w:r>
          </w:p>
        </w:tc>
      </w:tr>
      <w:tr>
        <w:trPr/>
        <w:tc>
          <w:tcPr>
            <w:tcW w:w="4080" w:type="dxa"/>
            <w:tcBorders>
              <w:start w:val="single" w:sz="2" w:space="0" w:color="000000"/>
            </w:tcBorders>
            <w:shd w:fill="auto" w:val="clear"/>
            <w:tcMar>
              <w:start w:w="102" w:type="dxa"/>
            </w:tcMar>
          </w:tcPr>
          <w:p>
            <w:pPr>
              <w:pStyle w:val="Normal"/>
              <w:ind w:firstLine="315"/>
              <w:jc w:val="both"/>
              <w:rPr/>
            </w:pPr>
            <w:r>
              <w:rPr/>
              <w:t xml:space="preserve">с ванными и местными водонагревателями </w:t>
            </w:r>
          </w:p>
          <w:p>
            <w:pPr>
              <w:pStyle w:val="Normal"/>
              <w:ind w:firstLine="315"/>
              <w:jc w:val="both"/>
              <w:rPr/>
            </w:pPr>
            <w:r>
              <w:rPr/>
            </w:r>
          </w:p>
        </w:tc>
        <w:tc>
          <w:tcPr>
            <w:tcW w:w="2270"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t xml:space="preserve">160-230 </w:t>
            </w:r>
          </w:p>
          <w:p>
            <w:pPr>
              <w:pStyle w:val="Normal"/>
              <w:jc w:val="center"/>
              <w:rPr/>
            </w:pPr>
            <w:r>
              <w:rPr/>
            </w:r>
          </w:p>
        </w:tc>
      </w:tr>
      <w:tr>
        <w:trPr/>
        <w:tc>
          <w:tcPr>
            <w:tcW w:w="4080" w:type="dxa"/>
            <w:tcBorders>
              <w:start w:val="single" w:sz="2" w:space="0" w:color="000000"/>
              <w:bottom w:val="single" w:sz="2" w:space="0" w:color="000000"/>
              <w:insideH w:val="single" w:sz="2" w:space="0" w:color="000000"/>
            </w:tcBorders>
            <w:shd w:fill="auto" w:val="clear"/>
            <w:tcMar>
              <w:start w:w="102" w:type="dxa"/>
            </w:tcMar>
          </w:tcPr>
          <w:p>
            <w:pPr>
              <w:pStyle w:val="Normal"/>
              <w:ind w:firstLine="315"/>
              <w:jc w:val="both"/>
              <w:rPr/>
            </w:pPr>
            <w:r>
              <w:rPr/>
              <w:t>с централизованным горячим водоснабжением</w:t>
            </w:r>
          </w:p>
          <w:p>
            <w:pPr>
              <w:pStyle w:val="Normal"/>
              <w:ind w:firstLine="315"/>
              <w:jc w:val="both"/>
              <w:rPr/>
            </w:pPr>
            <w:r>
              <w:rPr/>
            </w:r>
          </w:p>
          <w:p>
            <w:pPr>
              <w:pStyle w:val="Normal"/>
              <w:ind w:firstLine="315"/>
              <w:jc w:val="both"/>
              <w:rPr/>
            </w:pPr>
            <w:r>
              <w:rPr/>
            </w:r>
          </w:p>
        </w:tc>
        <w:tc>
          <w:tcPr>
            <w:tcW w:w="227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jc w:val="center"/>
              <w:rPr/>
            </w:pPr>
            <w:r>
              <w:rPr/>
              <w:t xml:space="preserve">230-350 </w:t>
            </w:r>
          </w:p>
          <w:p>
            <w:pPr>
              <w:pStyle w:val="Normal"/>
              <w:jc w:val="center"/>
              <w:rPr/>
            </w:pPr>
            <w:r>
              <w:rPr/>
            </w:r>
          </w:p>
        </w:tc>
      </w:tr>
    </w:tbl>
    <w:p>
      <w:pPr>
        <w:pStyle w:val="Normal"/>
        <w:jc w:val="both"/>
        <w:rPr/>
      </w:pPr>
      <w:r>
        <w:rPr/>
      </w:r>
    </w:p>
    <w:p>
      <w:pPr>
        <w:pStyle w:val="Normal"/>
        <w:ind w:firstLine="270"/>
        <w:jc w:val="both"/>
        <w:rPr/>
      </w:pPr>
      <w:r>
        <w:rPr/>
        <w:t>Примечания: 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pPr>
        <w:pStyle w:val="Normal"/>
        <w:ind w:firstLine="180"/>
        <w:jc w:val="both"/>
        <w:rPr/>
      </w:pPr>
      <w:r>
        <w:rPr/>
      </w:r>
    </w:p>
    <w:p>
      <w:pPr>
        <w:pStyle w:val="Normal"/>
        <w:ind w:firstLine="315"/>
        <w:jc w:val="both"/>
        <w:rPr/>
      </w:pPr>
      <w:r>
        <w:rPr/>
        <w:t xml:space="preserve">2. Удельное водопотребление включает расходы воды на хозяйственно-питьевые и бытовые нужды в общественных зданиях (по классификации, принятой в </w:t>
      </w:r>
      <w:r>
        <w:rPr>
          <w:vanish/>
        </w:rPr>
        <w:t>#M12291 5200165</w:t>
      </w:r>
      <w:r>
        <w:rPr/>
        <w:t>СНиП 2.08.02-89*</w:t>
      </w:r>
      <w:r>
        <w:rPr>
          <w:vanish/>
        </w:rPr>
        <w:t>#S</w:t>
      </w:r>
      <w:r>
        <w:rPr/>
        <w:t xml:space="preserve">), за исключением расходов воды для домов отдыха, санаторно-туристских комплексов и пионерских лагерей, которые должны приниматься согласно </w:t>
      </w:r>
      <w:r>
        <w:rPr>
          <w:vanish/>
        </w:rPr>
        <w:t>#M12293 0 5200243 3704477087 78 23944 2465715557 2685059051 3363248087 4294967268 584910322</w:t>
      </w:r>
      <w:r>
        <w:rPr/>
        <w:t>СНиП 2.04.01-85</w:t>
      </w:r>
      <w:r>
        <w:rPr>
          <w:vanish/>
        </w:rPr>
        <w:t>#S</w:t>
      </w:r>
      <w:r>
        <w:rPr/>
        <w:t xml:space="preserve"> и технологическим данным.</w:t>
      </w:r>
    </w:p>
    <w:p>
      <w:pPr>
        <w:pStyle w:val="Normal"/>
        <w:ind w:firstLine="225"/>
        <w:jc w:val="both"/>
        <w:rPr/>
      </w:pPr>
      <w:r>
        <w:rPr/>
      </w:r>
    </w:p>
    <w:p>
      <w:pPr>
        <w:pStyle w:val="Normal"/>
        <w:ind w:firstLine="270"/>
        <w:jc w:val="both"/>
        <w:rPr/>
      </w:pPr>
      <w:r>
        <w:rPr/>
        <w:t>3. Выбор удельного водопотребления в пределах, указанных в табл. 1,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pPr>
        <w:pStyle w:val="Normal"/>
        <w:ind w:firstLine="270"/>
        <w:jc w:val="both"/>
        <w:rPr/>
      </w:pPr>
      <w:r>
        <w:rPr/>
      </w:r>
    </w:p>
    <w:p>
      <w:pPr>
        <w:pStyle w:val="Normal"/>
        <w:ind w:firstLine="225"/>
        <w:jc w:val="both"/>
        <w:rPr/>
      </w:pPr>
      <w:r>
        <w:rPr/>
        <w:t>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суммарного расхода воды на хозяйственно-питьевые нужды населенного пункта.</w:t>
      </w:r>
    </w:p>
    <w:p>
      <w:pPr>
        <w:pStyle w:val="Normal"/>
        <w:ind w:firstLine="225"/>
        <w:jc w:val="both"/>
        <w:rPr/>
      </w:pPr>
      <w:r>
        <w:rPr/>
      </w:r>
    </w:p>
    <w:p>
      <w:pPr>
        <w:pStyle w:val="Normal"/>
        <w:ind w:firstLine="270"/>
        <w:jc w:val="both"/>
        <w:rPr/>
      </w:pPr>
      <w:r>
        <w:rPr/>
        <w:t>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общего расхода воды на хозяйственно-питьевые нужды и в час максимального водозабора - 55% этого расхода. При смешанной застройке следует исходить из численности населения, проживающего в указанных зданиях.</w:t>
      </w:r>
    </w:p>
    <w:p>
      <w:pPr>
        <w:pStyle w:val="Normal"/>
        <w:ind w:firstLine="225"/>
        <w:jc w:val="both"/>
        <w:rPr/>
      </w:pPr>
      <w:r>
        <w:rPr/>
      </w:r>
    </w:p>
    <w:p>
      <w:pPr>
        <w:pStyle w:val="Normal"/>
        <w:ind w:firstLine="270"/>
        <w:jc w:val="both"/>
        <w:rPr/>
      </w:pPr>
      <w:r>
        <w:rPr/>
        <w:t xml:space="preserve">6. Удельное водопотребление в населенных пунктах с числом жителей свыше 1 млн. чел. допускается увеличивать при обосновании в каждом отдельном случае и согласовании с органами Государственного надзора.      </w:t>
      </w:r>
    </w:p>
    <w:p>
      <w:pPr>
        <w:pStyle w:val="Normal"/>
        <w:ind w:firstLine="270"/>
        <w:jc w:val="both"/>
        <w:rPr/>
      </w:pPr>
      <w:r>
        <w:rPr/>
      </w:r>
    </w:p>
    <w:tbl>
      <w:tblPr>
        <w:tblW w:w="7770" w:type="dxa"/>
        <w:jc w:val="start"/>
        <w:tblInd w:w="15" w:type="dxa"/>
        <w:tblBorders/>
        <w:tblCellMar>
          <w:top w:w="0" w:type="dxa"/>
          <w:start w:w="15" w:type="dxa"/>
          <w:bottom w:w="0" w:type="dxa"/>
          <w:end w:w="15" w:type="dxa"/>
        </w:tblCellMar>
      </w:tblPr>
      <w:tblGrid>
        <w:gridCol w:w="5250"/>
        <w:gridCol w:w="825"/>
        <w:gridCol w:w="1590"/>
        <w:gridCol w:w="105"/>
      </w:tblGrid>
      <w:tr>
        <w:trPr/>
        <w:tc>
          <w:tcPr>
            <w:tcW w:w="5250" w:type="dxa"/>
            <w:tcBorders/>
            <w:shd w:fill="auto" w:val="clear"/>
          </w:tcPr>
          <w:p>
            <w:pPr>
              <w:pStyle w:val="Normal"/>
              <w:rPr/>
            </w:pPr>
            <w:r>
              <w:rPr>
                <w:vanish/>
              </w:rPr>
              <w:t>#G0</w:t>
            </w:r>
            <w:r>
              <w:rPr/>
              <w:t xml:space="preserve">  </w:t>
            </w:r>
          </w:p>
          <w:p>
            <w:pPr>
              <w:pStyle w:val="Normal"/>
              <w:ind w:firstLine="225"/>
              <w:jc w:val="both"/>
              <w:rPr/>
            </w:pPr>
            <w:r>
              <w:rPr/>
              <w:t xml:space="preserve">2.2. Расчетный (средний за год) суточный расход воды </w:t>
            </w:r>
          </w:p>
          <w:p>
            <w:pPr>
              <w:pStyle w:val="Normal"/>
              <w:ind w:firstLine="225"/>
              <w:jc w:val="both"/>
              <w:rPr/>
            </w:pPr>
            <w:r>
              <w:rPr/>
            </w:r>
          </w:p>
        </w:tc>
        <w:tc>
          <w:tcPr>
            <w:tcW w:w="825" w:type="dxa"/>
            <w:tcBorders/>
            <w:shd w:fill="auto" w:val="clear"/>
          </w:tcPr>
          <w:p>
            <w:pPr>
              <w:pStyle w:val="Normal"/>
              <w:rPr/>
            </w:pPr>
            <w:r>
              <w:rPr/>
              <w:t xml:space="preserve">  </w:t>
            </w:r>
          </w:p>
          <w:p>
            <w:pPr>
              <w:pStyle w:val="Normal"/>
              <w:rPr/>
            </w:pPr>
            <w:r>
              <w:rPr/>
              <w:drawing>
                <wp:inline distT="0" distB="0" distL="0" distR="0">
                  <wp:extent cx="391795" cy="20764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391795" cy="207645"/>
                          </a:xfrm>
                          <a:prstGeom prst="rect">
                            <a:avLst/>
                          </a:prstGeom>
                        </pic:spPr>
                      </pic:pic>
                    </a:graphicData>
                  </a:graphic>
                </wp:inline>
              </w:drawing>
            </w:r>
          </w:p>
        </w:tc>
        <w:tc>
          <w:tcPr>
            <w:tcW w:w="1590" w:type="dxa"/>
            <w:tcBorders/>
            <w:shd w:fill="auto" w:val="clear"/>
          </w:tcPr>
          <w:p>
            <w:pPr>
              <w:pStyle w:val="Normal"/>
              <w:rPr/>
            </w:pPr>
            <w:r>
              <w:rPr/>
              <w:t xml:space="preserve">  </w:t>
            </w:r>
          </w:p>
          <w:p>
            <w:pPr>
              <w:pStyle w:val="Normal"/>
              <w:rPr/>
            </w:pPr>
            <w:r>
              <w:rPr/>
              <w:t xml:space="preserve">куб.м/сут, на </w:t>
            </w:r>
          </w:p>
          <w:p>
            <w:pPr>
              <w:pStyle w:val="Normal"/>
              <w:rPr/>
            </w:pPr>
            <w:r>
              <w:rPr/>
            </w:r>
          </w:p>
        </w:tc>
        <w:tc>
          <w:tcPr>
            <w:tcW w:w="105" w:type="dxa"/>
            <w:tcBorders/>
            <w:shd w:fill="auto" w:val="clear"/>
            <w:tcMar>
              <w:start w:w="0" w:type="dxa"/>
              <w:end w:w="0" w:type="dxa"/>
            </w:tcMar>
          </w:tcPr>
          <w:p>
            <w:pPr>
              <w:pStyle w:val="Normal"/>
              <w:snapToGrid w:val="false"/>
              <w:rPr/>
            </w:pPr>
            <w:r>
              <w:rPr/>
            </w:r>
          </w:p>
        </w:tc>
      </w:tr>
      <w:tr>
        <w:trPr/>
        <w:tc>
          <w:tcPr>
            <w:tcW w:w="7770" w:type="dxa"/>
            <w:gridSpan w:val="4"/>
            <w:tcBorders/>
            <w:shd w:fill="auto" w:val="clear"/>
          </w:tcPr>
          <w:p>
            <w:pPr>
              <w:pStyle w:val="Normal"/>
              <w:rPr/>
            </w:pPr>
            <w:r>
              <w:rPr/>
              <w:t xml:space="preserve"> </w:t>
            </w:r>
            <w:r>
              <w:rPr/>
              <w:t xml:space="preserve">хозяйственно-питьевые нужды в населенном пункте следует определять по  формуле </w:t>
            </w:r>
          </w:p>
          <w:p>
            <w:pPr>
              <w:pStyle w:val="Normal"/>
              <w:rPr/>
            </w:pPr>
            <w:r>
              <w:rPr/>
            </w:r>
          </w:p>
        </w:tc>
      </w:tr>
    </w:tbl>
    <w:p>
      <w:pPr>
        <w:pStyle w:val="Normal"/>
        <w:jc w:val="both"/>
        <w:rPr/>
      </w:pPr>
      <w:r>
        <w:rPr/>
      </w:r>
    </w:p>
    <w:p>
      <w:pPr>
        <w:pStyle w:val="Normal"/>
        <w:ind w:firstLine="225"/>
        <w:jc w:val="both"/>
        <w:rPr/>
      </w:pPr>
      <w:r>
        <w:rPr/>
      </w:r>
    </w:p>
    <w:tbl>
      <w:tblPr>
        <w:tblW w:w="3210" w:type="dxa"/>
        <w:jc w:val="start"/>
        <w:tblInd w:w="165" w:type="dxa"/>
        <w:tblBorders/>
        <w:tblCellMar>
          <w:top w:w="0" w:type="dxa"/>
          <w:start w:w="15" w:type="dxa"/>
          <w:bottom w:w="0" w:type="dxa"/>
          <w:end w:w="15" w:type="dxa"/>
        </w:tblCellMar>
      </w:tblPr>
      <w:tblGrid>
        <w:gridCol w:w="2760"/>
        <w:gridCol w:w="450"/>
      </w:tblGrid>
      <w:tr>
        <w:trPr/>
        <w:tc>
          <w:tcPr>
            <w:tcW w:w="2760" w:type="dxa"/>
            <w:tcBorders/>
            <w:shd w:fill="auto" w:val="clear"/>
          </w:tcPr>
          <w:p>
            <w:pPr>
              <w:pStyle w:val="Normal"/>
              <w:rPr/>
            </w:pPr>
            <w:r>
              <w:rPr>
                <w:vanish/>
              </w:rPr>
              <w:t>#G0</w:t>
            </w:r>
            <w:r>
              <w:rPr/>
              <w:t xml:space="preserve">  </w:t>
            </w:r>
          </w:p>
          <w:p>
            <w:pPr>
              <w:pStyle w:val="Normal"/>
              <w:rPr/>
            </w:pPr>
            <w:r>
              <w:rPr/>
              <w:drawing>
                <wp:inline distT="0" distB="0" distL="0" distR="0">
                  <wp:extent cx="1577975" cy="288290"/>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1577975" cy="288290"/>
                          </a:xfrm>
                          <a:prstGeom prst="rect">
                            <a:avLst/>
                          </a:prstGeom>
                        </pic:spPr>
                      </pic:pic>
                    </a:graphicData>
                  </a:graphic>
                </wp:inline>
              </w:drawing>
            </w:r>
          </w:p>
        </w:tc>
        <w:tc>
          <w:tcPr>
            <w:tcW w:w="450" w:type="dxa"/>
            <w:tcBorders/>
            <w:shd w:fill="auto" w:val="clear"/>
          </w:tcPr>
          <w:p>
            <w:pPr>
              <w:pStyle w:val="Normal"/>
              <w:rPr/>
            </w:pPr>
            <w:r>
              <w:rPr/>
              <w:t xml:space="preserve">  </w:t>
            </w:r>
          </w:p>
          <w:p>
            <w:pPr>
              <w:pStyle w:val="Normal"/>
              <w:rPr/>
            </w:pPr>
            <w:r>
              <w:rPr/>
              <w:t xml:space="preserve">    </w:t>
            </w:r>
            <w:r>
              <w:rPr/>
              <w:t>(1)</w:t>
            </w:r>
          </w:p>
          <w:p>
            <w:pPr>
              <w:pStyle w:val="Normal"/>
              <w:rPr/>
            </w:pPr>
            <w:r>
              <w:rPr/>
            </w:r>
          </w:p>
        </w:tc>
      </w:tr>
    </w:tbl>
    <w:p>
      <w:pPr>
        <w:pStyle w:val="Normal"/>
        <w:ind w:firstLine="495"/>
        <w:jc w:val="both"/>
        <w:rPr/>
      </w:pPr>
      <w:r>
        <w:rPr/>
        <w:tab/>
        <w:tab/>
        <w:t xml:space="preserve">        </w:t>
      </w:r>
    </w:p>
    <w:p>
      <w:pPr>
        <w:pStyle w:val="Normal"/>
        <w:ind w:firstLine="450"/>
        <w:jc w:val="both"/>
        <w:rPr/>
      </w:pPr>
      <w:r>
        <w:rPr/>
      </w:r>
    </w:p>
    <w:tbl>
      <w:tblPr>
        <w:tblW w:w="7500" w:type="dxa"/>
        <w:jc w:val="start"/>
        <w:tblInd w:w="165" w:type="dxa"/>
        <w:tblBorders/>
        <w:tblCellMar>
          <w:top w:w="0" w:type="dxa"/>
          <w:start w:w="15" w:type="dxa"/>
          <w:bottom w:w="0" w:type="dxa"/>
          <w:end w:w="15" w:type="dxa"/>
        </w:tblCellMar>
      </w:tblPr>
      <w:tblGrid>
        <w:gridCol w:w="360"/>
        <w:gridCol w:w="570"/>
        <w:gridCol w:w="6570"/>
      </w:tblGrid>
      <w:tr>
        <w:trPr/>
        <w:tc>
          <w:tcPr>
            <w:tcW w:w="360" w:type="dxa"/>
            <w:tcBorders/>
            <w:shd w:fill="auto" w:val="clear"/>
          </w:tcPr>
          <w:p>
            <w:pPr>
              <w:pStyle w:val="Normal"/>
              <w:rPr>
                <w:vanish/>
              </w:rPr>
            </w:pPr>
            <w:r>
              <w:rPr>
                <w:vanish/>
              </w:rPr>
              <w:t>#G0</w:t>
            </w:r>
          </w:p>
          <w:p>
            <w:pPr>
              <w:pStyle w:val="Normal"/>
              <w:rPr/>
            </w:pPr>
            <w:r>
              <w:rPr/>
              <w:t xml:space="preserve"> </w:t>
            </w:r>
            <w:r>
              <w:rPr/>
              <w:t xml:space="preserve">где </w:t>
            </w:r>
          </w:p>
          <w:p>
            <w:pPr>
              <w:pStyle w:val="Normal"/>
              <w:rPr/>
            </w:pPr>
            <w:r>
              <w:rPr/>
            </w:r>
          </w:p>
        </w:tc>
        <w:tc>
          <w:tcPr>
            <w:tcW w:w="570" w:type="dxa"/>
            <w:tcBorders/>
            <w:shd w:fill="auto" w:val="clear"/>
          </w:tcPr>
          <w:p>
            <w:pPr>
              <w:pStyle w:val="Normal"/>
              <w:rPr/>
            </w:pPr>
            <w:r>
              <w:rPr/>
              <w:t xml:space="preserve"> </w:t>
            </w:r>
          </w:p>
          <w:p>
            <w:pPr>
              <w:pStyle w:val="Normal"/>
              <w:rPr/>
            </w:pPr>
            <w:r>
              <w:rPr/>
              <w:drawing>
                <wp:inline distT="0" distB="0" distL="0" distR="0">
                  <wp:extent cx="230505" cy="172720"/>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230505" cy="172720"/>
                          </a:xfrm>
                          <a:prstGeom prst="rect">
                            <a:avLst/>
                          </a:prstGeom>
                        </pic:spPr>
                      </pic:pic>
                    </a:graphicData>
                  </a:graphic>
                </wp:inline>
              </w:drawing>
            </w:r>
          </w:p>
        </w:tc>
        <w:tc>
          <w:tcPr>
            <w:tcW w:w="6570" w:type="dxa"/>
            <w:tcBorders/>
            <w:shd w:fill="auto" w:val="clear"/>
          </w:tcPr>
          <w:p>
            <w:pPr>
              <w:pStyle w:val="Normal"/>
              <w:rPr/>
            </w:pPr>
            <w:r>
              <w:rPr/>
              <w:t xml:space="preserve">  </w:t>
            </w:r>
          </w:p>
          <w:p>
            <w:pPr>
              <w:pStyle w:val="Normal"/>
              <w:jc w:val="both"/>
              <w:rPr/>
            </w:pPr>
            <w:r>
              <w:rPr/>
              <w:t>- удельное водопотребление, принимаемое по табл. 1;</w:t>
            </w:r>
          </w:p>
          <w:p>
            <w:pPr>
              <w:pStyle w:val="Normal"/>
              <w:jc w:val="both"/>
              <w:rPr/>
            </w:pPr>
            <w:r>
              <w:rPr/>
            </w:r>
          </w:p>
        </w:tc>
      </w:tr>
    </w:tbl>
    <w:p>
      <w:pPr>
        <w:pStyle w:val="Normal"/>
        <w:ind w:firstLine="90"/>
        <w:jc w:val="both"/>
        <w:rPr/>
      </w:pPr>
      <w:r>
        <w:rPr/>
      </w:r>
    </w:p>
    <w:tbl>
      <w:tblPr>
        <w:tblW w:w="8760" w:type="dxa"/>
        <w:jc w:val="start"/>
        <w:tblInd w:w="555" w:type="dxa"/>
        <w:tblBorders/>
        <w:tblCellMar>
          <w:top w:w="0" w:type="dxa"/>
          <w:start w:w="15" w:type="dxa"/>
          <w:bottom w:w="0" w:type="dxa"/>
          <w:end w:w="15" w:type="dxa"/>
        </w:tblCellMar>
      </w:tblPr>
      <w:tblGrid>
        <w:gridCol w:w="525"/>
        <w:gridCol w:w="8235"/>
      </w:tblGrid>
      <w:tr>
        <w:trPr/>
        <w:tc>
          <w:tcPr>
            <w:tcW w:w="525" w:type="dxa"/>
            <w:tcBorders/>
            <w:shd w:fill="auto" w:val="clear"/>
          </w:tcPr>
          <w:p>
            <w:pPr>
              <w:pStyle w:val="Normal"/>
              <w:rPr>
                <w:sz w:val="24"/>
              </w:rPr>
            </w:pPr>
            <w:r>
              <w:rPr/>
              <w:drawing>
                <wp:inline distT="0" distB="0" distL="0" distR="0">
                  <wp:extent cx="264795" cy="172720"/>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264795" cy="172720"/>
                          </a:xfrm>
                          <a:prstGeom prst="rect">
                            <a:avLst/>
                          </a:prstGeom>
                        </pic:spPr>
                      </pic:pic>
                    </a:graphicData>
                  </a:graphic>
                </wp:inline>
              </w:drawing>
            </w:r>
          </w:p>
        </w:tc>
        <w:tc>
          <w:tcPr>
            <w:tcW w:w="8235" w:type="dxa"/>
            <w:tcBorders/>
            <w:shd w:fill="auto" w:val="clear"/>
          </w:tcPr>
          <w:p>
            <w:pPr>
              <w:pStyle w:val="Normal"/>
              <w:rPr/>
            </w:pPr>
            <w:r>
              <w:rPr>
                <w:vanish/>
              </w:rPr>
              <w:t>#G0</w:t>
            </w:r>
            <w:r>
              <w:rPr/>
              <w:t xml:space="preserve"> - расчетное число жителей в районах жилой застройки с различной степенью благоустройства.</w:t>
            </w:r>
          </w:p>
          <w:p>
            <w:pPr>
              <w:pStyle w:val="Normal"/>
              <w:rPr/>
            </w:pPr>
            <w:r>
              <w:rPr/>
            </w:r>
          </w:p>
        </w:tc>
      </w:tr>
    </w:tbl>
    <w:p>
      <w:pPr>
        <w:pStyle w:val="Normal"/>
        <w:ind w:firstLine="45"/>
        <w:jc w:val="both"/>
        <w:rPr/>
      </w:pPr>
      <w:r>
        <w:rPr/>
      </w:r>
    </w:p>
    <w:tbl>
      <w:tblPr>
        <w:tblW w:w="8820" w:type="dxa"/>
        <w:jc w:val="start"/>
        <w:tblInd w:w="15" w:type="dxa"/>
        <w:tblBorders/>
        <w:tblCellMar>
          <w:top w:w="0" w:type="dxa"/>
          <w:start w:w="15" w:type="dxa"/>
          <w:bottom w:w="0" w:type="dxa"/>
          <w:end w:w="15" w:type="dxa"/>
        </w:tblCellMar>
      </w:tblPr>
      <w:tblGrid>
        <w:gridCol w:w="7125"/>
        <w:gridCol w:w="750"/>
        <w:gridCol w:w="945"/>
      </w:tblGrid>
      <w:tr>
        <w:trPr/>
        <w:tc>
          <w:tcPr>
            <w:tcW w:w="7125" w:type="dxa"/>
            <w:tcBorders/>
            <w:shd w:fill="auto" w:val="clear"/>
          </w:tcPr>
          <w:p>
            <w:pPr>
              <w:pStyle w:val="Normal"/>
              <w:rPr/>
            </w:pPr>
            <w:r>
              <w:rPr>
                <w:vanish/>
              </w:rPr>
              <w:t>#G0</w:t>
            </w:r>
            <w:r>
              <w:rPr/>
              <w:t xml:space="preserve">  Расчетные расходы воды в сутки наибольшего и наименьшего водопотребления </w:t>
            </w:r>
          </w:p>
          <w:p>
            <w:pPr>
              <w:pStyle w:val="Normal"/>
              <w:rPr/>
            </w:pPr>
            <w:r>
              <w:rPr/>
            </w:r>
          </w:p>
        </w:tc>
        <w:tc>
          <w:tcPr>
            <w:tcW w:w="750" w:type="dxa"/>
            <w:tcBorders/>
            <w:shd w:fill="auto" w:val="clear"/>
          </w:tcPr>
          <w:p>
            <w:pPr>
              <w:pStyle w:val="Normal"/>
              <w:rPr/>
            </w:pPr>
            <w:r>
              <w:rPr/>
              <w:drawing>
                <wp:inline distT="0" distB="0" distL="0" distR="0">
                  <wp:extent cx="391795" cy="20764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391795" cy="207645"/>
                          </a:xfrm>
                          <a:prstGeom prst="rect">
                            <a:avLst/>
                          </a:prstGeom>
                        </pic:spPr>
                      </pic:pic>
                    </a:graphicData>
                  </a:graphic>
                </wp:inline>
              </w:drawing>
            </w:r>
          </w:p>
        </w:tc>
        <w:tc>
          <w:tcPr>
            <w:tcW w:w="945" w:type="dxa"/>
            <w:tcBorders/>
            <w:shd w:fill="auto" w:val="clear"/>
          </w:tcPr>
          <w:p>
            <w:pPr>
              <w:pStyle w:val="Normal"/>
              <w:rPr/>
            </w:pPr>
            <w:r>
              <w:rPr/>
              <w:t xml:space="preserve"> </w:t>
            </w:r>
            <w:r>
              <w:rPr/>
              <w:t>куб.м/сут,</w:t>
            </w:r>
          </w:p>
          <w:p>
            <w:pPr>
              <w:pStyle w:val="Normal"/>
              <w:rPr/>
            </w:pPr>
            <w:r>
              <w:rPr/>
            </w:r>
          </w:p>
        </w:tc>
      </w:tr>
    </w:tbl>
    <w:p>
      <w:pPr>
        <w:pStyle w:val="Normal"/>
        <w:jc w:val="both"/>
        <w:rPr/>
      </w:pPr>
      <w:r>
        <w:rPr/>
        <w:t xml:space="preserve">надлежит определять:      </w:t>
      </w:r>
    </w:p>
    <w:p>
      <w:pPr>
        <w:pStyle w:val="Normal"/>
        <w:ind w:firstLine="270"/>
        <w:jc w:val="both"/>
        <w:rPr/>
      </w:pPr>
      <w:r>
        <w:rPr/>
        <w:tab/>
        <w:tab/>
        <w:t xml:space="preserve">     </w:t>
      </w:r>
    </w:p>
    <w:tbl>
      <w:tblPr>
        <w:tblW w:w="4290" w:type="dxa"/>
        <w:jc w:val="start"/>
        <w:tblInd w:w="165" w:type="dxa"/>
        <w:tblBorders/>
        <w:tblCellMar>
          <w:top w:w="0" w:type="dxa"/>
          <w:start w:w="15" w:type="dxa"/>
          <w:bottom w:w="0" w:type="dxa"/>
          <w:end w:w="15" w:type="dxa"/>
        </w:tblCellMar>
      </w:tblPr>
      <w:tblGrid>
        <w:gridCol w:w="2355"/>
        <w:gridCol w:w="1935"/>
      </w:tblGrid>
      <w:tr>
        <w:trPr/>
        <w:tc>
          <w:tcPr>
            <w:tcW w:w="2355" w:type="dxa"/>
            <w:tcBorders/>
            <w:shd w:fill="auto" w:val="clear"/>
          </w:tcPr>
          <w:p>
            <w:pPr>
              <w:pStyle w:val="Normal"/>
              <w:rPr/>
            </w:pPr>
            <w:r>
              <w:rPr>
                <w:vanish/>
              </w:rPr>
              <w:t>#G0</w:t>
            </w:r>
            <w:r>
              <w:rPr/>
              <w:t xml:space="preserve">  </w:t>
            </w:r>
          </w:p>
          <w:p>
            <w:pPr>
              <w:pStyle w:val="Normal"/>
              <w:rPr/>
            </w:pPr>
            <w:r>
              <w:rPr/>
              <w:drawing>
                <wp:inline distT="0" distB="0" distL="0" distR="0">
                  <wp:extent cx="1566545" cy="622300"/>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1566545" cy="622300"/>
                          </a:xfrm>
                          <a:prstGeom prst="rect">
                            <a:avLst/>
                          </a:prstGeom>
                        </pic:spPr>
                      </pic:pic>
                    </a:graphicData>
                  </a:graphic>
                </wp:inline>
              </w:drawing>
            </w:r>
          </w:p>
        </w:tc>
        <w:tc>
          <w:tcPr>
            <w:tcW w:w="1935" w:type="dxa"/>
            <w:tcBorders/>
            <w:shd w:fill="auto" w:val="clear"/>
          </w:tcPr>
          <w:p>
            <w:pPr>
              <w:pStyle w:val="Normal"/>
              <w:rPr/>
            </w:pPr>
            <w:r>
              <w:rPr/>
              <w:t xml:space="preserve"> </w:t>
            </w:r>
          </w:p>
          <w:p>
            <w:pPr>
              <w:pStyle w:val="Normal"/>
              <w:rPr/>
            </w:pPr>
            <w:r>
              <w:rPr/>
              <w:t xml:space="preserve">                  </w:t>
            </w:r>
          </w:p>
          <w:p>
            <w:pPr>
              <w:pStyle w:val="Normal"/>
              <w:rPr/>
            </w:pPr>
            <w:r>
              <w:rPr/>
              <w:t xml:space="preserve">                         </w:t>
            </w:r>
            <w:r>
              <w:rPr/>
              <w:t>(2)</w:t>
            </w:r>
          </w:p>
          <w:p>
            <w:pPr>
              <w:pStyle w:val="Normal"/>
              <w:rPr/>
            </w:pPr>
            <w:r>
              <w:rPr/>
            </w:r>
          </w:p>
        </w:tc>
      </w:tr>
    </w:tbl>
    <w:p>
      <w:pPr>
        <w:pStyle w:val="Normal"/>
        <w:jc w:val="both"/>
        <w:rPr/>
      </w:pPr>
      <w:r>
        <w:rPr/>
        <w:tab/>
        <w:tab/>
      </w:r>
    </w:p>
    <w:p>
      <w:pPr>
        <w:pStyle w:val="Normal"/>
        <w:jc w:val="center"/>
        <w:rPr/>
      </w:pPr>
      <w:r>
        <w:rPr/>
      </w:r>
    </w:p>
    <w:p>
      <w:pPr>
        <w:pStyle w:val="Normal"/>
        <w:ind w:firstLine="270"/>
        <w:jc w:val="both"/>
        <w:rPr/>
      </w:pPr>
      <w:r>
        <w:rPr/>
        <w:t>Коэффициент суточной неравномерности водопотребления Ксут, учитывающий уклад жизни населения, режим работы предприятий, степень благоустройства зданий, изменения водопотребления по сезонам года и дням недели, надлежит принимать равным:</w:t>
      </w:r>
    </w:p>
    <w:p>
      <w:pPr>
        <w:pStyle w:val="Normal"/>
        <w:ind w:firstLine="270"/>
        <w:jc w:val="both"/>
        <w:rPr/>
      </w:pPr>
      <w:r>
        <w:rPr/>
      </w:r>
    </w:p>
    <w:p>
      <w:pPr>
        <w:pStyle w:val="Normal"/>
        <w:ind w:firstLine="270"/>
        <w:jc w:val="both"/>
        <w:rPr/>
      </w:pPr>
      <w:r>
        <w:rPr/>
        <w:tab/>
        <w:tab/>
        <w:t xml:space="preserve">     </w:t>
      </w:r>
    </w:p>
    <w:p>
      <w:pPr>
        <w:pStyle w:val="Normal"/>
        <w:ind w:firstLine="270"/>
        <w:jc w:val="both"/>
        <w:rPr/>
      </w:pPr>
      <w:r>
        <w:rPr/>
        <w:drawing>
          <wp:inline distT="0" distB="0" distL="0" distR="0">
            <wp:extent cx="2177415" cy="24193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2177415" cy="241935"/>
                    </a:xfrm>
                    <a:prstGeom prst="rect">
                      <a:avLst/>
                    </a:prstGeom>
                  </pic:spPr>
                </pic:pic>
              </a:graphicData>
            </a:graphic>
          </wp:inline>
        </w:drawing>
      </w:r>
      <w:r>
        <w:rPr/>
        <w:tab/>
        <w:tab/>
      </w:r>
    </w:p>
    <w:p>
      <w:pPr>
        <w:pStyle w:val="Normal"/>
        <w:ind w:firstLine="405"/>
        <w:jc w:val="both"/>
        <w:rPr/>
      </w:pPr>
      <w:r>
        <w:rPr/>
      </w:r>
    </w:p>
    <w:p>
      <w:pPr>
        <w:pStyle w:val="Normal"/>
        <w:ind w:firstLine="225"/>
        <w:jc w:val="both"/>
        <w:rPr/>
      </w:pPr>
      <w:r>
        <w:rPr/>
        <w:t xml:space="preserve">Расчетные часовые расходы воды q(ч), куб.м/ч, должны определяться по формулам:   </w:t>
      </w:r>
    </w:p>
    <w:p>
      <w:pPr>
        <w:pStyle w:val="Normal"/>
        <w:ind w:firstLine="225"/>
        <w:jc w:val="both"/>
        <w:rPr/>
      </w:pPr>
      <w:r>
        <w:rPr/>
      </w:r>
    </w:p>
    <w:p>
      <w:pPr>
        <w:pStyle w:val="Normal"/>
        <w:ind w:firstLine="225"/>
        <w:jc w:val="both"/>
        <w:rPr/>
      </w:pPr>
      <w:r>
        <w:rPr/>
      </w:r>
    </w:p>
    <w:p>
      <w:pPr>
        <w:pStyle w:val="Normal"/>
        <w:ind w:firstLine="90"/>
        <w:jc w:val="both"/>
        <w:rPr/>
      </w:pPr>
      <w:r>
        <w:rPr/>
        <w:drawing>
          <wp:inline distT="0" distB="0" distL="0" distR="0">
            <wp:extent cx="518160" cy="1365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518160" cy="136525"/>
                    </a:xfrm>
                    <a:prstGeom prst="rect">
                      <a:avLst/>
                    </a:prstGeom>
                  </pic:spPr>
                </pic:pic>
              </a:graphicData>
            </a:graphic>
          </wp:inline>
        </w:drawing>
      </w:r>
    </w:p>
    <w:p>
      <w:pPr>
        <w:pStyle w:val="Normal"/>
        <w:ind w:firstLine="270"/>
        <w:jc w:val="both"/>
        <w:rPr/>
      </w:pPr>
      <w:r>
        <w:rPr/>
      </w:r>
    </w:p>
    <w:p>
      <w:pPr>
        <w:pStyle w:val="Normal"/>
        <w:ind w:firstLine="270"/>
        <w:jc w:val="both"/>
        <w:rPr/>
      </w:pPr>
      <w:r>
        <w:rPr/>
        <w:t>Коэффициент часовой неравномерности водопотребления К(ч) следует определять из выражений:</w:t>
      </w:r>
    </w:p>
    <w:p>
      <w:pPr>
        <w:pStyle w:val="Normal"/>
        <w:ind w:firstLine="225"/>
        <w:jc w:val="both"/>
        <w:rPr/>
      </w:pPr>
      <w:r>
        <w:rPr/>
      </w:r>
    </w:p>
    <w:p>
      <w:pPr>
        <w:pStyle w:val="Normal"/>
        <w:ind w:firstLine="225"/>
        <w:jc w:val="both"/>
        <w:rPr/>
      </w:pPr>
      <w:r>
        <w:rPr/>
      </w:r>
    </w:p>
    <w:p>
      <w:pPr>
        <w:pStyle w:val="Normal"/>
        <w:ind w:firstLine="225"/>
        <w:jc w:val="both"/>
        <w:rPr/>
      </w:pPr>
      <w:r>
        <w:rPr/>
        <w:drawing>
          <wp:inline distT="0" distB="0" distL="0" distR="0">
            <wp:extent cx="485140" cy="17589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485140" cy="175895"/>
                    </a:xfrm>
                    <a:prstGeom prst="rect">
                      <a:avLst/>
                    </a:prstGeom>
                  </pic:spPr>
                </pic:pic>
              </a:graphicData>
            </a:graphic>
          </wp:inline>
        </w:drawing>
      </w:r>
    </w:p>
    <w:p>
      <w:pPr>
        <w:pStyle w:val="Normal"/>
        <w:ind w:firstLine="270"/>
        <w:jc w:val="both"/>
        <w:rPr/>
      </w:pPr>
      <w:r>
        <w:rPr/>
      </w:r>
    </w:p>
    <w:tbl>
      <w:tblPr>
        <w:tblW w:w="9120" w:type="dxa"/>
        <w:jc w:val="start"/>
        <w:tblInd w:w="15" w:type="dxa"/>
        <w:tblBorders/>
        <w:tblCellMar>
          <w:top w:w="0" w:type="dxa"/>
          <w:start w:w="15" w:type="dxa"/>
          <w:bottom w:w="0" w:type="dxa"/>
          <w:end w:w="15" w:type="dxa"/>
        </w:tblCellMar>
      </w:tblPr>
      <w:tblGrid>
        <w:gridCol w:w="375"/>
        <w:gridCol w:w="135"/>
        <w:gridCol w:w="345"/>
        <w:gridCol w:w="1470"/>
        <w:gridCol w:w="1155"/>
        <w:gridCol w:w="330"/>
        <w:gridCol w:w="5235"/>
        <w:gridCol w:w="15"/>
        <w:gridCol w:w="60"/>
      </w:tblGrid>
      <w:tr>
        <w:trPr/>
        <w:tc>
          <w:tcPr>
            <w:tcW w:w="510" w:type="dxa"/>
            <w:gridSpan w:val="2"/>
            <w:tcBorders/>
            <w:shd w:fill="auto" w:val="clear"/>
          </w:tcPr>
          <w:p>
            <w:pPr>
              <w:pStyle w:val="Normal"/>
              <w:rPr/>
            </w:pPr>
            <w:r>
              <w:rPr>
                <w:vanish/>
              </w:rPr>
              <w:t>#G0</w:t>
            </w:r>
            <w:r>
              <w:rPr/>
              <w:t xml:space="preserve">           где </w:t>
            </w:r>
          </w:p>
          <w:p>
            <w:pPr>
              <w:pStyle w:val="Normal"/>
              <w:rPr/>
            </w:pPr>
            <w:r>
              <w:rPr/>
            </w:r>
          </w:p>
        </w:tc>
        <w:tc>
          <w:tcPr>
            <w:tcW w:w="345" w:type="dxa"/>
            <w:tcBorders/>
            <w:shd w:fill="auto" w:val="clear"/>
          </w:tcPr>
          <w:p>
            <w:pPr>
              <w:pStyle w:val="Normal"/>
              <w:rPr/>
            </w:pPr>
            <w:r>
              <w:rPr/>
              <w:t xml:space="preserve">  </w:t>
            </w:r>
          </w:p>
          <w:p>
            <w:pPr>
              <w:pStyle w:val="Normal"/>
              <w:rPr/>
            </w:pPr>
            <w:r>
              <w:rPr/>
              <w:drawing>
                <wp:inline distT="0" distB="0" distL="0" distR="0">
                  <wp:extent cx="138430" cy="127000"/>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138430" cy="127000"/>
                          </a:xfrm>
                          <a:prstGeom prst="rect">
                            <a:avLst/>
                          </a:prstGeom>
                        </pic:spPr>
                      </pic:pic>
                    </a:graphicData>
                  </a:graphic>
                </wp:inline>
              </w:drawing>
            </w:r>
          </w:p>
        </w:tc>
        <w:tc>
          <w:tcPr>
            <w:tcW w:w="1470" w:type="dxa"/>
            <w:tcBorders/>
            <w:shd w:fill="auto" w:val="clear"/>
          </w:tcPr>
          <w:p>
            <w:pPr>
              <w:pStyle w:val="Normal"/>
              <w:snapToGrid w:val="false"/>
              <w:rPr/>
            </w:pPr>
            <w:r>
              <w:rPr/>
            </w:r>
          </w:p>
          <w:p>
            <w:pPr>
              <w:pStyle w:val="Normal"/>
              <w:rPr/>
            </w:pPr>
            <w:r>
              <w:rPr/>
              <w:t xml:space="preserve"> </w:t>
            </w:r>
            <w:r>
              <w:rPr/>
              <w:t xml:space="preserve">- коэффициент, </w:t>
            </w:r>
          </w:p>
          <w:p>
            <w:pPr>
              <w:pStyle w:val="Normal"/>
              <w:rPr/>
            </w:pPr>
            <w:r>
              <w:rPr/>
            </w:r>
          </w:p>
        </w:tc>
        <w:tc>
          <w:tcPr>
            <w:tcW w:w="6795" w:type="dxa"/>
            <w:gridSpan w:val="5"/>
            <w:tcBorders/>
            <w:shd w:fill="auto" w:val="clear"/>
          </w:tcPr>
          <w:p>
            <w:pPr>
              <w:pStyle w:val="Normal"/>
              <w:rPr/>
            </w:pPr>
            <w:r>
              <w:rPr/>
              <w:t xml:space="preserve">  </w:t>
            </w:r>
          </w:p>
          <w:p>
            <w:pPr>
              <w:pStyle w:val="Normal"/>
              <w:ind w:firstLine="45"/>
              <w:jc w:val="both"/>
              <w:rPr/>
            </w:pPr>
            <w:r>
              <w:rPr/>
              <w:t xml:space="preserve">учитывающий степень благоустройства зданий, режим работы предприятий </w:t>
            </w:r>
          </w:p>
          <w:p>
            <w:pPr>
              <w:pStyle w:val="Normal"/>
              <w:ind w:firstLine="45"/>
              <w:jc w:val="both"/>
              <w:rPr/>
            </w:pPr>
            <w:r>
              <w:rPr/>
            </w:r>
          </w:p>
        </w:tc>
      </w:tr>
      <w:tr>
        <w:trPr/>
        <w:tc>
          <w:tcPr>
            <w:tcW w:w="3810" w:type="dxa"/>
            <w:gridSpan w:val="6"/>
            <w:tcBorders/>
            <w:shd w:fill="auto" w:val="clear"/>
          </w:tcPr>
          <w:p>
            <w:pPr>
              <w:pStyle w:val="Normal"/>
              <w:rPr/>
            </w:pPr>
            <w:r>
              <w:rPr/>
              <w:t xml:space="preserve"> </w:t>
            </w:r>
            <w:r>
              <w:rPr/>
              <w:t xml:space="preserve">и другие местные условия, принимаемый </w:t>
            </w:r>
          </w:p>
          <w:p>
            <w:pPr>
              <w:pStyle w:val="Normal"/>
              <w:rPr/>
            </w:pPr>
            <w:r>
              <w:rPr/>
            </w:r>
          </w:p>
        </w:tc>
        <w:tc>
          <w:tcPr>
            <w:tcW w:w="5250" w:type="dxa"/>
            <w:gridSpan w:val="2"/>
            <w:tcBorders/>
            <w:shd w:fill="auto" w:val="clear"/>
          </w:tcPr>
          <w:p>
            <w:pPr>
              <w:pStyle w:val="Normal"/>
              <w:rPr/>
            </w:pPr>
            <w:r>
              <w:rPr/>
              <w:drawing>
                <wp:inline distT="0" distB="0" distL="0" distR="0">
                  <wp:extent cx="1785620" cy="184150"/>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1785620" cy="184150"/>
                          </a:xfrm>
                          <a:prstGeom prst="rect">
                            <a:avLst/>
                          </a:prstGeom>
                        </pic:spPr>
                      </pic:pic>
                    </a:graphicData>
                  </a:graphic>
                </wp:inline>
              </w:drawing>
            </w:r>
            <w:r>
              <w:rPr/>
              <w:t xml:space="preserve">  </w:t>
            </w:r>
          </w:p>
          <w:p>
            <w:pPr>
              <w:pStyle w:val="Normal"/>
              <w:rPr/>
            </w:pPr>
            <w:r>
              <w:rPr/>
            </w:r>
          </w:p>
        </w:tc>
        <w:tc>
          <w:tcPr>
            <w:tcW w:w="60" w:type="dxa"/>
            <w:tcBorders/>
            <w:shd w:fill="auto" w:val="clear"/>
            <w:tcMar>
              <w:start w:w="0" w:type="dxa"/>
              <w:end w:w="0" w:type="dxa"/>
            </w:tcMar>
          </w:tcPr>
          <w:p>
            <w:pPr>
              <w:pStyle w:val="Normal"/>
              <w:snapToGrid w:val="false"/>
              <w:rPr/>
            </w:pPr>
            <w:r>
              <w:rPr/>
            </w:r>
          </w:p>
        </w:tc>
      </w:tr>
      <w:tr>
        <w:trPr/>
        <w:tc>
          <w:tcPr>
            <w:tcW w:w="375" w:type="dxa"/>
            <w:tcBorders/>
            <w:shd w:fill="auto" w:val="clear"/>
          </w:tcPr>
          <w:p>
            <w:pPr>
              <w:pStyle w:val="Normal"/>
              <w:rPr/>
            </w:pPr>
            <w:r>
              <w:rPr/>
              <w:t xml:space="preserve">  </w:t>
            </w:r>
          </w:p>
          <w:p>
            <w:pPr>
              <w:pStyle w:val="Normal"/>
              <w:rPr/>
            </w:pPr>
            <w:r>
              <w:rPr/>
            </w:r>
          </w:p>
        </w:tc>
        <w:tc>
          <w:tcPr>
            <w:tcW w:w="480" w:type="dxa"/>
            <w:gridSpan w:val="2"/>
            <w:tcBorders/>
            <w:shd w:fill="auto" w:val="clear"/>
          </w:tcPr>
          <w:p>
            <w:pPr>
              <w:pStyle w:val="Normal"/>
              <w:rPr/>
            </w:pPr>
            <w:r>
              <w:rPr/>
              <w:drawing>
                <wp:inline distT="0" distB="0" distL="0" distR="0">
                  <wp:extent cx="241935" cy="184150"/>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241935" cy="184150"/>
                          </a:xfrm>
                          <a:prstGeom prst="rect">
                            <a:avLst/>
                          </a:prstGeom>
                        </pic:spPr>
                      </pic:pic>
                    </a:graphicData>
                  </a:graphic>
                </wp:inline>
              </w:drawing>
            </w:r>
            <w:r>
              <w:rPr/>
              <w:t xml:space="preserve">  </w:t>
            </w:r>
          </w:p>
          <w:p>
            <w:pPr>
              <w:pStyle w:val="Normal"/>
              <w:rPr/>
            </w:pPr>
            <w:r>
              <w:rPr/>
            </w:r>
          </w:p>
        </w:tc>
        <w:tc>
          <w:tcPr>
            <w:tcW w:w="2625" w:type="dxa"/>
            <w:gridSpan w:val="2"/>
            <w:tcBorders/>
            <w:shd w:fill="auto" w:val="clear"/>
          </w:tcPr>
          <w:p>
            <w:pPr>
              <w:pStyle w:val="Normal"/>
              <w:rPr/>
            </w:pPr>
            <w:r>
              <w:rPr/>
              <w:t xml:space="preserve"> </w:t>
            </w:r>
            <w:r>
              <w:rPr/>
              <w:t xml:space="preserve">коэффициент, учитывающий </w:t>
            </w:r>
          </w:p>
          <w:p>
            <w:pPr>
              <w:pStyle w:val="Normal"/>
              <w:rPr/>
            </w:pPr>
            <w:r>
              <w:rPr/>
            </w:r>
          </w:p>
        </w:tc>
        <w:tc>
          <w:tcPr>
            <w:tcW w:w="5565" w:type="dxa"/>
            <w:gridSpan w:val="2"/>
            <w:tcBorders/>
            <w:shd w:fill="auto" w:val="clear"/>
          </w:tcPr>
          <w:p>
            <w:pPr>
              <w:pStyle w:val="Normal"/>
              <w:rPr/>
            </w:pPr>
            <w:r>
              <w:rPr/>
              <w:t>число жителей в населенном пункте, принимаемый по табл. 2.</w:t>
            </w:r>
          </w:p>
          <w:p>
            <w:pPr>
              <w:pStyle w:val="Normal"/>
              <w:rPr/>
            </w:pPr>
            <w:r>
              <w:rPr/>
            </w:r>
          </w:p>
        </w:tc>
        <w:tc>
          <w:tcPr>
            <w:tcW w:w="75" w:type="dxa"/>
            <w:gridSpan w:val="2"/>
            <w:tcBorders/>
            <w:shd w:fill="auto" w:val="clear"/>
            <w:tcMar>
              <w:start w:w="0" w:type="dxa"/>
              <w:end w:w="0" w:type="dxa"/>
            </w:tcMar>
          </w:tcPr>
          <w:p>
            <w:pPr>
              <w:pStyle w:val="Normal"/>
              <w:snapToGrid w:val="false"/>
              <w:rPr/>
            </w:pPr>
            <w:r>
              <w:rPr/>
            </w:r>
          </w:p>
        </w:tc>
      </w:tr>
    </w:tbl>
    <w:p>
      <w:pPr>
        <w:pStyle w:val="Normal"/>
        <w:ind w:firstLine="225"/>
        <w:jc w:val="both"/>
        <w:rPr/>
      </w:pPr>
      <w:r>
        <w:rPr/>
        <w:t>2.3. Расходы воды на поливку в населенных пунктах и на территориях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 3.</w:t>
      </w:r>
    </w:p>
    <w:p>
      <w:pPr>
        <w:pStyle w:val="Normal"/>
        <w:ind w:firstLine="270"/>
        <w:jc w:val="both"/>
        <w:rPr/>
      </w:pPr>
      <w:r>
        <w:rPr/>
      </w:r>
    </w:p>
    <w:p>
      <w:pPr>
        <w:pStyle w:val="Normal"/>
        <w:ind w:firstLine="225"/>
        <w:jc w:val="both"/>
        <w:rPr/>
      </w:pPr>
      <w:r>
        <w:rPr/>
        <w:t xml:space="preserve">2.4. Расходы воды на хозяйственно-питьевые нужды и пользование душами на промышленных предприятиях должны определяться в соответствии с требованиями </w:t>
      </w:r>
      <w:r>
        <w:rPr>
          <w:vanish/>
        </w:rPr>
        <w:t>#M12293 0 5200243 3704477087 78 23944 2465715557 2685059051 3363248087 4294967268 584910322</w:t>
      </w:r>
      <w:r>
        <w:rPr/>
        <w:t>СНиП 2.04.01-85</w:t>
      </w:r>
      <w:r>
        <w:rPr>
          <w:vanish/>
        </w:rPr>
        <w:t>#S</w:t>
      </w:r>
      <w:r>
        <w:rPr/>
        <w:t xml:space="preserve"> и СНиП </w:t>
      </w:r>
      <w:r>
        <w:rPr>
          <w:vanish/>
        </w:rPr>
        <w:t>#M12293 1 5200092 3704477087 78 23949 2496674701 2685059051 3363248087 4294967268 584910322</w:t>
      </w:r>
      <w:r>
        <w:rPr/>
        <w:t>2.09.02-85</w:t>
      </w:r>
      <w:r>
        <w:rPr>
          <w:vanish/>
        </w:rPr>
        <w:t>#S</w:t>
      </w:r>
      <w:r>
        <w:rPr/>
        <w:t>.</w:t>
      </w:r>
    </w:p>
    <w:p>
      <w:pPr>
        <w:pStyle w:val="Normal"/>
        <w:ind w:firstLine="270"/>
        <w:jc w:val="both"/>
        <w:rPr/>
      </w:pPr>
      <w:r>
        <w:rPr/>
      </w:r>
    </w:p>
    <w:p>
      <w:pPr>
        <w:pStyle w:val="Normal"/>
        <w:ind w:firstLine="315"/>
        <w:jc w:val="both"/>
        <w:rPr/>
      </w:pPr>
      <w:r>
        <w:rPr/>
        <w:t>При этом коэффициент часовой неравномерности водопотребления на хозяйственно-питьевые нужды на промышленных предприятиях следует принимать:</w:t>
      </w:r>
    </w:p>
    <w:p>
      <w:pPr>
        <w:pStyle w:val="Normal"/>
        <w:ind w:firstLine="225"/>
        <w:jc w:val="both"/>
        <w:rPr/>
      </w:pPr>
      <w:r>
        <w:rPr/>
      </w:r>
    </w:p>
    <w:p>
      <w:pPr>
        <w:pStyle w:val="Normal"/>
        <w:ind w:firstLine="270"/>
        <w:jc w:val="both"/>
        <w:rPr/>
      </w:pPr>
      <w:r>
        <w:rPr/>
        <w:t xml:space="preserve">2,5 -  для цехов с тепловыделением более 80 кДж (20 ккал) на 1 куб.м/ч; </w:t>
      </w:r>
    </w:p>
    <w:p>
      <w:pPr>
        <w:pStyle w:val="Normal"/>
        <w:ind w:firstLine="225"/>
        <w:jc w:val="both"/>
        <w:rPr/>
      </w:pPr>
      <w:r>
        <w:rPr/>
      </w:r>
    </w:p>
    <w:p>
      <w:pPr>
        <w:pStyle w:val="Normal"/>
        <w:ind w:firstLine="270"/>
        <w:jc w:val="both"/>
        <w:rPr/>
      </w:pPr>
      <w:r>
        <w:rPr/>
        <w:t xml:space="preserve">3 -  для остальных цехов.    </w:t>
      </w:r>
    </w:p>
    <w:p>
      <w:pPr>
        <w:pStyle w:val="Normal"/>
        <w:ind w:firstLine="180"/>
        <w:jc w:val="both"/>
        <w:rPr/>
      </w:pPr>
      <w:r>
        <w:rPr/>
      </w:r>
    </w:p>
    <w:p>
      <w:pPr>
        <w:pStyle w:val="Normal"/>
        <w:ind w:firstLine="180"/>
        <w:jc w:val="both"/>
        <w:rPr/>
      </w:pPr>
      <w:r>
        <w:rPr/>
      </w:r>
    </w:p>
    <w:p>
      <w:pPr>
        <w:pStyle w:val="Normal"/>
        <w:ind w:firstLine="225"/>
        <w:jc w:val="both"/>
        <w:rPr/>
      </w:pPr>
      <w:r>
        <w:rPr/>
      </w:r>
    </w:p>
    <w:p>
      <w:pPr>
        <w:pStyle w:val="Normal"/>
        <w:jc w:val="end"/>
        <w:rPr/>
      </w:pPr>
      <w:r>
        <w:rPr/>
        <w:t xml:space="preserve">     </w:t>
      </w:r>
      <w:r>
        <w:rPr/>
        <w:t>Таблица 2</w:t>
      </w:r>
    </w:p>
    <w:p>
      <w:pPr>
        <w:pStyle w:val="Normal"/>
        <w:jc w:val="end"/>
        <w:rPr/>
      </w:pPr>
      <w:r>
        <w:rPr/>
      </w:r>
    </w:p>
    <w:p>
      <w:pPr>
        <w:pStyle w:val="Normal"/>
        <w:jc w:val="end"/>
        <w:rPr/>
      </w:pPr>
      <w:r>
        <w:rPr/>
      </w:r>
    </w:p>
    <w:tbl>
      <w:tblPr>
        <w:tblW w:w="8585"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870"/>
        <w:gridCol w:w="645"/>
        <w:gridCol w:w="465"/>
        <w:gridCol w:w="450"/>
        <w:gridCol w:w="450"/>
        <w:gridCol w:w="450"/>
        <w:gridCol w:w="450"/>
        <w:gridCol w:w="390"/>
        <w:gridCol w:w="390"/>
        <w:gridCol w:w="345"/>
        <w:gridCol w:w="375"/>
        <w:gridCol w:w="450"/>
        <w:gridCol w:w="375"/>
        <w:gridCol w:w="360"/>
        <w:gridCol w:w="450"/>
        <w:gridCol w:w="405"/>
        <w:gridCol w:w="480"/>
        <w:gridCol w:w="785"/>
      </w:tblGrid>
      <w:tr>
        <w:trPr/>
        <w:tc>
          <w:tcPr>
            <w:tcW w:w="870" w:type="dxa"/>
            <w:tcBorders>
              <w:top w:val="single" w:sz="2" w:space="0" w:color="000000"/>
              <w:start w:val="single" w:sz="2" w:space="0" w:color="000000"/>
            </w:tcBorders>
            <w:shd w:fill="auto" w:val="clear"/>
            <w:tcMar>
              <w:start w:w="42" w:type="dxa"/>
            </w:tcMar>
          </w:tcPr>
          <w:p>
            <w:pPr>
              <w:pStyle w:val="Normal"/>
              <w:jc w:val="center"/>
              <w:rPr/>
            </w:pPr>
            <w:r>
              <w:rPr>
                <w:vanish/>
              </w:rPr>
              <w:t>#G0</w:t>
            </w:r>
            <w:r>
              <w:rPr/>
              <w:t>Коэффи-</w:t>
            </w:r>
          </w:p>
          <w:p>
            <w:pPr>
              <w:pStyle w:val="Normal"/>
              <w:jc w:val="center"/>
              <w:rPr/>
            </w:pPr>
            <w:r>
              <w:rPr/>
            </w:r>
          </w:p>
        </w:tc>
        <w:tc>
          <w:tcPr>
            <w:tcW w:w="7715" w:type="dxa"/>
            <w:gridSpan w:val="17"/>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Число жителей, тыс. чел.</w:t>
            </w:r>
          </w:p>
          <w:p>
            <w:pPr>
              <w:pStyle w:val="Normal"/>
              <w:rPr/>
            </w:pPr>
            <w:r>
              <w:rPr/>
            </w:r>
          </w:p>
        </w:tc>
      </w:tr>
      <w:tr>
        <w:trPr/>
        <w:tc>
          <w:tcPr>
            <w:tcW w:w="87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циент </w:t>
            </w:r>
          </w:p>
          <w:p>
            <w:pPr>
              <w:pStyle w:val="Normal"/>
              <w:rPr/>
            </w:pPr>
            <w:r>
              <w:rPr/>
            </w:r>
          </w:p>
        </w:tc>
        <w:tc>
          <w:tcPr>
            <w:tcW w:w="64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до 0,1 </w:t>
            </w:r>
          </w:p>
          <w:p>
            <w:pPr>
              <w:pStyle w:val="Normal"/>
              <w:rPr/>
            </w:pPr>
            <w:r>
              <w:rPr/>
            </w:r>
          </w:p>
        </w:tc>
        <w:tc>
          <w:tcPr>
            <w:tcW w:w="46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0,15 </w:t>
            </w:r>
          </w:p>
          <w:p>
            <w:pPr>
              <w:pStyle w:val="Normal"/>
              <w:rPr/>
            </w:pPr>
            <w:r>
              <w:rPr/>
            </w:r>
          </w:p>
        </w:tc>
        <w:tc>
          <w:tcPr>
            <w:tcW w:w="45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0,2 </w:t>
            </w:r>
          </w:p>
          <w:p>
            <w:pPr>
              <w:pStyle w:val="Normal"/>
              <w:rPr/>
            </w:pPr>
            <w:r>
              <w:rPr/>
            </w:r>
          </w:p>
        </w:tc>
        <w:tc>
          <w:tcPr>
            <w:tcW w:w="45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0,3 </w:t>
            </w:r>
          </w:p>
          <w:p>
            <w:pPr>
              <w:pStyle w:val="Normal"/>
              <w:rPr/>
            </w:pPr>
            <w:r>
              <w:rPr/>
            </w:r>
          </w:p>
        </w:tc>
        <w:tc>
          <w:tcPr>
            <w:tcW w:w="45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0,5 </w:t>
            </w:r>
          </w:p>
          <w:p>
            <w:pPr>
              <w:pStyle w:val="Normal"/>
              <w:rPr/>
            </w:pPr>
            <w:r>
              <w:rPr/>
            </w:r>
          </w:p>
        </w:tc>
        <w:tc>
          <w:tcPr>
            <w:tcW w:w="45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0,75 </w:t>
            </w:r>
          </w:p>
          <w:p>
            <w:pPr>
              <w:pStyle w:val="Normal"/>
              <w:rPr/>
            </w:pPr>
            <w:r>
              <w:rPr/>
            </w:r>
          </w:p>
        </w:tc>
        <w:tc>
          <w:tcPr>
            <w:tcW w:w="39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1 </w:t>
            </w:r>
          </w:p>
          <w:p>
            <w:pPr>
              <w:pStyle w:val="Normal"/>
              <w:rPr/>
            </w:pPr>
            <w:r>
              <w:rPr/>
            </w:r>
          </w:p>
        </w:tc>
        <w:tc>
          <w:tcPr>
            <w:tcW w:w="39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1,5 </w:t>
            </w:r>
          </w:p>
          <w:p>
            <w:pPr>
              <w:pStyle w:val="Normal"/>
              <w:rPr/>
            </w:pPr>
            <w:r>
              <w:rPr/>
            </w:r>
          </w:p>
        </w:tc>
        <w:tc>
          <w:tcPr>
            <w:tcW w:w="34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2,5 </w:t>
            </w:r>
          </w:p>
          <w:p>
            <w:pPr>
              <w:pStyle w:val="Normal"/>
              <w:rPr/>
            </w:pPr>
            <w:r>
              <w:rPr/>
            </w:r>
          </w:p>
        </w:tc>
        <w:tc>
          <w:tcPr>
            <w:tcW w:w="3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4 </w:t>
            </w:r>
          </w:p>
          <w:p>
            <w:pPr>
              <w:pStyle w:val="Normal"/>
              <w:rPr/>
            </w:pPr>
            <w:r>
              <w:rPr/>
            </w:r>
          </w:p>
        </w:tc>
        <w:tc>
          <w:tcPr>
            <w:tcW w:w="45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6 </w:t>
            </w:r>
          </w:p>
          <w:p>
            <w:pPr>
              <w:pStyle w:val="Normal"/>
              <w:rPr/>
            </w:pPr>
            <w:r>
              <w:rPr/>
            </w:r>
          </w:p>
        </w:tc>
        <w:tc>
          <w:tcPr>
            <w:tcW w:w="3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10 </w:t>
            </w:r>
          </w:p>
          <w:p>
            <w:pPr>
              <w:pStyle w:val="Normal"/>
              <w:rPr/>
            </w:pPr>
            <w:r>
              <w:rPr/>
            </w:r>
          </w:p>
        </w:tc>
        <w:tc>
          <w:tcPr>
            <w:tcW w:w="36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20 </w:t>
            </w:r>
          </w:p>
          <w:p>
            <w:pPr>
              <w:pStyle w:val="Normal"/>
              <w:rPr/>
            </w:pPr>
            <w:r>
              <w:rPr/>
            </w:r>
          </w:p>
        </w:tc>
        <w:tc>
          <w:tcPr>
            <w:tcW w:w="45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50 </w:t>
            </w:r>
          </w:p>
          <w:p>
            <w:pPr>
              <w:pStyle w:val="Normal"/>
              <w:rPr/>
            </w:pPr>
            <w:r>
              <w:rPr/>
            </w:r>
          </w:p>
        </w:tc>
        <w:tc>
          <w:tcPr>
            <w:tcW w:w="40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100 </w:t>
            </w:r>
          </w:p>
          <w:p>
            <w:pPr>
              <w:pStyle w:val="Normal"/>
              <w:rPr/>
            </w:pPr>
            <w:r>
              <w:rPr/>
            </w:r>
          </w:p>
        </w:tc>
        <w:tc>
          <w:tcPr>
            <w:tcW w:w="48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300 </w:t>
            </w:r>
          </w:p>
          <w:p>
            <w:pPr>
              <w:pStyle w:val="Normal"/>
              <w:rPr/>
            </w:pPr>
            <w:r>
              <w:rPr/>
            </w:r>
          </w:p>
        </w:tc>
        <w:tc>
          <w:tcPr>
            <w:tcW w:w="78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1000 и более </w:t>
            </w:r>
          </w:p>
          <w:p>
            <w:pPr>
              <w:pStyle w:val="Normal"/>
              <w:rPr/>
            </w:pPr>
            <w:r>
              <w:rPr/>
            </w:r>
          </w:p>
        </w:tc>
      </w:tr>
      <w:tr>
        <w:trPr/>
        <w:tc>
          <w:tcPr>
            <w:tcW w:w="870" w:type="dxa"/>
            <w:tcBorders>
              <w:start w:val="single" w:sz="2" w:space="0" w:color="000000"/>
            </w:tcBorders>
            <w:shd w:fill="auto" w:val="clear"/>
            <w:tcMar>
              <w:start w:w="42" w:type="dxa"/>
            </w:tcMar>
          </w:tcPr>
          <w:p>
            <w:pPr>
              <w:pStyle w:val="Normal"/>
              <w:rPr/>
            </w:pPr>
            <w:r>
              <w:rPr/>
              <w:t xml:space="preserve"> </w:t>
            </w:r>
          </w:p>
          <w:p>
            <w:pPr>
              <w:pStyle w:val="Normal"/>
              <w:rPr/>
            </w:pPr>
            <w:r>
              <w:rPr/>
              <w:drawing>
                <wp:inline distT="0" distB="0" distL="0" distR="0">
                  <wp:extent cx="253365" cy="184150"/>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253365" cy="184150"/>
                          </a:xfrm>
                          <a:prstGeom prst="rect">
                            <a:avLst/>
                          </a:prstGeom>
                        </pic:spPr>
                      </pic:pic>
                    </a:graphicData>
                  </a:graphic>
                </wp:inline>
              </w:drawing>
            </w:r>
            <w:r>
              <w:rPr/>
              <w:t xml:space="preserve">     </w:t>
            </w:r>
          </w:p>
          <w:p>
            <w:pPr>
              <w:pStyle w:val="Normal"/>
              <w:rPr/>
            </w:pPr>
            <w:r>
              <w:rPr/>
            </w:r>
          </w:p>
        </w:tc>
        <w:tc>
          <w:tcPr>
            <w:tcW w:w="645" w:type="dxa"/>
            <w:tcBorders>
              <w:start w:val="single" w:sz="2" w:space="0" w:color="000000"/>
            </w:tcBorders>
            <w:shd w:fill="auto" w:val="clear"/>
            <w:tcMar>
              <w:start w:w="42" w:type="dxa"/>
            </w:tcMar>
          </w:tcPr>
          <w:p>
            <w:pPr>
              <w:pStyle w:val="Normal"/>
              <w:snapToGrid w:val="false"/>
              <w:jc w:val="center"/>
              <w:rPr/>
            </w:pPr>
            <w:r>
              <w:rPr/>
            </w:r>
          </w:p>
          <w:p>
            <w:pPr>
              <w:pStyle w:val="Normal"/>
              <w:jc w:val="center"/>
              <w:rPr/>
            </w:pPr>
            <w:r>
              <w:rPr/>
              <w:t xml:space="preserve">4,5 </w:t>
            </w:r>
          </w:p>
          <w:p>
            <w:pPr>
              <w:pStyle w:val="Normal"/>
              <w:jc w:val="center"/>
              <w:rPr/>
            </w:pPr>
            <w:r>
              <w:rPr/>
            </w:r>
          </w:p>
        </w:tc>
        <w:tc>
          <w:tcPr>
            <w:tcW w:w="465" w:type="dxa"/>
            <w:tcBorders>
              <w:start w:val="single" w:sz="2" w:space="0" w:color="000000"/>
            </w:tcBorders>
            <w:shd w:fill="auto" w:val="clear"/>
            <w:tcMar>
              <w:start w:w="42" w:type="dxa"/>
            </w:tcMar>
          </w:tcPr>
          <w:p>
            <w:pPr>
              <w:pStyle w:val="Normal"/>
              <w:snapToGrid w:val="false"/>
              <w:rPr/>
            </w:pPr>
            <w:r>
              <w:rPr/>
            </w:r>
          </w:p>
          <w:p>
            <w:pPr>
              <w:pStyle w:val="Normal"/>
              <w:rPr/>
            </w:pPr>
            <w:r>
              <w:rPr/>
              <w:t xml:space="preserve">4 </w:t>
            </w:r>
          </w:p>
          <w:p>
            <w:pPr>
              <w:pStyle w:val="Normal"/>
              <w:rPr/>
            </w:pPr>
            <w:r>
              <w:rPr/>
            </w:r>
          </w:p>
        </w:tc>
        <w:tc>
          <w:tcPr>
            <w:tcW w:w="45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3,5 </w:t>
            </w:r>
          </w:p>
          <w:p>
            <w:pPr>
              <w:pStyle w:val="Normal"/>
              <w:rPr/>
            </w:pPr>
            <w:r>
              <w:rPr/>
            </w:r>
          </w:p>
        </w:tc>
        <w:tc>
          <w:tcPr>
            <w:tcW w:w="45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3 </w:t>
            </w:r>
          </w:p>
          <w:p>
            <w:pPr>
              <w:pStyle w:val="Normal"/>
              <w:rPr/>
            </w:pPr>
            <w:r>
              <w:rPr/>
            </w:r>
          </w:p>
        </w:tc>
        <w:tc>
          <w:tcPr>
            <w:tcW w:w="45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2,5 </w:t>
            </w:r>
          </w:p>
          <w:p>
            <w:pPr>
              <w:pStyle w:val="Normal"/>
              <w:rPr/>
            </w:pPr>
            <w:r>
              <w:rPr/>
            </w:r>
          </w:p>
        </w:tc>
        <w:tc>
          <w:tcPr>
            <w:tcW w:w="45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2,2 </w:t>
            </w:r>
          </w:p>
          <w:p>
            <w:pPr>
              <w:pStyle w:val="Normal"/>
              <w:rPr/>
            </w:pPr>
            <w:r>
              <w:rPr/>
            </w:r>
          </w:p>
        </w:tc>
        <w:tc>
          <w:tcPr>
            <w:tcW w:w="39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2 </w:t>
            </w:r>
          </w:p>
          <w:p>
            <w:pPr>
              <w:pStyle w:val="Normal"/>
              <w:rPr/>
            </w:pPr>
            <w:r>
              <w:rPr/>
            </w:r>
          </w:p>
        </w:tc>
        <w:tc>
          <w:tcPr>
            <w:tcW w:w="39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1,8 </w:t>
            </w:r>
          </w:p>
          <w:p>
            <w:pPr>
              <w:pStyle w:val="Normal"/>
              <w:rPr/>
            </w:pPr>
            <w:r>
              <w:rPr/>
            </w:r>
          </w:p>
        </w:tc>
        <w:tc>
          <w:tcPr>
            <w:tcW w:w="345" w:type="dxa"/>
            <w:tcBorders>
              <w:start w:val="single" w:sz="2" w:space="0" w:color="000000"/>
            </w:tcBorders>
            <w:shd w:fill="auto" w:val="clear"/>
            <w:tcMar>
              <w:start w:w="42" w:type="dxa"/>
            </w:tcMar>
          </w:tcPr>
          <w:p>
            <w:pPr>
              <w:pStyle w:val="Normal"/>
              <w:snapToGrid w:val="false"/>
              <w:rPr/>
            </w:pPr>
            <w:r>
              <w:rPr/>
            </w:r>
          </w:p>
          <w:p>
            <w:pPr>
              <w:pStyle w:val="Normal"/>
              <w:rPr/>
            </w:pPr>
            <w:r>
              <w:rPr/>
              <w:t xml:space="preserve">1,6 </w:t>
            </w:r>
          </w:p>
          <w:p>
            <w:pPr>
              <w:pStyle w:val="Normal"/>
              <w:rPr/>
            </w:pPr>
            <w:r>
              <w:rPr/>
            </w:r>
          </w:p>
        </w:tc>
        <w:tc>
          <w:tcPr>
            <w:tcW w:w="375" w:type="dxa"/>
            <w:tcBorders>
              <w:start w:val="single" w:sz="2" w:space="0" w:color="000000"/>
            </w:tcBorders>
            <w:shd w:fill="auto" w:val="clear"/>
            <w:tcMar>
              <w:start w:w="42" w:type="dxa"/>
            </w:tcMar>
          </w:tcPr>
          <w:p>
            <w:pPr>
              <w:pStyle w:val="Normal"/>
              <w:snapToGrid w:val="false"/>
              <w:rPr/>
            </w:pPr>
            <w:r>
              <w:rPr/>
            </w:r>
          </w:p>
          <w:p>
            <w:pPr>
              <w:pStyle w:val="Normal"/>
              <w:rPr/>
            </w:pPr>
            <w:r>
              <w:rPr/>
              <w:t xml:space="preserve">1,5 </w:t>
            </w:r>
          </w:p>
          <w:p>
            <w:pPr>
              <w:pStyle w:val="Normal"/>
              <w:rPr/>
            </w:pPr>
            <w:r>
              <w:rPr/>
            </w:r>
          </w:p>
        </w:tc>
        <w:tc>
          <w:tcPr>
            <w:tcW w:w="45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1,4 </w:t>
            </w:r>
          </w:p>
          <w:p>
            <w:pPr>
              <w:pStyle w:val="Normal"/>
              <w:rPr/>
            </w:pPr>
            <w:r>
              <w:rPr/>
            </w:r>
          </w:p>
        </w:tc>
        <w:tc>
          <w:tcPr>
            <w:tcW w:w="375" w:type="dxa"/>
            <w:tcBorders>
              <w:start w:val="single" w:sz="2" w:space="0" w:color="000000"/>
            </w:tcBorders>
            <w:shd w:fill="auto" w:val="clear"/>
            <w:tcMar>
              <w:start w:w="42" w:type="dxa"/>
            </w:tcMar>
          </w:tcPr>
          <w:p>
            <w:pPr>
              <w:pStyle w:val="Normal"/>
              <w:snapToGrid w:val="false"/>
              <w:rPr/>
            </w:pPr>
            <w:r>
              <w:rPr/>
            </w:r>
          </w:p>
          <w:p>
            <w:pPr>
              <w:pStyle w:val="Normal"/>
              <w:rPr/>
            </w:pPr>
            <w:r>
              <w:rPr/>
              <w:t xml:space="preserve">1,3 </w:t>
            </w:r>
          </w:p>
          <w:p>
            <w:pPr>
              <w:pStyle w:val="Normal"/>
              <w:rPr/>
            </w:pPr>
            <w:r>
              <w:rPr/>
            </w:r>
          </w:p>
        </w:tc>
        <w:tc>
          <w:tcPr>
            <w:tcW w:w="36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1,2 </w:t>
            </w:r>
          </w:p>
          <w:p>
            <w:pPr>
              <w:pStyle w:val="Normal"/>
              <w:rPr/>
            </w:pPr>
            <w:r>
              <w:rPr/>
            </w:r>
          </w:p>
        </w:tc>
        <w:tc>
          <w:tcPr>
            <w:tcW w:w="45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1,15 </w:t>
            </w:r>
          </w:p>
          <w:p>
            <w:pPr>
              <w:pStyle w:val="Normal"/>
              <w:rPr/>
            </w:pPr>
            <w:r>
              <w:rPr/>
            </w:r>
          </w:p>
        </w:tc>
        <w:tc>
          <w:tcPr>
            <w:tcW w:w="405" w:type="dxa"/>
            <w:tcBorders>
              <w:start w:val="single" w:sz="2" w:space="0" w:color="000000"/>
            </w:tcBorders>
            <w:shd w:fill="auto" w:val="clear"/>
            <w:tcMar>
              <w:start w:w="42" w:type="dxa"/>
            </w:tcMar>
          </w:tcPr>
          <w:p>
            <w:pPr>
              <w:pStyle w:val="Normal"/>
              <w:snapToGrid w:val="false"/>
              <w:rPr/>
            </w:pPr>
            <w:r>
              <w:rPr/>
            </w:r>
          </w:p>
          <w:p>
            <w:pPr>
              <w:pStyle w:val="Normal"/>
              <w:rPr/>
            </w:pPr>
            <w:r>
              <w:rPr/>
              <w:t xml:space="preserve">1,1 </w:t>
            </w:r>
          </w:p>
          <w:p>
            <w:pPr>
              <w:pStyle w:val="Normal"/>
              <w:rPr/>
            </w:pPr>
            <w:r>
              <w:rPr/>
            </w:r>
          </w:p>
        </w:tc>
        <w:tc>
          <w:tcPr>
            <w:tcW w:w="48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1,05 </w:t>
            </w:r>
          </w:p>
          <w:p>
            <w:pPr>
              <w:pStyle w:val="Normal"/>
              <w:rPr/>
            </w:pPr>
            <w:r>
              <w:rPr/>
            </w:r>
          </w:p>
        </w:tc>
        <w:tc>
          <w:tcPr>
            <w:tcW w:w="785" w:type="dxa"/>
            <w:tcBorders>
              <w:start w:val="single" w:sz="2" w:space="0" w:color="000000"/>
              <w:end w:val="single" w:sz="2" w:space="0" w:color="000000"/>
              <w:insideV w:val="single" w:sz="2" w:space="0" w:color="000000"/>
            </w:tcBorders>
            <w:shd w:fill="auto" w:val="clear"/>
            <w:tcMar>
              <w:start w:w="42" w:type="dxa"/>
            </w:tcMar>
          </w:tcPr>
          <w:p>
            <w:pPr>
              <w:pStyle w:val="Normal"/>
              <w:snapToGrid w:val="false"/>
              <w:rPr/>
            </w:pPr>
            <w:r>
              <w:rPr/>
            </w:r>
          </w:p>
          <w:p>
            <w:pPr>
              <w:pStyle w:val="Normal"/>
              <w:rPr/>
            </w:pPr>
            <w:r>
              <w:rPr/>
              <w:t xml:space="preserve">1 </w:t>
            </w:r>
          </w:p>
          <w:p>
            <w:pPr>
              <w:pStyle w:val="Normal"/>
              <w:rPr/>
            </w:pPr>
            <w:r>
              <w:rPr/>
            </w:r>
          </w:p>
        </w:tc>
      </w:tr>
      <w:tr>
        <w:trPr/>
        <w:tc>
          <w:tcPr>
            <w:tcW w:w="87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p>
          <w:p>
            <w:pPr>
              <w:pStyle w:val="Normal"/>
              <w:rPr/>
            </w:pPr>
            <w:r>
              <w:rPr/>
              <w:drawing>
                <wp:inline distT="0" distB="0" distL="0" distR="0">
                  <wp:extent cx="241935" cy="184150"/>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241935" cy="184150"/>
                          </a:xfrm>
                          <a:prstGeom prst="rect">
                            <a:avLst/>
                          </a:prstGeom>
                        </pic:spPr>
                      </pic:pic>
                    </a:graphicData>
                  </a:graphic>
                </wp:inline>
              </w:drawing>
            </w:r>
            <w:r>
              <w:rPr/>
              <w:t xml:space="preserve">     </w:t>
            </w:r>
          </w:p>
          <w:p>
            <w:pPr>
              <w:pStyle w:val="Normal"/>
              <w:rPr/>
            </w:pPr>
            <w:r>
              <w:rPr/>
            </w:r>
          </w:p>
        </w:tc>
        <w:tc>
          <w:tcPr>
            <w:tcW w:w="645"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jc w:val="center"/>
              <w:rPr/>
            </w:pPr>
            <w:r>
              <w:rPr/>
            </w:r>
          </w:p>
          <w:p>
            <w:pPr>
              <w:pStyle w:val="Normal"/>
              <w:jc w:val="center"/>
              <w:rPr/>
            </w:pPr>
            <w:r>
              <w:rPr/>
              <w:t xml:space="preserve">0,01 </w:t>
            </w:r>
          </w:p>
          <w:p>
            <w:pPr>
              <w:pStyle w:val="Normal"/>
              <w:jc w:val="center"/>
              <w:rPr/>
            </w:pPr>
            <w:r>
              <w:rPr/>
            </w:r>
          </w:p>
        </w:tc>
        <w:tc>
          <w:tcPr>
            <w:tcW w:w="465"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0,01 </w:t>
            </w:r>
          </w:p>
          <w:p>
            <w:pPr>
              <w:pStyle w:val="Normal"/>
              <w:rPr/>
            </w:pPr>
            <w:r>
              <w:rPr/>
            </w:r>
          </w:p>
        </w:tc>
        <w:tc>
          <w:tcPr>
            <w:tcW w:w="450"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0,02 </w:t>
            </w:r>
          </w:p>
          <w:p>
            <w:pPr>
              <w:pStyle w:val="Normal"/>
              <w:rPr/>
            </w:pPr>
            <w:r>
              <w:rPr/>
            </w:r>
          </w:p>
        </w:tc>
        <w:tc>
          <w:tcPr>
            <w:tcW w:w="450"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0,03 </w:t>
            </w:r>
          </w:p>
          <w:p>
            <w:pPr>
              <w:pStyle w:val="Normal"/>
              <w:rPr/>
            </w:pPr>
            <w:r>
              <w:rPr/>
            </w:r>
          </w:p>
        </w:tc>
        <w:tc>
          <w:tcPr>
            <w:tcW w:w="450"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0,05 </w:t>
            </w:r>
          </w:p>
          <w:p>
            <w:pPr>
              <w:pStyle w:val="Normal"/>
              <w:rPr/>
            </w:pPr>
            <w:r>
              <w:rPr/>
            </w:r>
          </w:p>
        </w:tc>
        <w:tc>
          <w:tcPr>
            <w:tcW w:w="450"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0,07 </w:t>
            </w:r>
          </w:p>
          <w:p>
            <w:pPr>
              <w:pStyle w:val="Normal"/>
              <w:rPr/>
            </w:pPr>
            <w:r>
              <w:rPr/>
            </w:r>
          </w:p>
        </w:tc>
        <w:tc>
          <w:tcPr>
            <w:tcW w:w="390"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0,1 </w:t>
            </w:r>
          </w:p>
          <w:p>
            <w:pPr>
              <w:pStyle w:val="Normal"/>
              <w:rPr/>
            </w:pPr>
            <w:r>
              <w:rPr/>
            </w:r>
          </w:p>
        </w:tc>
        <w:tc>
          <w:tcPr>
            <w:tcW w:w="390"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0,1 </w:t>
            </w:r>
          </w:p>
          <w:p>
            <w:pPr>
              <w:pStyle w:val="Normal"/>
              <w:rPr/>
            </w:pPr>
            <w:r>
              <w:rPr/>
            </w:r>
          </w:p>
        </w:tc>
        <w:tc>
          <w:tcPr>
            <w:tcW w:w="345"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0,1 </w:t>
            </w:r>
          </w:p>
          <w:p>
            <w:pPr>
              <w:pStyle w:val="Normal"/>
              <w:rPr/>
            </w:pPr>
            <w:r>
              <w:rPr/>
            </w:r>
          </w:p>
        </w:tc>
        <w:tc>
          <w:tcPr>
            <w:tcW w:w="375"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0,2 </w:t>
            </w:r>
          </w:p>
          <w:p>
            <w:pPr>
              <w:pStyle w:val="Normal"/>
              <w:rPr/>
            </w:pPr>
            <w:r>
              <w:rPr/>
            </w:r>
          </w:p>
        </w:tc>
        <w:tc>
          <w:tcPr>
            <w:tcW w:w="450"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0,25 </w:t>
            </w:r>
          </w:p>
          <w:p>
            <w:pPr>
              <w:pStyle w:val="Normal"/>
              <w:rPr/>
            </w:pPr>
            <w:r>
              <w:rPr/>
            </w:r>
          </w:p>
        </w:tc>
        <w:tc>
          <w:tcPr>
            <w:tcW w:w="375"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0,4 </w:t>
            </w:r>
          </w:p>
          <w:p>
            <w:pPr>
              <w:pStyle w:val="Normal"/>
              <w:rPr/>
            </w:pPr>
            <w:r>
              <w:rPr/>
            </w:r>
          </w:p>
        </w:tc>
        <w:tc>
          <w:tcPr>
            <w:tcW w:w="360"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0,5 </w:t>
            </w:r>
          </w:p>
          <w:p>
            <w:pPr>
              <w:pStyle w:val="Normal"/>
              <w:rPr/>
            </w:pPr>
            <w:r>
              <w:rPr/>
            </w:r>
          </w:p>
        </w:tc>
        <w:tc>
          <w:tcPr>
            <w:tcW w:w="450"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0,6 </w:t>
            </w:r>
          </w:p>
          <w:p>
            <w:pPr>
              <w:pStyle w:val="Normal"/>
              <w:rPr/>
            </w:pPr>
            <w:r>
              <w:rPr/>
            </w:r>
          </w:p>
        </w:tc>
        <w:tc>
          <w:tcPr>
            <w:tcW w:w="405"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0,7 </w:t>
            </w:r>
          </w:p>
          <w:p>
            <w:pPr>
              <w:pStyle w:val="Normal"/>
              <w:rPr/>
            </w:pPr>
            <w:r>
              <w:rPr/>
            </w:r>
          </w:p>
        </w:tc>
        <w:tc>
          <w:tcPr>
            <w:tcW w:w="480"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0,85 </w:t>
            </w:r>
          </w:p>
          <w:p>
            <w:pPr>
              <w:pStyle w:val="Normal"/>
              <w:rPr/>
            </w:pPr>
            <w:r>
              <w:rPr/>
            </w:r>
          </w:p>
        </w:tc>
        <w:tc>
          <w:tcPr>
            <w:tcW w:w="78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snapToGrid w:val="false"/>
              <w:rPr/>
            </w:pPr>
            <w:r>
              <w:rPr/>
            </w:r>
          </w:p>
          <w:p>
            <w:pPr>
              <w:pStyle w:val="Normal"/>
              <w:rPr/>
            </w:pPr>
            <w:r>
              <w:rPr/>
              <w:t xml:space="preserve">1 </w:t>
            </w:r>
          </w:p>
          <w:p>
            <w:pPr>
              <w:pStyle w:val="Normal"/>
              <w:rPr/>
            </w:pPr>
            <w:r>
              <w:rPr/>
            </w:r>
          </w:p>
        </w:tc>
      </w:tr>
    </w:tbl>
    <w:p>
      <w:pPr>
        <w:pStyle w:val="Normal"/>
        <w:ind w:firstLine="270"/>
        <w:jc w:val="both"/>
        <w:rPr/>
      </w:pPr>
      <w:r>
        <w:rPr/>
      </w:r>
    </w:p>
    <w:tbl>
      <w:tblPr>
        <w:tblW w:w="8775" w:type="dxa"/>
        <w:jc w:val="start"/>
        <w:tblInd w:w="15" w:type="dxa"/>
        <w:tblBorders/>
        <w:tblCellMar>
          <w:top w:w="0" w:type="dxa"/>
          <w:start w:w="15" w:type="dxa"/>
          <w:bottom w:w="0" w:type="dxa"/>
          <w:end w:w="15" w:type="dxa"/>
        </w:tblCellMar>
      </w:tblPr>
      <w:tblGrid>
        <w:gridCol w:w="2850"/>
        <w:gridCol w:w="495"/>
        <w:gridCol w:w="5430"/>
      </w:tblGrid>
      <w:tr>
        <w:trPr/>
        <w:tc>
          <w:tcPr>
            <w:tcW w:w="2850" w:type="dxa"/>
            <w:tcBorders/>
            <w:shd w:fill="auto" w:val="clear"/>
          </w:tcPr>
          <w:p>
            <w:pPr>
              <w:pStyle w:val="Normal"/>
              <w:rPr/>
            </w:pPr>
            <w:r>
              <w:rPr>
                <w:vanish/>
              </w:rPr>
              <w:t>#G0</w:t>
            </w:r>
            <w:r>
              <w:rPr/>
              <w:t xml:space="preserve">  </w:t>
            </w:r>
          </w:p>
          <w:p>
            <w:pPr>
              <w:pStyle w:val="Normal"/>
              <w:ind w:firstLine="180"/>
              <w:jc w:val="both"/>
              <w:rPr/>
            </w:pPr>
            <w:r>
              <w:rPr/>
              <w:t xml:space="preserve">Примечания: 1. Коэффициент </w:t>
            </w:r>
          </w:p>
          <w:p>
            <w:pPr>
              <w:pStyle w:val="Normal"/>
              <w:ind w:firstLine="180"/>
              <w:jc w:val="both"/>
              <w:rPr/>
            </w:pPr>
            <w:r>
              <w:rPr/>
            </w:r>
          </w:p>
        </w:tc>
        <w:tc>
          <w:tcPr>
            <w:tcW w:w="495" w:type="dxa"/>
            <w:tcBorders/>
            <w:shd w:fill="auto" w:val="clear"/>
          </w:tcPr>
          <w:p>
            <w:pPr>
              <w:pStyle w:val="Normal"/>
              <w:rPr/>
            </w:pPr>
            <w:r>
              <w:rPr/>
              <w:t xml:space="preserve">  </w:t>
            </w:r>
          </w:p>
          <w:p>
            <w:pPr>
              <w:pStyle w:val="Normal"/>
              <w:rPr/>
            </w:pPr>
            <w:r>
              <w:rPr/>
              <w:drawing>
                <wp:inline distT="0" distB="0" distL="0" distR="0">
                  <wp:extent cx="127000" cy="184150"/>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127000" cy="184150"/>
                          </a:xfrm>
                          <a:prstGeom prst="rect">
                            <a:avLst/>
                          </a:prstGeom>
                        </pic:spPr>
                      </pic:pic>
                    </a:graphicData>
                  </a:graphic>
                </wp:inline>
              </w:drawing>
            </w:r>
          </w:p>
        </w:tc>
        <w:tc>
          <w:tcPr>
            <w:tcW w:w="5430" w:type="dxa"/>
            <w:tcBorders/>
            <w:shd w:fill="auto" w:val="clear"/>
          </w:tcPr>
          <w:p>
            <w:pPr>
              <w:pStyle w:val="Normal"/>
              <w:rPr/>
            </w:pPr>
            <w:r>
              <w:rPr/>
              <w:t xml:space="preserve">  </w:t>
            </w:r>
          </w:p>
          <w:p>
            <w:pPr>
              <w:pStyle w:val="Normal"/>
              <w:ind w:firstLine="45"/>
              <w:jc w:val="both"/>
              <w:rPr/>
            </w:pPr>
            <w:r>
              <w:rPr/>
              <w:t xml:space="preserve">при определении расходов воды для расчета сооружений,  </w:t>
            </w:r>
          </w:p>
          <w:p>
            <w:pPr>
              <w:pStyle w:val="Normal"/>
              <w:ind w:firstLine="45"/>
              <w:jc w:val="both"/>
              <w:rPr/>
            </w:pPr>
            <w:r>
              <w:rPr/>
            </w:r>
          </w:p>
        </w:tc>
      </w:tr>
    </w:tbl>
    <w:p>
      <w:pPr>
        <w:pStyle w:val="Normal"/>
        <w:ind w:firstLine="45"/>
        <w:jc w:val="both"/>
        <w:rPr/>
      </w:pPr>
      <w:r>
        <w:rPr/>
        <w:t xml:space="preserve">водоводов и линий сети следует принимать в зависимости от числа обслуживаемых ими жителей, а при зонном водоснабжении -  от числа жителей в каждой зоне.    </w:t>
      </w:r>
    </w:p>
    <w:tbl>
      <w:tblPr>
        <w:tblW w:w="8820" w:type="dxa"/>
        <w:jc w:val="start"/>
        <w:tblInd w:w="165" w:type="dxa"/>
        <w:tblBorders/>
        <w:tblCellMar>
          <w:top w:w="0" w:type="dxa"/>
          <w:start w:w="15" w:type="dxa"/>
          <w:bottom w:w="0" w:type="dxa"/>
          <w:end w:w="15" w:type="dxa"/>
        </w:tblCellMar>
      </w:tblPr>
      <w:tblGrid>
        <w:gridCol w:w="1665"/>
        <w:gridCol w:w="975"/>
        <w:gridCol w:w="6180"/>
      </w:tblGrid>
      <w:tr>
        <w:trPr/>
        <w:tc>
          <w:tcPr>
            <w:tcW w:w="1665" w:type="dxa"/>
            <w:tcBorders/>
            <w:shd w:fill="auto" w:val="clear"/>
          </w:tcPr>
          <w:p>
            <w:pPr>
              <w:pStyle w:val="Normal"/>
              <w:rPr/>
            </w:pPr>
            <w:r>
              <w:rPr>
                <w:vanish/>
              </w:rPr>
              <w:t>#G0</w:t>
            </w:r>
            <w:r>
              <w:rPr/>
              <w:t xml:space="preserve">      </w:t>
            </w:r>
          </w:p>
          <w:p>
            <w:pPr>
              <w:pStyle w:val="Normal"/>
              <w:ind w:firstLine="45"/>
              <w:jc w:val="both"/>
              <w:rPr/>
            </w:pPr>
            <w:r>
              <w:rPr/>
              <w:t xml:space="preserve">2. Коэффициент </w:t>
            </w:r>
          </w:p>
          <w:p>
            <w:pPr>
              <w:pStyle w:val="Normal"/>
              <w:ind w:firstLine="45"/>
              <w:jc w:val="both"/>
              <w:rPr/>
            </w:pPr>
            <w:r>
              <w:rPr/>
            </w:r>
          </w:p>
        </w:tc>
        <w:tc>
          <w:tcPr>
            <w:tcW w:w="975" w:type="dxa"/>
            <w:tcBorders/>
            <w:shd w:fill="auto" w:val="clear"/>
          </w:tcPr>
          <w:p>
            <w:pPr>
              <w:pStyle w:val="Normal"/>
              <w:rPr/>
            </w:pPr>
            <w:r>
              <w:rPr/>
              <w:t xml:space="preserve">  </w:t>
            </w:r>
          </w:p>
          <w:p>
            <w:pPr>
              <w:pStyle w:val="Normal"/>
              <w:rPr/>
            </w:pPr>
            <w:r>
              <w:rPr/>
              <w:drawing>
                <wp:inline distT="0" distB="0" distL="0" distR="0">
                  <wp:extent cx="253365" cy="184150"/>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253365" cy="184150"/>
                          </a:xfrm>
                          <a:prstGeom prst="rect">
                            <a:avLst/>
                          </a:prstGeom>
                        </pic:spPr>
                      </pic:pic>
                    </a:graphicData>
                  </a:graphic>
                </wp:inline>
              </w:drawing>
            </w:r>
          </w:p>
        </w:tc>
        <w:tc>
          <w:tcPr>
            <w:tcW w:w="6180" w:type="dxa"/>
            <w:tcBorders/>
            <w:shd w:fill="auto" w:val="clear"/>
          </w:tcPr>
          <w:p>
            <w:pPr>
              <w:pStyle w:val="Normal"/>
              <w:snapToGrid w:val="false"/>
              <w:rPr/>
            </w:pPr>
            <w:r>
              <w:rPr/>
            </w:r>
          </w:p>
          <w:p>
            <w:pPr>
              <w:pStyle w:val="Normal"/>
              <w:rPr/>
            </w:pPr>
            <w:r>
              <w:rPr/>
              <w:t xml:space="preserve"> </w:t>
            </w:r>
            <w:r>
              <w:rPr/>
              <w:t xml:space="preserve">следует принимать при определении напоров на выходе из насосных </w:t>
            </w:r>
          </w:p>
          <w:p>
            <w:pPr>
              <w:pStyle w:val="Normal"/>
              <w:rPr/>
            </w:pPr>
            <w:r>
              <w:rPr/>
            </w:r>
          </w:p>
        </w:tc>
      </w:tr>
    </w:tbl>
    <w:p>
      <w:pPr>
        <w:pStyle w:val="Normal"/>
        <w:jc w:val="both"/>
        <w:rPr/>
      </w:pPr>
      <w:r>
        <w:rPr/>
        <w:t>станций или высотного положения башни (напорных резервуаров), необходимого для обеспечения требуемых свободных напоров в сети в периоды максимального водоотбора в сутки максимального водопотребления,</w:t>
      </w:r>
    </w:p>
    <w:tbl>
      <w:tblPr>
        <w:tblW w:w="8415" w:type="dxa"/>
        <w:jc w:val="start"/>
        <w:tblInd w:w="15" w:type="dxa"/>
        <w:tblBorders/>
        <w:tblCellMar>
          <w:top w:w="0" w:type="dxa"/>
          <w:start w:w="15" w:type="dxa"/>
          <w:bottom w:w="0" w:type="dxa"/>
          <w:end w:w="15" w:type="dxa"/>
        </w:tblCellMar>
      </w:tblPr>
      <w:tblGrid>
        <w:gridCol w:w="1500"/>
        <w:gridCol w:w="750"/>
        <w:gridCol w:w="6165"/>
      </w:tblGrid>
      <w:tr>
        <w:trPr/>
        <w:tc>
          <w:tcPr>
            <w:tcW w:w="1500" w:type="dxa"/>
            <w:tcBorders/>
            <w:shd w:fill="auto" w:val="clear"/>
          </w:tcPr>
          <w:p>
            <w:pPr>
              <w:pStyle w:val="Normal"/>
              <w:rPr/>
            </w:pPr>
            <w:r>
              <w:rPr>
                <w:vanish/>
              </w:rPr>
              <w:t>#G0</w:t>
            </w:r>
            <w:r>
              <w:rPr/>
              <w:t xml:space="preserve">а коэффициент </w:t>
            </w:r>
          </w:p>
          <w:p>
            <w:pPr>
              <w:pStyle w:val="Normal"/>
              <w:rPr/>
            </w:pPr>
            <w:r>
              <w:rPr/>
            </w:r>
          </w:p>
        </w:tc>
        <w:tc>
          <w:tcPr>
            <w:tcW w:w="750" w:type="dxa"/>
            <w:tcBorders/>
            <w:shd w:fill="auto" w:val="clear"/>
          </w:tcPr>
          <w:p>
            <w:pPr>
              <w:pStyle w:val="Normal"/>
              <w:rPr/>
            </w:pPr>
            <w:r>
              <w:rPr/>
              <w:drawing>
                <wp:inline distT="0" distB="0" distL="0" distR="0">
                  <wp:extent cx="241935" cy="184150"/>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241935" cy="184150"/>
                          </a:xfrm>
                          <a:prstGeom prst="rect">
                            <a:avLst/>
                          </a:prstGeom>
                        </pic:spPr>
                      </pic:pic>
                    </a:graphicData>
                  </a:graphic>
                </wp:inline>
              </w:drawing>
            </w:r>
          </w:p>
        </w:tc>
        <w:tc>
          <w:tcPr>
            <w:tcW w:w="6165" w:type="dxa"/>
            <w:tcBorders/>
            <w:shd w:fill="auto" w:val="clear"/>
          </w:tcPr>
          <w:p>
            <w:pPr>
              <w:pStyle w:val="Normal"/>
              <w:rPr/>
            </w:pPr>
            <w:r>
              <w:rPr/>
              <w:t xml:space="preserve">при определении излишних напоров в сети в периоды минимального </w:t>
            </w:r>
          </w:p>
          <w:p>
            <w:pPr>
              <w:pStyle w:val="Normal"/>
              <w:rPr/>
            </w:pPr>
            <w:r>
              <w:rPr/>
            </w:r>
          </w:p>
        </w:tc>
      </w:tr>
    </w:tbl>
    <w:p>
      <w:pPr>
        <w:pStyle w:val="Normal"/>
        <w:jc w:val="both"/>
        <w:rPr/>
      </w:pPr>
      <w:r>
        <w:rPr/>
        <w:t>водоотбора в сутки минимального водопотребления.</w:t>
      </w:r>
    </w:p>
    <w:p>
      <w:pPr>
        <w:pStyle w:val="Normal"/>
        <w:jc w:val="both"/>
        <w:rPr/>
      </w:pPr>
      <w:r>
        <w:rPr/>
      </w:r>
    </w:p>
    <w:p>
      <w:pPr>
        <w:pStyle w:val="Normal"/>
        <w:jc w:val="end"/>
        <w:rPr/>
      </w:pPr>
      <w:r>
        <w:rPr/>
        <w:t xml:space="preserve">Таблица 3 </w:t>
      </w:r>
    </w:p>
    <w:p>
      <w:pPr>
        <w:pStyle w:val="Normal"/>
        <w:ind w:firstLine="270"/>
        <w:jc w:val="both"/>
        <w:rPr/>
      </w:pPr>
      <w:r>
        <w:rPr/>
      </w:r>
    </w:p>
    <w:p>
      <w:pPr>
        <w:pStyle w:val="Normal"/>
        <w:ind w:firstLine="270"/>
        <w:jc w:val="both"/>
        <w:rPr/>
      </w:pPr>
      <w:r>
        <w:rPr/>
      </w:r>
    </w:p>
    <w:tbl>
      <w:tblPr>
        <w:tblW w:w="6455" w:type="dxa"/>
        <w:jc w:val="start"/>
        <w:tblInd w:w="30" w:type="dxa"/>
        <w:tblBorders>
          <w:top w:val="single" w:sz="2" w:space="0" w:color="000000"/>
          <w:start w:val="single" w:sz="2" w:space="0" w:color="000000"/>
          <w:bottom w:val="single" w:sz="2" w:space="0" w:color="000000"/>
          <w:insideH w:val="single" w:sz="2" w:space="0" w:color="000000"/>
        </w:tblBorders>
        <w:tblCellMar>
          <w:top w:w="0" w:type="dxa"/>
          <w:start w:w="27" w:type="dxa"/>
          <w:bottom w:w="0" w:type="dxa"/>
          <w:end w:w="30" w:type="dxa"/>
        </w:tblCellMar>
      </w:tblPr>
      <w:tblGrid>
        <w:gridCol w:w="4140"/>
        <w:gridCol w:w="1155"/>
        <w:gridCol w:w="1160"/>
      </w:tblGrid>
      <w:tr>
        <w:trPr/>
        <w:tc>
          <w:tcPr>
            <w:tcW w:w="414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jc w:val="center"/>
              <w:rPr>
                <w:vanish/>
              </w:rPr>
            </w:pPr>
            <w:r>
              <w:rPr>
                <w:vanish/>
              </w:rPr>
              <w:t>#G0</w:t>
            </w:r>
          </w:p>
          <w:p>
            <w:pPr>
              <w:pStyle w:val="Normal"/>
              <w:jc w:val="center"/>
              <w:rPr/>
            </w:pPr>
            <w:r>
              <w:rPr/>
              <w:t xml:space="preserve">Назначение воды </w:t>
            </w:r>
          </w:p>
          <w:p>
            <w:pPr>
              <w:pStyle w:val="Normal"/>
              <w:jc w:val="center"/>
              <w:rPr/>
            </w:pPr>
            <w:r>
              <w:rPr/>
            </w:r>
          </w:p>
        </w:tc>
        <w:tc>
          <w:tcPr>
            <w:tcW w:w="115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snapToGrid w:val="false"/>
              <w:rPr/>
            </w:pPr>
            <w:r>
              <w:rPr/>
            </w:r>
          </w:p>
          <w:p>
            <w:pPr>
              <w:pStyle w:val="Normal"/>
              <w:rPr/>
            </w:pPr>
            <w:r>
              <w:rPr/>
              <w:t xml:space="preserve">Измеритель </w:t>
            </w:r>
          </w:p>
          <w:p>
            <w:pPr>
              <w:pStyle w:val="Normal"/>
              <w:rPr/>
            </w:pPr>
            <w:r>
              <w:rPr/>
            </w:r>
          </w:p>
        </w:tc>
        <w:tc>
          <w:tcPr>
            <w:tcW w:w="116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Расход воды на поливку, л/кв.м </w:t>
            </w:r>
          </w:p>
          <w:p>
            <w:pPr>
              <w:pStyle w:val="Normal"/>
              <w:rPr/>
            </w:pPr>
            <w:r>
              <w:rPr/>
            </w:r>
          </w:p>
        </w:tc>
      </w:tr>
      <w:tr>
        <w:trPr/>
        <w:tc>
          <w:tcPr>
            <w:tcW w:w="4140" w:type="dxa"/>
            <w:tcBorders>
              <w:start w:val="single" w:sz="2" w:space="0" w:color="000000"/>
            </w:tcBorders>
            <w:shd w:fill="auto" w:val="clear"/>
            <w:tcMar>
              <w:start w:w="27" w:type="dxa"/>
            </w:tcMar>
          </w:tcPr>
          <w:p>
            <w:pPr>
              <w:pStyle w:val="Normal"/>
              <w:jc w:val="both"/>
              <w:rPr/>
            </w:pPr>
            <w:r>
              <w:rPr/>
              <w:t xml:space="preserve">Механизированная мойка усовершенствованных покрытий проездов и площадей </w:t>
            </w:r>
          </w:p>
          <w:p>
            <w:pPr>
              <w:pStyle w:val="Normal"/>
              <w:jc w:val="both"/>
              <w:rPr/>
            </w:pPr>
            <w:r>
              <w:rPr/>
            </w:r>
          </w:p>
        </w:tc>
        <w:tc>
          <w:tcPr>
            <w:tcW w:w="1155" w:type="dxa"/>
            <w:tcBorders>
              <w:start w:val="single" w:sz="2" w:space="0" w:color="000000"/>
            </w:tcBorders>
            <w:shd w:fill="auto" w:val="clear"/>
            <w:tcMar>
              <w:start w:w="27" w:type="dxa"/>
            </w:tcMar>
          </w:tcPr>
          <w:p>
            <w:pPr>
              <w:pStyle w:val="Normal"/>
              <w:jc w:val="center"/>
              <w:rPr/>
            </w:pPr>
            <w:r>
              <w:rPr/>
              <w:t xml:space="preserve">1 мойка </w:t>
            </w:r>
          </w:p>
          <w:p>
            <w:pPr>
              <w:pStyle w:val="Normal"/>
              <w:jc w:val="center"/>
              <w:rPr/>
            </w:pPr>
            <w:r>
              <w:rPr/>
            </w:r>
          </w:p>
        </w:tc>
        <w:tc>
          <w:tcPr>
            <w:tcW w:w="116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1,2 - 1,5 </w:t>
            </w:r>
          </w:p>
          <w:p>
            <w:pPr>
              <w:pStyle w:val="Normal"/>
              <w:rPr/>
            </w:pPr>
            <w:r>
              <w:rPr/>
            </w:r>
          </w:p>
        </w:tc>
      </w:tr>
      <w:tr>
        <w:trPr/>
        <w:tc>
          <w:tcPr>
            <w:tcW w:w="4140" w:type="dxa"/>
            <w:tcBorders>
              <w:start w:val="single" w:sz="2" w:space="0" w:color="000000"/>
            </w:tcBorders>
            <w:shd w:fill="auto" w:val="clear"/>
            <w:tcMar>
              <w:start w:w="27" w:type="dxa"/>
            </w:tcMar>
          </w:tcPr>
          <w:p>
            <w:pPr>
              <w:pStyle w:val="Normal"/>
              <w:jc w:val="both"/>
              <w:rPr/>
            </w:pPr>
            <w:r>
              <w:rPr/>
              <w:t xml:space="preserve">Механизированная поливка усовершенствованных покрытий проездов и площадей </w:t>
            </w:r>
          </w:p>
          <w:p>
            <w:pPr>
              <w:pStyle w:val="Normal"/>
              <w:jc w:val="both"/>
              <w:rPr/>
            </w:pPr>
            <w:r>
              <w:rPr/>
            </w:r>
          </w:p>
        </w:tc>
        <w:tc>
          <w:tcPr>
            <w:tcW w:w="1155" w:type="dxa"/>
            <w:tcBorders>
              <w:start w:val="single" w:sz="2" w:space="0" w:color="000000"/>
            </w:tcBorders>
            <w:shd w:fill="auto" w:val="clear"/>
            <w:tcMar>
              <w:start w:w="27" w:type="dxa"/>
            </w:tcMar>
          </w:tcPr>
          <w:p>
            <w:pPr>
              <w:pStyle w:val="Normal"/>
              <w:jc w:val="center"/>
              <w:rPr/>
            </w:pPr>
            <w:r>
              <w:rPr/>
              <w:t xml:space="preserve">1 поливка </w:t>
            </w:r>
          </w:p>
          <w:p>
            <w:pPr>
              <w:pStyle w:val="Normal"/>
              <w:jc w:val="center"/>
              <w:rPr/>
            </w:pPr>
            <w:r>
              <w:rPr/>
            </w:r>
          </w:p>
        </w:tc>
        <w:tc>
          <w:tcPr>
            <w:tcW w:w="116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0,3  - 0,4 </w:t>
            </w:r>
          </w:p>
          <w:p>
            <w:pPr>
              <w:pStyle w:val="Normal"/>
              <w:rPr/>
            </w:pPr>
            <w:r>
              <w:rPr/>
            </w:r>
          </w:p>
        </w:tc>
      </w:tr>
      <w:tr>
        <w:trPr/>
        <w:tc>
          <w:tcPr>
            <w:tcW w:w="4140" w:type="dxa"/>
            <w:tcBorders>
              <w:start w:val="single" w:sz="2" w:space="0" w:color="000000"/>
            </w:tcBorders>
            <w:shd w:fill="auto" w:val="clear"/>
            <w:tcMar>
              <w:start w:w="27" w:type="dxa"/>
            </w:tcMar>
          </w:tcPr>
          <w:p>
            <w:pPr>
              <w:pStyle w:val="Normal"/>
              <w:jc w:val="both"/>
              <w:rPr/>
            </w:pPr>
            <w:r>
              <w:rPr/>
              <w:t xml:space="preserve">Поливка вручную (из шлангов) усовершенствованных покрытий тротуаров и проездов </w:t>
            </w:r>
          </w:p>
          <w:p>
            <w:pPr>
              <w:pStyle w:val="Normal"/>
              <w:jc w:val="both"/>
              <w:rPr/>
            </w:pPr>
            <w:r>
              <w:rPr/>
            </w:r>
          </w:p>
        </w:tc>
        <w:tc>
          <w:tcPr>
            <w:tcW w:w="1155" w:type="dxa"/>
            <w:tcBorders>
              <w:start w:val="single" w:sz="2" w:space="0" w:color="000000"/>
            </w:tcBorders>
            <w:shd w:fill="auto" w:val="clear"/>
            <w:tcMar>
              <w:start w:w="27" w:type="dxa"/>
            </w:tcMar>
          </w:tcPr>
          <w:p>
            <w:pPr>
              <w:pStyle w:val="Normal"/>
              <w:jc w:val="center"/>
              <w:rPr/>
            </w:pPr>
            <w:r>
              <w:rPr/>
              <w:t xml:space="preserve">То же </w:t>
            </w:r>
          </w:p>
          <w:p>
            <w:pPr>
              <w:pStyle w:val="Normal"/>
              <w:jc w:val="center"/>
              <w:rPr/>
            </w:pPr>
            <w:r>
              <w:rPr/>
            </w:r>
          </w:p>
        </w:tc>
        <w:tc>
          <w:tcPr>
            <w:tcW w:w="116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0,4  - 0,5 </w:t>
            </w:r>
          </w:p>
          <w:p>
            <w:pPr>
              <w:pStyle w:val="Normal"/>
              <w:rPr/>
            </w:pPr>
            <w:r>
              <w:rPr/>
            </w:r>
          </w:p>
        </w:tc>
      </w:tr>
      <w:tr>
        <w:trPr/>
        <w:tc>
          <w:tcPr>
            <w:tcW w:w="4140" w:type="dxa"/>
            <w:tcBorders>
              <w:start w:val="single" w:sz="2" w:space="0" w:color="000000"/>
            </w:tcBorders>
            <w:shd w:fill="auto" w:val="clear"/>
            <w:tcMar>
              <w:start w:w="27" w:type="dxa"/>
            </w:tcMar>
          </w:tcPr>
          <w:p>
            <w:pPr>
              <w:pStyle w:val="Normal"/>
              <w:jc w:val="both"/>
              <w:rPr/>
            </w:pPr>
            <w:r>
              <w:rPr/>
              <w:t xml:space="preserve">Поливка городских зеленых насаждений </w:t>
            </w:r>
          </w:p>
          <w:p>
            <w:pPr>
              <w:pStyle w:val="Normal"/>
              <w:jc w:val="both"/>
              <w:rPr/>
            </w:pPr>
            <w:r>
              <w:rPr/>
            </w:r>
          </w:p>
        </w:tc>
        <w:tc>
          <w:tcPr>
            <w:tcW w:w="1155" w:type="dxa"/>
            <w:tcBorders>
              <w:start w:val="single" w:sz="2" w:space="0" w:color="000000"/>
            </w:tcBorders>
            <w:shd w:fill="auto" w:val="clear"/>
            <w:tcMar>
              <w:start w:w="27" w:type="dxa"/>
            </w:tcMar>
          </w:tcPr>
          <w:p>
            <w:pPr>
              <w:pStyle w:val="Normal"/>
              <w:jc w:val="center"/>
              <w:rPr/>
            </w:pPr>
            <w:r>
              <w:rPr/>
              <w:t>«</w:t>
            </w:r>
          </w:p>
          <w:p>
            <w:pPr>
              <w:pStyle w:val="Normal"/>
              <w:jc w:val="center"/>
              <w:rPr/>
            </w:pPr>
            <w:r>
              <w:rPr/>
            </w:r>
          </w:p>
        </w:tc>
        <w:tc>
          <w:tcPr>
            <w:tcW w:w="116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3  - 4 </w:t>
            </w:r>
          </w:p>
          <w:p>
            <w:pPr>
              <w:pStyle w:val="Normal"/>
              <w:rPr/>
            </w:pPr>
            <w:r>
              <w:rPr/>
            </w:r>
          </w:p>
        </w:tc>
      </w:tr>
      <w:tr>
        <w:trPr/>
        <w:tc>
          <w:tcPr>
            <w:tcW w:w="4140" w:type="dxa"/>
            <w:tcBorders>
              <w:start w:val="single" w:sz="2" w:space="0" w:color="000000"/>
            </w:tcBorders>
            <w:shd w:fill="auto" w:val="clear"/>
            <w:tcMar>
              <w:start w:w="27" w:type="dxa"/>
            </w:tcMar>
          </w:tcPr>
          <w:p>
            <w:pPr>
              <w:pStyle w:val="Normal"/>
              <w:jc w:val="both"/>
              <w:rPr/>
            </w:pPr>
            <w:r>
              <w:rPr/>
              <w:t xml:space="preserve">Поливка газонов и цветников </w:t>
            </w:r>
          </w:p>
          <w:p>
            <w:pPr>
              <w:pStyle w:val="Normal"/>
              <w:jc w:val="both"/>
              <w:rPr/>
            </w:pPr>
            <w:r>
              <w:rPr/>
            </w:r>
          </w:p>
        </w:tc>
        <w:tc>
          <w:tcPr>
            <w:tcW w:w="1155" w:type="dxa"/>
            <w:tcBorders>
              <w:start w:val="single" w:sz="2" w:space="0" w:color="000000"/>
            </w:tcBorders>
            <w:shd w:fill="auto" w:val="clear"/>
            <w:tcMar>
              <w:start w:w="27" w:type="dxa"/>
            </w:tcMar>
          </w:tcPr>
          <w:p>
            <w:pPr>
              <w:pStyle w:val="Normal"/>
              <w:jc w:val="center"/>
              <w:rPr/>
            </w:pPr>
            <w:r>
              <w:rPr/>
              <w:t>«</w:t>
            </w:r>
          </w:p>
          <w:p>
            <w:pPr>
              <w:pStyle w:val="Normal"/>
              <w:jc w:val="center"/>
              <w:rPr/>
            </w:pPr>
            <w:r>
              <w:rPr/>
            </w:r>
          </w:p>
        </w:tc>
        <w:tc>
          <w:tcPr>
            <w:tcW w:w="116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4  - 6 </w:t>
            </w:r>
          </w:p>
          <w:p>
            <w:pPr>
              <w:pStyle w:val="Normal"/>
              <w:rPr/>
            </w:pPr>
            <w:r>
              <w:rPr/>
            </w:r>
          </w:p>
        </w:tc>
      </w:tr>
      <w:tr>
        <w:trPr/>
        <w:tc>
          <w:tcPr>
            <w:tcW w:w="4140" w:type="dxa"/>
            <w:tcBorders>
              <w:start w:val="single" w:sz="2" w:space="0" w:color="000000"/>
            </w:tcBorders>
            <w:shd w:fill="auto" w:val="clear"/>
            <w:tcMar>
              <w:start w:w="27" w:type="dxa"/>
            </w:tcMar>
          </w:tcPr>
          <w:p>
            <w:pPr>
              <w:pStyle w:val="Normal"/>
              <w:jc w:val="both"/>
              <w:rPr/>
            </w:pPr>
            <w:r>
              <w:rPr/>
              <w:t xml:space="preserve">Поливка посадок в грунтовых зимних теплицах </w:t>
            </w:r>
          </w:p>
          <w:p>
            <w:pPr>
              <w:pStyle w:val="Normal"/>
              <w:jc w:val="both"/>
              <w:rPr/>
            </w:pPr>
            <w:r>
              <w:rPr/>
            </w:r>
          </w:p>
        </w:tc>
        <w:tc>
          <w:tcPr>
            <w:tcW w:w="1155" w:type="dxa"/>
            <w:tcBorders>
              <w:start w:val="single" w:sz="2" w:space="0" w:color="000000"/>
            </w:tcBorders>
            <w:shd w:fill="auto" w:val="clear"/>
            <w:tcMar>
              <w:start w:w="27" w:type="dxa"/>
            </w:tcMar>
          </w:tcPr>
          <w:p>
            <w:pPr>
              <w:pStyle w:val="Normal"/>
              <w:jc w:val="center"/>
              <w:rPr/>
            </w:pPr>
            <w:r>
              <w:rPr/>
              <w:t xml:space="preserve">1 сут </w:t>
            </w:r>
          </w:p>
          <w:p>
            <w:pPr>
              <w:pStyle w:val="Normal"/>
              <w:jc w:val="center"/>
              <w:rPr/>
            </w:pPr>
            <w:r>
              <w:rPr/>
            </w:r>
          </w:p>
        </w:tc>
        <w:tc>
          <w:tcPr>
            <w:tcW w:w="116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15 </w:t>
            </w:r>
          </w:p>
          <w:p>
            <w:pPr>
              <w:pStyle w:val="Normal"/>
              <w:rPr/>
            </w:pPr>
            <w:r>
              <w:rPr/>
            </w:r>
          </w:p>
        </w:tc>
      </w:tr>
      <w:tr>
        <w:trPr/>
        <w:tc>
          <w:tcPr>
            <w:tcW w:w="4140" w:type="dxa"/>
            <w:tcBorders>
              <w:start w:val="single" w:sz="2" w:space="0" w:color="000000"/>
            </w:tcBorders>
            <w:shd w:fill="auto" w:val="clear"/>
            <w:tcMar>
              <w:start w:w="27" w:type="dxa"/>
            </w:tcMar>
          </w:tcPr>
          <w:p>
            <w:pPr>
              <w:pStyle w:val="Normal"/>
              <w:jc w:val="both"/>
              <w:rPr/>
            </w:pPr>
            <w:r>
              <w:rPr/>
              <w:t xml:space="preserve">Поливка посадок в стеллажных зимних и грунтовых весенних теплицах, парниках всех типов, утепленном грунте </w:t>
            </w:r>
          </w:p>
          <w:p>
            <w:pPr>
              <w:pStyle w:val="Normal"/>
              <w:jc w:val="both"/>
              <w:rPr/>
            </w:pPr>
            <w:r>
              <w:rPr/>
            </w:r>
          </w:p>
        </w:tc>
        <w:tc>
          <w:tcPr>
            <w:tcW w:w="1155" w:type="dxa"/>
            <w:tcBorders>
              <w:start w:val="single" w:sz="2" w:space="0" w:color="000000"/>
            </w:tcBorders>
            <w:shd w:fill="auto" w:val="clear"/>
            <w:tcMar>
              <w:start w:w="27" w:type="dxa"/>
            </w:tcMar>
          </w:tcPr>
          <w:p>
            <w:pPr>
              <w:pStyle w:val="Normal"/>
              <w:jc w:val="center"/>
              <w:rPr/>
            </w:pPr>
            <w:r>
              <w:rPr/>
              <w:t xml:space="preserve">То же </w:t>
            </w:r>
          </w:p>
          <w:p>
            <w:pPr>
              <w:pStyle w:val="Normal"/>
              <w:jc w:val="center"/>
              <w:rPr/>
            </w:pPr>
            <w:r>
              <w:rPr/>
            </w:r>
          </w:p>
        </w:tc>
        <w:tc>
          <w:tcPr>
            <w:tcW w:w="116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6 </w:t>
            </w:r>
          </w:p>
          <w:p>
            <w:pPr>
              <w:pStyle w:val="Normal"/>
              <w:rPr/>
            </w:pPr>
            <w:r>
              <w:rPr/>
            </w:r>
          </w:p>
        </w:tc>
      </w:tr>
      <w:tr>
        <w:trPr/>
        <w:tc>
          <w:tcPr>
            <w:tcW w:w="4140" w:type="dxa"/>
            <w:tcBorders>
              <w:start w:val="single" w:sz="2" w:space="0" w:color="000000"/>
            </w:tcBorders>
            <w:shd w:fill="auto" w:val="clear"/>
            <w:tcMar>
              <w:start w:w="27" w:type="dxa"/>
            </w:tcMar>
          </w:tcPr>
          <w:p>
            <w:pPr>
              <w:pStyle w:val="Normal"/>
              <w:jc w:val="both"/>
              <w:rPr/>
            </w:pPr>
            <w:r>
              <w:rPr/>
              <w:t>Поливка посадок на приусадебных участках:</w:t>
            </w:r>
          </w:p>
          <w:p>
            <w:pPr>
              <w:pStyle w:val="Normal"/>
              <w:ind w:firstLine="225"/>
              <w:jc w:val="both"/>
              <w:rPr/>
            </w:pPr>
            <w:r>
              <w:rPr/>
              <w:t xml:space="preserve">овощных культур </w:t>
            </w:r>
          </w:p>
          <w:p>
            <w:pPr>
              <w:pStyle w:val="Normal"/>
              <w:ind w:firstLine="225"/>
              <w:jc w:val="both"/>
              <w:rPr/>
            </w:pPr>
            <w:r>
              <w:rPr/>
            </w:r>
          </w:p>
        </w:tc>
        <w:tc>
          <w:tcPr>
            <w:tcW w:w="1155" w:type="dxa"/>
            <w:tcBorders>
              <w:start w:val="single" w:sz="2" w:space="0" w:color="000000"/>
            </w:tcBorders>
            <w:shd w:fill="auto" w:val="clear"/>
            <w:tcMar>
              <w:start w:w="27" w:type="dxa"/>
            </w:tcMar>
          </w:tcPr>
          <w:p>
            <w:pPr>
              <w:pStyle w:val="Normal"/>
              <w:snapToGrid w:val="false"/>
              <w:jc w:val="center"/>
              <w:rPr/>
            </w:pPr>
            <w:r>
              <w:rPr/>
            </w:r>
          </w:p>
          <w:p>
            <w:pPr>
              <w:pStyle w:val="Normal"/>
              <w:jc w:val="center"/>
              <w:rPr/>
            </w:pPr>
            <w:r>
              <w:rPr/>
              <w:t>«</w:t>
            </w:r>
          </w:p>
          <w:p>
            <w:pPr>
              <w:pStyle w:val="Normal"/>
              <w:jc w:val="center"/>
              <w:rPr/>
            </w:pPr>
            <w:r>
              <w:rPr/>
            </w:r>
          </w:p>
        </w:tc>
        <w:tc>
          <w:tcPr>
            <w:tcW w:w="1160" w:type="dxa"/>
            <w:tcBorders>
              <w:start w:val="single" w:sz="2" w:space="0" w:color="000000"/>
              <w:end w:val="single" w:sz="2" w:space="0" w:color="000000"/>
              <w:insideV w:val="single" w:sz="2" w:space="0" w:color="000000"/>
            </w:tcBorders>
            <w:shd w:fill="auto" w:val="clear"/>
            <w:tcMar>
              <w:start w:w="27" w:type="dxa"/>
            </w:tcMar>
          </w:tcPr>
          <w:p>
            <w:pPr>
              <w:pStyle w:val="Normal"/>
              <w:snapToGrid w:val="false"/>
              <w:rPr/>
            </w:pPr>
            <w:r>
              <w:rPr/>
            </w:r>
          </w:p>
          <w:p>
            <w:pPr>
              <w:pStyle w:val="Normal"/>
              <w:rPr/>
            </w:pPr>
            <w:r>
              <w:rPr/>
              <w:t xml:space="preserve">3 -  15 </w:t>
            </w:r>
          </w:p>
          <w:p>
            <w:pPr>
              <w:pStyle w:val="Normal"/>
              <w:rPr/>
            </w:pPr>
            <w:r>
              <w:rPr/>
            </w:r>
          </w:p>
        </w:tc>
      </w:tr>
      <w:tr>
        <w:trPr/>
        <w:tc>
          <w:tcPr>
            <w:tcW w:w="4140" w:type="dxa"/>
            <w:tcBorders>
              <w:start w:val="single" w:sz="2" w:space="0" w:color="000000"/>
              <w:bottom w:val="single" w:sz="2" w:space="0" w:color="000000"/>
              <w:insideH w:val="single" w:sz="2" w:space="0" w:color="000000"/>
            </w:tcBorders>
            <w:shd w:fill="auto" w:val="clear"/>
            <w:tcMar>
              <w:start w:w="27" w:type="dxa"/>
            </w:tcMar>
          </w:tcPr>
          <w:p>
            <w:pPr>
              <w:pStyle w:val="Normal"/>
              <w:ind w:firstLine="225"/>
              <w:jc w:val="both"/>
              <w:rPr/>
            </w:pPr>
            <w:r>
              <w:rPr/>
              <w:t>плодовых деревьев</w:t>
            </w:r>
          </w:p>
          <w:p>
            <w:pPr>
              <w:pStyle w:val="Normal"/>
              <w:ind w:firstLine="225"/>
              <w:jc w:val="both"/>
              <w:rPr/>
            </w:pPr>
            <w:r>
              <w:rPr/>
            </w:r>
          </w:p>
          <w:p>
            <w:pPr>
              <w:pStyle w:val="Normal"/>
              <w:ind w:firstLine="225"/>
              <w:jc w:val="both"/>
              <w:rPr/>
            </w:pPr>
            <w:r>
              <w:rPr/>
            </w:r>
          </w:p>
        </w:tc>
        <w:tc>
          <w:tcPr>
            <w:tcW w:w="1155" w:type="dxa"/>
            <w:tcBorders>
              <w:start w:val="single" w:sz="2" w:space="0" w:color="000000"/>
              <w:bottom w:val="single" w:sz="2" w:space="0" w:color="000000"/>
              <w:insideH w:val="single" w:sz="2" w:space="0" w:color="000000"/>
            </w:tcBorders>
            <w:shd w:fill="auto" w:val="clear"/>
            <w:tcMar>
              <w:start w:w="27" w:type="dxa"/>
            </w:tcMar>
          </w:tcPr>
          <w:p>
            <w:pPr>
              <w:pStyle w:val="Normal"/>
              <w:jc w:val="center"/>
              <w:rPr/>
            </w:pPr>
            <w:r>
              <w:rPr/>
              <w:t>«</w:t>
            </w:r>
          </w:p>
          <w:p>
            <w:pPr>
              <w:pStyle w:val="Normal"/>
              <w:jc w:val="center"/>
              <w:rPr/>
            </w:pPr>
            <w:r>
              <w:rPr/>
            </w:r>
          </w:p>
        </w:tc>
        <w:tc>
          <w:tcPr>
            <w:tcW w:w="116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10 - 15 </w:t>
            </w:r>
          </w:p>
          <w:p>
            <w:pPr>
              <w:pStyle w:val="Normal"/>
              <w:rPr/>
            </w:pPr>
            <w:r>
              <w:rPr/>
            </w:r>
          </w:p>
        </w:tc>
      </w:tr>
    </w:tbl>
    <w:p>
      <w:pPr>
        <w:pStyle w:val="Normal"/>
        <w:jc w:val="both"/>
        <w:rPr/>
      </w:pPr>
      <w:r>
        <w:rPr/>
      </w:r>
    </w:p>
    <w:p>
      <w:pPr>
        <w:pStyle w:val="Normal"/>
        <w:ind w:firstLine="270"/>
        <w:jc w:val="both"/>
        <w:rPr/>
      </w:pPr>
      <w:r>
        <w:rPr/>
        <w:t xml:space="preserve">Примечания: 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pPr>
        <w:pStyle w:val="Normal"/>
        <w:ind w:firstLine="270"/>
        <w:jc w:val="both"/>
        <w:rPr/>
      </w:pPr>
      <w:r>
        <w:rPr/>
      </w:r>
    </w:p>
    <w:p>
      <w:pPr>
        <w:pStyle w:val="Normal"/>
        <w:ind w:firstLine="270"/>
        <w:jc w:val="both"/>
        <w:rPr/>
      </w:pPr>
      <w:r>
        <w:rPr/>
        <w:t>2. Количество поливок надлежит принимать 1-2 в сутки в зависимости от климатических условий.</w:t>
      </w:r>
    </w:p>
    <w:p>
      <w:pPr>
        <w:pStyle w:val="Normal"/>
        <w:ind w:firstLine="270"/>
        <w:jc w:val="both"/>
        <w:rPr/>
      </w:pPr>
      <w:r>
        <w:rPr/>
      </w:r>
    </w:p>
    <w:p>
      <w:pPr>
        <w:pStyle w:val="Normal"/>
        <w:ind w:firstLine="180"/>
        <w:jc w:val="both"/>
        <w:rPr/>
      </w:pPr>
      <w:r>
        <w:rPr/>
      </w:r>
    </w:p>
    <w:p>
      <w:pPr>
        <w:pStyle w:val="Normal"/>
        <w:ind w:firstLine="270"/>
        <w:jc w:val="both"/>
        <w:rPr/>
      </w:pPr>
      <w:r>
        <w:rPr/>
        <w:t>2.5. 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w:t>
      </w:r>
    </w:p>
    <w:p>
      <w:pPr>
        <w:pStyle w:val="Normal"/>
        <w:ind w:firstLine="270"/>
        <w:jc w:val="both"/>
        <w:rPr/>
      </w:pPr>
      <w:r>
        <w:rPr/>
      </w:r>
    </w:p>
    <w:p>
      <w:pPr>
        <w:pStyle w:val="Normal"/>
        <w:ind w:firstLine="225"/>
        <w:jc w:val="both"/>
        <w:rPr/>
      </w:pPr>
      <w:r>
        <w:rPr/>
        <w:t>2.6. Расходы воды на производственные нужды промышленных и сельскохозяйственных предприятий должны определяться на основании технологических данных.</w:t>
      </w:r>
    </w:p>
    <w:p>
      <w:pPr>
        <w:pStyle w:val="Normal"/>
        <w:ind w:firstLine="135"/>
        <w:jc w:val="both"/>
        <w:rPr/>
      </w:pPr>
      <w:r>
        <w:rPr/>
      </w:r>
    </w:p>
    <w:p>
      <w:pPr>
        <w:pStyle w:val="Normal"/>
        <w:ind w:firstLine="315"/>
        <w:jc w:val="both"/>
        <w:rPr/>
      </w:pPr>
      <w:r>
        <w:rPr/>
        <w:t>2.7. Распределение расходов воды по часам суток в населенных пунктах, на промышленных и сельскохозяйственных предприятиях следует принимать на основании расчетных графиков водопотребления.</w:t>
      </w:r>
    </w:p>
    <w:p>
      <w:pPr>
        <w:pStyle w:val="Normal"/>
        <w:ind w:firstLine="225"/>
        <w:jc w:val="both"/>
        <w:rPr/>
      </w:pPr>
      <w:r>
        <w:rPr/>
      </w:r>
    </w:p>
    <w:p>
      <w:pPr>
        <w:pStyle w:val="Normal"/>
        <w:ind w:firstLine="270"/>
        <w:jc w:val="both"/>
        <w:rPr/>
      </w:pPr>
      <w:r>
        <w:rPr/>
        <w:t>2.8. При построении расчетных графиков следует исходить из принимаемых в проекте технических решений, исключающих совпадение по времени максимальных отборов воды из сети на различные нужды (устройство на крупных промышленных предприятиях регулирующих емкостей, пополняемых по заданному графику, подача воды на поливку территории и на заполнение поливочных машин из специальных регулирующих емкостей или через устройства, прекращающие подачу воды при снижении свободного напора до заданного предела, и т.п.).</w:t>
      </w:r>
    </w:p>
    <w:p>
      <w:pPr>
        <w:pStyle w:val="Normal"/>
        <w:ind w:firstLine="225"/>
        <w:jc w:val="both"/>
        <w:rPr/>
      </w:pPr>
      <w:r>
        <w:rPr/>
      </w:r>
    </w:p>
    <w:p>
      <w:pPr>
        <w:pStyle w:val="Normal"/>
        <w:ind w:firstLine="270"/>
        <w:jc w:val="both"/>
        <w:rPr/>
      </w:pPr>
      <w:r>
        <w:rPr/>
        <w:t xml:space="preserve">Расчетные графики отборов воды на различные нужды, производимых из сети без указанного контроля, должны приниматься совпадающими по времени с графиками хозяйственно-питьевого водопотребления. </w:t>
      </w:r>
    </w:p>
    <w:p>
      <w:pPr>
        <w:pStyle w:val="Normal"/>
        <w:ind w:firstLine="270"/>
        <w:jc w:val="both"/>
        <w:rPr/>
      </w:pPr>
      <w:r>
        <w:rPr/>
      </w:r>
    </w:p>
    <w:p>
      <w:pPr>
        <w:pStyle w:val="Normal"/>
        <w:ind w:firstLine="225"/>
        <w:jc w:val="both"/>
        <w:rPr/>
      </w:pPr>
      <w:r>
        <w:rPr/>
        <w:t xml:space="preserve">2.9. Удельное водопотребление для определения расчетных расходов воды в отдельных жилых и общественных зданиях при необходимости учета сосредоточенных расходов следует принимать в соответствии с требованиями </w:t>
      </w:r>
      <w:r>
        <w:rPr>
          <w:vanish/>
        </w:rPr>
        <w:t>#M12293 0 5200243 3704477087 78 23944 2465715557 2685059051 3363248087 4294967268 584910322</w:t>
      </w:r>
      <w:r>
        <w:rPr/>
        <w:t>СНиП 2.04.01-85</w:t>
      </w:r>
      <w:r>
        <w:rPr>
          <w:vanish/>
        </w:rPr>
        <w:t>#S</w:t>
      </w:r>
      <w:r>
        <w:rPr/>
        <w:t>.</w:t>
      </w:r>
    </w:p>
    <w:p>
      <w:pPr>
        <w:pStyle w:val="Normal"/>
        <w:ind w:firstLine="225"/>
        <w:jc w:val="both"/>
        <w:rPr/>
      </w:pPr>
      <w:r>
        <w:rPr/>
      </w:r>
    </w:p>
    <w:p>
      <w:pPr>
        <w:pStyle w:val="Normal"/>
        <w:ind w:firstLine="225"/>
        <w:jc w:val="both"/>
        <w:rPr/>
      </w:pPr>
      <w:r>
        <w:rPr/>
        <w:t>2.10. При разработке разделов водоснабжения схем использования вод, районной планировки и генеральных планов, указанных в п. 1.1, удельное среднесуточное (за год) водопотребление допускается принимать по табл. 4.</w:t>
      </w:r>
    </w:p>
    <w:p>
      <w:pPr>
        <w:pStyle w:val="Normal"/>
        <w:ind w:firstLine="270"/>
        <w:jc w:val="both"/>
        <w:rPr/>
      </w:pPr>
      <w:r>
        <w:rPr/>
      </w:r>
    </w:p>
    <w:p>
      <w:pPr>
        <w:pStyle w:val="Normal"/>
        <w:ind w:firstLine="225"/>
        <w:jc w:val="both"/>
        <w:rPr/>
      </w:pPr>
      <w:r>
        <w:rPr/>
        <w:t>Потребление воды на нужды промышленных и сельскохозяйственных предприятий должно определяться на основании укрупненных норм, а при их отсутствии - проектов-аналогов.</w:t>
      </w:r>
    </w:p>
    <w:p>
      <w:pPr>
        <w:pStyle w:val="Normal"/>
        <w:ind w:firstLine="270"/>
        <w:jc w:val="both"/>
        <w:rPr/>
      </w:pPr>
      <w:r>
        <w:rPr/>
      </w:r>
    </w:p>
    <w:p>
      <w:pPr>
        <w:pStyle w:val="Normal"/>
        <w:jc w:val="end"/>
        <w:rPr/>
      </w:pPr>
      <w:r>
        <w:rPr/>
        <w:t xml:space="preserve">Таблица 4 </w:t>
      </w:r>
    </w:p>
    <w:p>
      <w:pPr>
        <w:pStyle w:val="Normal"/>
        <w:ind w:firstLine="270"/>
        <w:jc w:val="both"/>
        <w:rPr/>
      </w:pPr>
      <w:r>
        <w:rPr/>
      </w:r>
    </w:p>
    <w:p>
      <w:pPr>
        <w:pStyle w:val="Normal"/>
        <w:ind w:firstLine="270"/>
        <w:jc w:val="both"/>
        <w:rPr/>
      </w:pPr>
      <w:r>
        <w:rPr/>
      </w:r>
    </w:p>
    <w:tbl>
      <w:tblPr>
        <w:tblW w:w="6350"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3225"/>
        <w:gridCol w:w="1560"/>
        <w:gridCol w:w="1565"/>
      </w:tblGrid>
      <w:tr>
        <w:trPr/>
        <w:tc>
          <w:tcPr>
            <w:tcW w:w="3225" w:type="dxa"/>
            <w:tcBorders>
              <w:top w:val="single" w:sz="2" w:space="0" w:color="000000"/>
              <w:start w:val="single" w:sz="2" w:space="0" w:color="000000"/>
            </w:tcBorders>
            <w:shd w:fill="auto" w:val="clear"/>
            <w:tcMar>
              <w:start w:w="42" w:type="dxa"/>
            </w:tcMar>
          </w:tcPr>
          <w:p>
            <w:pPr>
              <w:pStyle w:val="Normal"/>
              <w:jc w:val="center"/>
              <w:rPr>
                <w:vanish/>
              </w:rPr>
            </w:pPr>
            <w:r>
              <w:rPr>
                <w:vanish/>
              </w:rPr>
              <w:t>#G0</w:t>
            </w:r>
          </w:p>
          <w:p>
            <w:pPr>
              <w:pStyle w:val="Normal"/>
              <w:jc w:val="center"/>
              <w:rPr/>
            </w:pPr>
            <w:r>
              <w:rPr/>
              <w:t xml:space="preserve">Водопотребитель </w:t>
            </w:r>
          </w:p>
          <w:p>
            <w:pPr>
              <w:pStyle w:val="Normal"/>
              <w:jc w:val="center"/>
              <w:rPr/>
            </w:pPr>
            <w:r>
              <w:rPr/>
            </w:r>
          </w:p>
        </w:tc>
        <w:tc>
          <w:tcPr>
            <w:tcW w:w="3125" w:type="dxa"/>
            <w:gridSpan w:val="2"/>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Удельное среднесуточное (за год) водопотребление на одного жителя в населенных пунктах, л/сут </w:t>
            </w:r>
          </w:p>
          <w:p>
            <w:pPr>
              <w:pStyle w:val="Normal"/>
              <w:rPr/>
            </w:pPr>
            <w:r>
              <w:rPr/>
            </w:r>
          </w:p>
        </w:tc>
      </w:tr>
      <w:tr>
        <w:trPr/>
        <w:tc>
          <w:tcPr>
            <w:tcW w:w="322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p>
          <w:p>
            <w:pPr>
              <w:pStyle w:val="Normal"/>
              <w:rPr/>
            </w:pPr>
            <w:r>
              <w:rPr/>
            </w:r>
          </w:p>
        </w:tc>
        <w:tc>
          <w:tcPr>
            <w:tcW w:w="1560" w:type="dxa"/>
            <w:tcBorders>
              <w:top w:val="single" w:sz="2" w:space="0" w:color="000000"/>
              <w:start w:val="single" w:sz="2" w:space="0" w:color="000000"/>
            </w:tcBorders>
            <w:shd w:fill="auto" w:val="clear"/>
            <w:tcMar>
              <w:start w:w="42" w:type="dxa"/>
            </w:tcMar>
          </w:tcPr>
          <w:p>
            <w:pPr>
              <w:pStyle w:val="Normal"/>
              <w:jc w:val="center"/>
              <w:rPr/>
            </w:pPr>
            <w:r>
              <w:rPr/>
              <w:t>до 1990 г.</w:t>
            </w:r>
          </w:p>
          <w:p>
            <w:pPr>
              <w:pStyle w:val="Normal"/>
              <w:jc w:val="center"/>
              <w:rPr/>
            </w:pPr>
            <w:r>
              <w:rPr/>
            </w:r>
          </w:p>
        </w:tc>
        <w:tc>
          <w:tcPr>
            <w:tcW w:w="156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До 2000 г.</w:t>
            </w:r>
          </w:p>
          <w:p>
            <w:pPr>
              <w:pStyle w:val="Normal"/>
              <w:rPr/>
            </w:pPr>
            <w:r>
              <w:rPr/>
            </w:r>
          </w:p>
        </w:tc>
      </w:tr>
      <w:tr>
        <w:trPr/>
        <w:tc>
          <w:tcPr>
            <w:tcW w:w="3225" w:type="dxa"/>
            <w:tcBorders>
              <w:start w:val="single" w:sz="2" w:space="0" w:color="000000"/>
            </w:tcBorders>
            <w:shd w:fill="auto" w:val="clear"/>
            <w:tcMar>
              <w:start w:w="42" w:type="dxa"/>
            </w:tcMar>
          </w:tcPr>
          <w:p>
            <w:pPr>
              <w:pStyle w:val="Normal"/>
              <w:ind w:firstLine="90"/>
              <w:jc w:val="both"/>
              <w:rPr/>
            </w:pPr>
            <w:r>
              <w:rPr/>
              <w:t xml:space="preserve">Города </w:t>
            </w:r>
          </w:p>
          <w:p>
            <w:pPr>
              <w:pStyle w:val="Normal"/>
              <w:ind w:firstLine="90"/>
              <w:jc w:val="both"/>
              <w:rPr/>
            </w:pPr>
            <w:r>
              <w:rPr/>
            </w:r>
          </w:p>
        </w:tc>
        <w:tc>
          <w:tcPr>
            <w:tcW w:w="1560" w:type="dxa"/>
            <w:tcBorders>
              <w:top w:val="single" w:sz="2" w:space="0" w:color="000000"/>
              <w:start w:val="single" w:sz="2" w:space="0" w:color="000000"/>
            </w:tcBorders>
            <w:shd w:fill="auto" w:val="clear"/>
            <w:tcMar>
              <w:start w:w="42" w:type="dxa"/>
            </w:tcMar>
          </w:tcPr>
          <w:p>
            <w:pPr>
              <w:pStyle w:val="Normal"/>
              <w:jc w:val="center"/>
              <w:rPr/>
            </w:pPr>
            <w:r>
              <w:rPr/>
              <w:t xml:space="preserve">550 </w:t>
            </w:r>
          </w:p>
          <w:p>
            <w:pPr>
              <w:pStyle w:val="Normal"/>
              <w:jc w:val="center"/>
              <w:rPr/>
            </w:pPr>
            <w:r>
              <w:rPr/>
            </w:r>
          </w:p>
        </w:tc>
        <w:tc>
          <w:tcPr>
            <w:tcW w:w="1565"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600 </w:t>
            </w:r>
          </w:p>
          <w:p>
            <w:pPr>
              <w:pStyle w:val="Normal"/>
              <w:rPr/>
            </w:pPr>
            <w:r>
              <w:rPr/>
            </w:r>
          </w:p>
        </w:tc>
      </w:tr>
      <w:tr>
        <w:trPr/>
        <w:tc>
          <w:tcPr>
            <w:tcW w:w="3225" w:type="dxa"/>
            <w:tcBorders>
              <w:start w:val="single" w:sz="2" w:space="0" w:color="000000"/>
              <w:bottom w:val="single" w:sz="2" w:space="0" w:color="000000"/>
              <w:insideH w:val="single" w:sz="2" w:space="0" w:color="000000"/>
            </w:tcBorders>
            <w:shd w:fill="auto" w:val="clear"/>
            <w:tcMar>
              <w:start w:w="42" w:type="dxa"/>
            </w:tcMar>
          </w:tcPr>
          <w:p>
            <w:pPr>
              <w:pStyle w:val="Normal"/>
              <w:ind w:firstLine="90"/>
              <w:jc w:val="both"/>
              <w:rPr/>
            </w:pPr>
            <w:r>
              <w:rPr/>
              <w:t xml:space="preserve">Сельские населенные пункты </w:t>
            </w:r>
          </w:p>
          <w:p>
            <w:pPr>
              <w:pStyle w:val="Normal"/>
              <w:ind w:firstLine="90"/>
              <w:jc w:val="both"/>
              <w:rPr/>
            </w:pPr>
            <w:r>
              <w:rPr/>
            </w:r>
          </w:p>
        </w:tc>
        <w:tc>
          <w:tcPr>
            <w:tcW w:w="1560"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125 </w:t>
            </w:r>
          </w:p>
          <w:p>
            <w:pPr>
              <w:pStyle w:val="Normal"/>
              <w:jc w:val="center"/>
              <w:rPr/>
            </w:pPr>
            <w:r>
              <w:rPr/>
            </w:r>
          </w:p>
        </w:tc>
        <w:tc>
          <w:tcPr>
            <w:tcW w:w="156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150 </w:t>
            </w:r>
          </w:p>
          <w:p>
            <w:pPr>
              <w:pStyle w:val="Normal"/>
              <w:rPr/>
            </w:pPr>
            <w:r>
              <w:rPr/>
            </w:r>
          </w:p>
        </w:tc>
      </w:tr>
    </w:tbl>
    <w:p>
      <w:pPr>
        <w:pStyle w:val="Normal"/>
        <w:jc w:val="both"/>
        <w:rPr/>
      </w:pPr>
      <w:r>
        <w:rPr/>
      </w:r>
    </w:p>
    <w:p>
      <w:pPr>
        <w:pStyle w:val="Normal"/>
        <w:ind w:firstLine="270"/>
        <w:jc w:val="both"/>
        <w:rPr/>
      </w:pPr>
      <w:r>
        <w:rPr/>
        <w:t>Примечания: 1. Удельное водопотребление включает расходы воды на хозяйственно-питьевые нужды в жилых и общественных зданиях, нужды местной промышленности, поливку улиц и зеленых насаждений.</w:t>
      </w:r>
    </w:p>
    <w:p>
      <w:pPr>
        <w:pStyle w:val="Normal"/>
        <w:ind w:firstLine="270"/>
        <w:jc w:val="both"/>
        <w:rPr/>
      </w:pPr>
      <w:r>
        <w:rPr/>
      </w:r>
    </w:p>
    <w:p>
      <w:pPr>
        <w:pStyle w:val="Normal"/>
        <w:ind w:firstLine="225"/>
        <w:jc w:val="both"/>
        <w:rPr/>
      </w:pPr>
      <w:r>
        <w:rPr/>
        <w:t>2. Удельное водопотребление допускается изменять на  ± 10-20% в зависимости от климатических и других местных условий и степени благоустройства.</w:t>
      </w:r>
    </w:p>
    <w:p>
      <w:pPr>
        <w:pStyle w:val="Normal"/>
        <w:ind w:firstLine="225"/>
        <w:jc w:val="both"/>
        <w:rPr/>
      </w:pPr>
      <w:r>
        <w:rPr/>
      </w:r>
    </w:p>
    <w:p>
      <w:pPr>
        <w:pStyle w:val="Normal"/>
        <w:ind w:firstLine="225"/>
        <w:jc w:val="both"/>
        <w:rPr/>
      </w:pPr>
      <w:r>
        <w:rPr/>
        <w:t>3. Для южных районов в водохозяйственном балансе следует учитывать дополнительный расход воды на поливку зеленых насаждений и приусадебных участков из арычной сети.</w:t>
      </w:r>
    </w:p>
    <w:p>
      <w:pPr>
        <w:pStyle w:val="Normal"/>
        <w:ind w:firstLine="225"/>
        <w:jc w:val="both"/>
        <w:rPr/>
      </w:pPr>
      <w:r>
        <w:rPr/>
      </w:r>
    </w:p>
    <w:p>
      <w:pPr>
        <w:pStyle w:val="Normal"/>
        <w:ind w:firstLine="270"/>
        <w:jc w:val="both"/>
        <w:rPr/>
      </w:pPr>
      <w:r>
        <w:rPr/>
        <w:t>4. При отсутствии данных о развитии промышленности допускается принимать дополнительный расход воды на нужды предприятий, забирающих воду из сетей хозяйственно-питьевого водопровода населенного пункта, в размере до 25 % расхода воды, определенного по удельному водопотреблению, приведенному в табл. 4.</w:t>
      </w:r>
    </w:p>
    <w:p>
      <w:pPr>
        <w:pStyle w:val="Normal"/>
        <w:ind w:firstLine="270"/>
        <w:jc w:val="both"/>
        <w:rPr/>
      </w:pPr>
      <w:r>
        <w:rPr/>
      </w:r>
    </w:p>
    <w:p>
      <w:pPr>
        <w:pStyle w:val="Normal"/>
        <w:ind w:firstLine="225"/>
        <w:jc w:val="both"/>
        <w:rPr/>
      </w:pPr>
      <w:r>
        <w:rPr/>
      </w:r>
    </w:p>
    <w:p>
      <w:pPr>
        <w:pStyle w:val="Heading"/>
        <w:jc w:val="center"/>
        <w:rPr/>
      </w:pPr>
      <w:r>
        <w:rPr/>
        <w:t>РАСХОД ВОДЫ НА ПОЖАРОТУШЕНИЕ</w:t>
      </w:r>
    </w:p>
    <w:p>
      <w:pPr>
        <w:pStyle w:val="Heading"/>
        <w:jc w:val="center"/>
        <w:rPr/>
      </w:pPr>
      <w:r>
        <w:rPr/>
      </w:r>
    </w:p>
    <w:p>
      <w:pPr>
        <w:pStyle w:val="Normal"/>
        <w:ind w:firstLine="270"/>
        <w:jc w:val="both"/>
        <w:rPr/>
      </w:pPr>
      <w:r>
        <w:rPr/>
      </w:r>
    </w:p>
    <w:p>
      <w:pPr>
        <w:pStyle w:val="Normal"/>
        <w:ind w:firstLine="270"/>
        <w:jc w:val="both"/>
        <w:rPr/>
      </w:pPr>
      <w:r>
        <w:rPr/>
        <w:t>2.11. Противопожарный водопровод должен предусматриваться в населенных пунктах, на объектах народного хозяйства и, как правило, объединяться с хозяйственно-питьевым или производственным водопроводом.</w:t>
      </w:r>
    </w:p>
    <w:p>
      <w:pPr>
        <w:pStyle w:val="Normal"/>
        <w:ind w:firstLine="270"/>
        <w:jc w:val="both"/>
        <w:rPr/>
      </w:pPr>
      <w:r>
        <w:rPr/>
      </w:r>
    </w:p>
    <w:p>
      <w:pPr>
        <w:pStyle w:val="Normal"/>
        <w:ind w:firstLine="270"/>
        <w:jc w:val="both"/>
        <w:rPr/>
      </w:pPr>
      <w:r>
        <w:rPr/>
        <w:t xml:space="preserve">Примечания*: 1. Допускается принимать наружное противопожарное водоснабжение из емкостей (резервуаров, водоемов) с учетом требований пп. 9.27-9.33 для: </w:t>
      </w:r>
    </w:p>
    <w:p>
      <w:pPr>
        <w:pStyle w:val="Normal"/>
        <w:ind w:firstLine="270"/>
        <w:jc w:val="both"/>
        <w:rPr/>
      </w:pPr>
      <w:r>
        <w:rPr/>
      </w:r>
    </w:p>
    <w:p>
      <w:pPr>
        <w:pStyle w:val="Normal"/>
        <w:ind w:firstLine="225"/>
        <w:jc w:val="both"/>
        <w:rPr/>
      </w:pPr>
      <w:r>
        <w:rPr/>
        <w:t xml:space="preserve">населенных пунктов с числом жителей до 5 тыс. чел.; </w:t>
      </w:r>
    </w:p>
    <w:p>
      <w:pPr>
        <w:pStyle w:val="Normal"/>
        <w:ind w:firstLine="225"/>
        <w:jc w:val="both"/>
        <w:rPr/>
      </w:pPr>
      <w:r>
        <w:rPr/>
      </w:r>
    </w:p>
    <w:p>
      <w:pPr>
        <w:pStyle w:val="Normal"/>
        <w:ind w:firstLine="225"/>
        <w:jc w:val="both"/>
        <w:rPr/>
      </w:pPr>
      <w:r>
        <w:rPr/>
        <w:t>отдельно стоящих общественных зданий объемом до 1000 куб.м, расположенных в населенных пунктах, не имеющих кольцевого противопожарного водопровода;</w:t>
      </w:r>
    </w:p>
    <w:p>
      <w:pPr>
        <w:pStyle w:val="Normal"/>
        <w:ind w:firstLine="225"/>
        <w:jc w:val="both"/>
        <w:rPr/>
      </w:pPr>
      <w:r>
        <w:rPr/>
      </w:r>
    </w:p>
    <w:p>
      <w:pPr>
        <w:pStyle w:val="Normal"/>
        <w:ind w:firstLine="225"/>
        <w:jc w:val="both"/>
        <w:rPr/>
      </w:pPr>
      <w:r>
        <w:rPr/>
        <w:t>зданий объемом св. 1000 куб.м - по согласованию с территориальными органами Государственного пожарного надзора;</w:t>
      </w:r>
    </w:p>
    <w:p>
      <w:pPr>
        <w:pStyle w:val="Normal"/>
        <w:ind w:firstLine="225"/>
        <w:jc w:val="both"/>
        <w:rPr/>
      </w:pPr>
      <w:r>
        <w:rPr/>
      </w:r>
    </w:p>
    <w:p>
      <w:pPr>
        <w:pStyle w:val="Normal"/>
        <w:ind w:firstLine="225"/>
        <w:jc w:val="both"/>
        <w:rPr/>
      </w:pPr>
      <w:r>
        <w:rPr/>
        <w:t>производственных зданий с производствами категорий В, Г и Д при расходе воды на наружное пожаротушение 10 л/с;</w:t>
      </w:r>
    </w:p>
    <w:p>
      <w:pPr>
        <w:pStyle w:val="Normal"/>
        <w:ind w:firstLine="225"/>
        <w:jc w:val="both"/>
        <w:rPr/>
      </w:pPr>
      <w:r>
        <w:rPr/>
      </w:r>
    </w:p>
    <w:p>
      <w:pPr>
        <w:pStyle w:val="Normal"/>
        <w:ind w:firstLine="225"/>
        <w:jc w:val="both"/>
        <w:rPr/>
      </w:pPr>
      <w:r>
        <w:rPr/>
        <w:t xml:space="preserve">складов грубых кормов объемом до 1000 куб.м; </w:t>
      </w:r>
    </w:p>
    <w:p>
      <w:pPr>
        <w:pStyle w:val="Normal"/>
        <w:ind w:firstLine="225"/>
        <w:jc w:val="both"/>
        <w:rPr/>
      </w:pPr>
      <w:r>
        <w:rPr/>
      </w:r>
    </w:p>
    <w:p>
      <w:pPr>
        <w:pStyle w:val="Normal"/>
        <w:ind w:firstLine="225"/>
        <w:jc w:val="both"/>
        <w:rPr/>
      </w:pPr>
      <w:r>
        <w:rPr/>
        <w:t>складов минеральных удобрений объемом зданий до 5000 куб.м;</w:t>
      </w:r>
    </w:p>
    <w:p>
      <w:pPr>
        <w:pStyle w:val="Normal"/>
        <w:ind w:firstLine="225"/>
        <w:jc w:val="both"/>
        <w:rPr/>
      </w:pPr>
      <w:r>
        <w:rPr/>
      </w:r>
    </w:p>
    <w:p>
      <w:pPr>
        <w:pStyle w:val="Normal"/>
        <w:ind w:firstLine="225"/>
        <w:jc w:val="both"/>
        <w:rPr/>
      </w:pPr>
      <w:r>
        <w:rPr/>
        <w:t xml:space="preserve">зданий радиотелевизионных передающих станций; </w:t>
      </w:r>
    </w:p>
    <w:p>
      <w:pPr>
        <w:pStyle w:val="Normal"/>
        <w:ind w:firstLine="225"/>
        <w:jc w:val="both"/>
        <w:rPr/>
      </w:pPr>
      <w:r>
        <w:rPr/>
      </w:r>
    </w:p>
    <w:p>
      <w:pPr>
        <w:pStyle w:val="Normal"/>
        <w:ind w:firstLine="225"/>
        <w:jc w:val="both"/>
        <w:rPr/>
      </w:pPr>
      <w:r>
        <w:rPr/>
        <w:t xml:space="preserve">зданий холодильников и хранилищ овощей и фруктов. </w:t>
      </w:r>
    </w:p>
    <w:p>
      <w:pPr>
        <w:pStyle w:val="Normal"/>
        <w:ind w:firstLine="225"/>
        <w:jc w:val="both"/>
        <w:rPr/>
      </w:pPr>
      <w:r>
        <w:rPr/>
      </w:r>
    </w:p>
    <w:p>
      <w:pPr>
        <w:pStyle w:val="Normal"/>
        <w:ind w:firstLine="225"/>
        <w:jc w:val="both"/>
        <w:rPr/>
      </w:pPr>
      <w:r>
        <w:rPr/>
        <w:t>2. Допускается не предусматривать противопожарное водоснабжение:</w:t>
      </w:r>
    </w:p>
    <w:p>
      <w:pPr>
        <w:pStyle w:val="Normal"/>
        <w:ind w:firstLine="225"/>
        <w:jc w:val="both"/>
        <w:rPr/>
      </w:pPr>
      <w:r>
        <w:rPr/>
      </w:r>
    </w:p>
    <w:p>
      <w:pPr>
        <w:pStyle w:val="Normal"/>
        <w:ind w:firstLine="270"/>
        <w:jc w:val="both"/>
        <w:rPr/>
      </w:pPr>
      <w:r>
        <w:rPr/>
        <w:t>населенных пунктов с числом жителей до 50 чел. при застройке зданиями высотой до двух этажей;</w:t>
      </w:r>
    </w:p>
    <w:p>
      <w:pPr>
        <w:pStyle w:val="Normal"/>
        <w:ind w:firstLine="225"/>
        <w:jc w:val="both"/>
        <w:rPr/>
      </w:pPr>
      <w:r>
        <w:rPr/>
      </w:r>
    </w:p>
    <w:p>
      <w:pPr>
        <w:pStyle w:val="Normal"/>
        <w:ind w:firstLine="270"/>
        <w:jc w:val="both"/>
        <w:rPr/>
      </w:pPr>
      <w:r>
        <w:rPr/>
        <w:t>отдельно стоящих, расположенных вне населенных пунктов, предприятий общественного питания (столовые, закусочные, кафе и т.п.) при объеме зданий до 1000 куб.м и предприятий торговли при площади до 150 кв.м (за исключением промтоварных магазинов), а также общественных зданий I и II степеней огнестойкости объемом до 250 куб.м, расположенных в населенных пунктах;</w:t>
      </w:r>
    </w:p>
    <w:p>
      <w:pPr>
        <w:pStyle w:val="Normal"/>
        <w:ind w:firstLine="225"/>
        <w:jc w:val="both"/>
        <w:rPr/>
      </w:pPr>
      <w:r>
        <w:rPr/>
      </w:r>
    </w:p>
    <w:p>
      <w:pPr>
        <w:pStyle w:val="Normal"/>
        <w:ind w:firstLine="270"/>
        <w:jc w:val="both"/>
        <w:rPr/>
      </w:pPr>
      <w:r>
        <w:rPr/>
        <w:t>производственных зданий I и II степеней огнестойкости объемом до 1000 куб.м (за исключением зданий с металлическими незащищенными или деревянными несущими конструкциями, а также с полимерным утеплителем объемом до 250 куб.м) с производствами категории Д;</w:t>
      </w:r>
    </w:p>
    <w:p>
      <w:pPr>
        <w:pStyle w:val="Normal"/>
        <w:ind w:firstLine="270"/>
        <w:jc w:val="both"/>
        <w:rPr/>
      </w:pPr>
      <w:r>
        <w:rPr/>
      </w:r>
    </w:p>
    <w:p>
      <w:pPr>
        <w:pStyle w:val="Normal"/>
        <w:ind w:firstLine="225"/>
        <w:jc w:val="both"/>
        <w:rPr/>
      </w:pPr>
      <w:r>
        <w:rPr/>
        <w:t>заводов по изготовлению железобетонных изделий и товарного бетона со зданиями I и II степеней огнестойкости, размещаемых в населенных пунктах, оборудованных сетями водопровода при условии размещения гидрантов на расстоянии не более 200 м от наиболее удаленного здания завода;</w:t>
      </w:r>
    </w:p>
    <w:p>
      <w:pPr>
        <w:pStyle w:val="Normal"/>
        <w:ind w:firstLine="225"/>
        <w:jc w:val="both"/>
        <w:rPr/>
      </w:pPr>
      <w:r>
        <w:rPr/>
      </w:r>
    </w:p>
    <w:p>
      <w:pPr>
        <w:pStyle w:val="Normal"/>
        <w:ind w:firstLine="225"/>
        <w:jc w:val="both"/>
        <w:rPr/>
      </w:pPr>
      <w:r>
        <w:rPr/>
        <w:t>сезонных универсальных приемозаготовительных пунктов сельскохозяйственных продуктов при объеме зданий до 1000 куб.м;</w:t>
      </w:r>
    </w:p>
    <w:p>
      <w:pPr>
        <w:pStyle w:val="Normal"/>
        <w:ind w:firstLine="225"/>
        <w:jc w:val="both"/>
        <w:rPr/>
      </w:pPr>
      <w:r>
        <w:rPr/>
      </w:r>
    </w:p>
    <w:p>
      <w:pPr>
        <w:pStyle w:val="Normal"/>
        <w:ind w:firstLine="225"/>
        <w:jc w:val="both"/>
        <w:rPr/>
      </w:pPr>
      <w:r>
        <w:rPr/>
        <w:t>зданий складов сгораемых материалов и несгораемых материалов в сгораемой упаковке площадью до 50 кв.м.</w:t>
      </w:r>
    </w:p>
    <w:p>
      <w:pPr>
        <w:pStyle w:val="Normal"/>
        <w:ind w:firstLine="270"/>
        <w:jc w:val="both"/>
        <w:rPr/>
      </w:pPr>
      <w:r>
        <w:rPr/>
      </w:r>
    </w:p>
    <w:p>
      <w:pPr>
        <w:pStyle w:val="Normal"/>
        <w:ind w:firstLine="225"/>
        <w:jc w:val="both"/>
        <w:rPr/>
      </w:pPr>
      <w:r>
        <w:rPr/>
        <w:t>2.12. Расход воды на наружное пожаротушение (на один пожар) и количество одновременных пожаров в населенном пункте для расчета магистральных (расчетных кольцевых) линий водопроводной сети должны приниматься по табл. 5.</w:t>
      </w:r>
    </w:p>
    <w:p>
      <w:pPr>
        <w:pStyle w:val="Normal"/>
        <w:ind w:firstLine="225"/>
        <w:jc w:val="both"/>
        <w:rPr/>
      </w:pPr>
      <w:r>
        <w:rPr/>
      </w:r>
    </w:p>
    <w:p>
      <w:pPr>
        <w:pStyle w:val="Normal"/>
        <w:ind w:firstLine="225"/>
        <w:jc w:val="both"/>
        <w:rPr/>
      </w:pPr>
      <w:r>
        <w:rPr/>
        <w:t>2.13. Расход воды на наружное пожаротушение (на один пожар) жилых и общественных зданий для расчета соединительных и распределительных линий водопроводной сети, а также водопроводной сети внутри микрорайона или квартала следует принимать для здания, требующего наибольшего расхода воды, по табл. 6.</w:t>
      </w:r>
    </w:p>
    <w:p>
      <w:pPr>
        <w:pStyle w:val="Normal"/>
        <w:ind w:firstLine="225"/>
        <w:jc w:val="both"/>
        <w:rPr/>
      </w:pPr>
      <w:r>
        <w:rPr/>
      </w:r>
    </w:p>
    <w:p>
      <w:pPr>
        <w:pStyle w:val="Normal"/>
        <w:ind w:firstLine="270"/>
        <w:jc w:val="both"/>
        <w:rPr/>
      </w:pPr>
      <w:r>
        <w:rPr/>
        <w:t>2.14. Расход воды на наружное пожаротушение на промышленных и сельскохозяйственных предприятиях на один пожар должен приниматься для здания, требующего наибольшего расхода воды, согласно табл. 7 или 8.</w:t>
      </w:r>
    </w:p>
    <w:p>
      <w:pPr>
        <w:pStyle w:val="Normal"/>
        <w:ind w:firstLine="225"/>
        <w:jc w:val="both"/>
        <w:rPr/>
      </w:pPr>
      <w:r>
        <w:rPr/>
      </w:r>
    </w:p>
    <w:p>
      <w:pPr>
        <w:pStyle w:val="Normal"/>
        <w:ind w:firstLine="270"/>
        <w:jc w:val="both"/>
        <w:rPr/>
      </w:pPr>
      <w:r>
        <w:rPr/>
        <w:t>2.15. Расход воды на наружное пожаротушение зданий, разделенных на части противопожарными стенами, надлежит принимать по той части здания, где требуется наибольший расход воды.</w:t>
      </w:r>
    </w:p>
    <w:p>
      <w:pPr>
        <w:pStyle w:val="Normal"/>
        <w:ind w:firstLine="225"/>
        <w:jc w:val="both"/>
        <w:rPr/>
      </w:pPr>
      <w:r>
        <w:rPr/>
      </w:r>
    </w:p>
    <w:p>
      <w:pPr>
        <w:pStyle w:val="Normal"/>
        <w:ind w:firstLine="270"/>
        <w:jc w:val="both"/>
        <w:rPr/>
      </w:pPr>
      <w:r>
        <w:rPr/>
        <w:t>Расход воды на наружное пожаротушение зданий, разделенных противопожарными перегородками, следует определять по общему объему здания и более высокой категории производства по пожарной опасности.</w:t>
      </w:r>
    </w:p>
    <w:p>
      <w:pPr>
        <w:pStyle w:val="Normal"/>
        <w:ind w:firstLine="225"/>
        <w:jc w:val="both"/>
        <w:rPr/>
      </w:pPr>
      <w:r>
        <w:rPr/>
      </w:r>
    </w:p>
    <w:p>
      <w:pPr>
        <w:pStyle w:val="Normal"/>
        <w:ind w:firstLine="270"/>
        <w:jc w:val="both"/>
        <w:rPr/>
      </w:pPr>
      <w:r>
        <w:rPr/>
        <w:t>2.16. Расход воды на наружное пожаротушение одно-, двухэтажных производственных и одноэтажных складских зданий высотой (от пола до низа горизонтальных несущих конструкций на опоре) не более 18 м с несущими стальными конструкциями (с пределом огнестойкости не менее 0,25 ч) и ограждающими конструкциями (стены и покрытия) из стальных профилированных или асбестоцементных листов со сгораемыми или полимерными утеплителями необходимо принимать на 10 л/с более указанных в табл. 7 и 8.</w:t>
      </w:r>
    </w:p>
    <w:p>
      <w:pPr>
        <w:pStyle w:val="Normal"/>
        <w:ind w:firstLine="270"/>
        <w:jc w:val="both"/>
        <w:rPr/>
      </w:pPr>
      <w:r>
        <w:rPr/>
      </w:r>
    </w:p>
    <w:p>
      <w:pPr>
        <w:pStyle w:val="Normal"/>
        <w:jc w:val="end"/>
        <w:rPr/>
      </w:pPr>
      <w:r>
        <w:rPr/>
        <w:t xml:space="preserve">Таблица 5 </w:t>
      </w:r>
    </w:p>
    <w:p>
      <w:pPr>
        <w:pStyle w:val="Normal"/>
        <w:ind w:firstLine="270"/>
        <w:jc w:val="both"/>
        <w:rPr/>
      </w:pPr>
      <w:r>
        <w:rPr/>
      </w:r>
    </w:p>
    <w:p>
      <w:pPr>
        <w:pStyle w:val="Normal"/>
        <w:ind w:firstLine="270"/>
        <w:jc w:val="both"/>
        <w:rPr/>
      </w:pPr>
      <w:r>
        <w:rPr/>
      </w:r>
    </w:p>
    <w:tbl>
      <w:tblPr>
        <w:tblW w:w="6530" w:type="dxa"/>
        <w:jc w:val="start"/>
        <w:tblInd w:w="30" w:type="dxa"/>
        <w:tblBorders>
          <w:top w:val="single" w:sz="2" w:space="0" w:color="000000"/>
          <w:start w:val="single" w:sz="2" w:space="0" w:color="000000"/>
        </w:tblBorders>
        <w:tblCellMar>
          <w:top w:w="0" w:type="dxa"/>
          <w:start w:w="27" w:type="dxa"/>
          <w:bottom w:w="0" w:type="dxa"/>
          <w:end w:w="30" w:type="dxa"/>
        </w:tblCellMar>
      </w:tblPr>
      <w:tblGrid>
        <w:gridCol w:w="2085"/>
        <w:gridCol w:w="1440"/>
        <w:gridCol w:w="1500"/>
        <w:gridCol w:w="1505"/>
      </w:tblGrid>
      <w:tr>
        <w:trPr/>
        <w:tc>
          <w:tcPr>
            <w:tcW w:w="2085" w:type="dxa"/>
            <w:tcBorders>
              <w:top w:val="single" w:sz="2" w:space="0" w:color="000000"/>
              <w:start w:val="single" w:sz="2" w:space="0" w:color="000000"/>
            </w:tcBorders>
            <w:shd w:fill="auto" w:val="clear"/>
            <w:tcMar>
              <w:start w:w="27" w:type="dxa"/>
            </w:tcMar>
          </w:tcPr>
          <w:p>
            <w:pPr>
              <w:pStyle w:val="Normal"/>
              <w:jc w:val="center"/>
              <w:rPr>
                <w:vanish/>
              </w:rPr>
            </w:pPr>
            <w:r>
              <w:rPr>
                <w:vanish/>
              </w:rPr>
              <w:t>#G0</w:t>
            </w:r>
          </w:p>
          <w:p>
            <w:pPr>
              <w:pStyle w:val="Normal"/>
              <w:jc w:val="center"/>
              <w:rPr/>
            </w:pPr>
            <w:r>
              <w:rPr/>
            </w:r>
          </w:p>
          <w:p>
            <w:pPr>
              <w:pStyle w:val="Normal"/>
              <w:jc w:val="center"/>
              <w:rPr/>
            </w:pPr>
            <w:r>
              <w:rPr/>
              <w:t xml:space="preserve">Число жителей в </w:t>
            </w:r>
          </w:p>
          <w:p>
            <w:pPr>
              <w:pStyle w:val="Normal"/>
              <w:jc w:val="center"/>
              <w:rPr/>
            </w:pPr>
            <w:r>
              <w:rPr/>
            </w:r>
          </w:p>
        </w:tc>
        <w:tc>
          <w:tcPr>
            <w:tcW w:w="1440" w:type="dxa"/>
            <w:tcBorders>
              <w:top w:val="single" w:sz="2" w:space="0" w:color="000000"/>
              <w:start w:val="single" w:sz="2" w:space="0" w:color="000000"/>
            </w:tcBorders>
            <w:shd w:fill="auto" w:val="clear"/>
            <w:tcMar>
              <w:start w:w="27" w:type="dxa"/>
            </w:tcMar>
          </w:tcPr>
          <w:p>
            <w:pPr>
              <w:pStyle w:val="Normal"/>
              <w:rPr/>
            </w:pPr>
            <w:r>
              <w:rPr/>
              <w:t xml:space="preserve"> </w:t>
            </w:r>
          </w:p>
          <w:p>
            <w:pPr>
              <w:pStyle w:val="Normal"/>
              <w:rPr/>
            </w:pPr>
            <w:r>
              <w:rPr/>
              <w:t xml:space="preserve">     </w:t>
            </w:r>
          </w:p>
          <w:p>
            <w:pPr>
              <w:pStyle w:val="Normal"/>
              <w:rPr/>
            </w:pPr>
            <w:r>
              <w:rPr/>
              <w:t xml:space="preserve">      </w:t>
            </w:r>
            <w:r>
              <w:rPr/>
              <w:t xml:space="preserve">Расчетное </w:t>
            </w:r>
          </w:p>
          <w:p>
            <w:pPr>
              <w:pStyle w:val="Normal"/>
              <w:rPr/>
            </w:pPr>
            <w:r>
              <w:rPr/>
            </w:r>
          </w:p>
        </w:tc>
        <w:tc>
          <w:tcPr>
            <w:tcW w:w="3005" w:type="dxa"/>
            <w:gridSpan w:val="2"/>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  </w:t>
            </w:r>
            <w:r>
              <w:rPr/>
              <w:t>Расход воды на наружное пожаротушение в населенном</w:t>
            </w:r>
          </w:p>
          <w:p>
            <w:pPr>
              <w:pStyle w:val="Normal"/>
              <w:rPr/>
            </w:pPr>
            <w:r>
              <w:rPr/>
              <w:t xml:space="preserve">     </w:t>
            </w:r>
            <w:r>
              <w:rPr/>
              <w:t xml:space="preserve">пункте на один пожар, л/с </w:t>
            </w:r>
          </w:p>
          <w:p>
            <w:pPr>
              <w:pStyle w:val="Normal"/>
              <w:rPr/>
            </w:pPr>
            <w:r>
              <w:rPr/>
            </w:r>
          </w:p>
        </w:tc>
      </w:tr>
      <w:tr>
        <w:trPr/>
        <w:tc>
          <w:tcPr>
            <w:tcW w:w="2085" w:type="dxa"/>
            <w:tcBorders>
              <w:start w:val="single" w:sz="2" w:space="0" w:color="000000"/>
              <w:bottom w:val="single" w:sz="2" w:space="0" w:color="000000"/>
              <w:insideH w:val="single" w:sz="2" w:space="0" w:color="000000"/>
            </w:tcBorders>
            <w:shd w:fill="auto" w:val="clear"/>
            <w:tcMar>
              <w:start w:w="27" w:type="dxa"/>
            </w:tcMar>
          </w:tcPr>
          <w:p>
            <w:pPr>
              <w:pStyle w:val="Normal"/>
              <w:jc w:val="center"/>
              <w:rPr/>
            </w:pPr>
            <w:r>
              <w:rPr/>
              <w:t>населенном пункте,</w:t>
            </w:r>
          </w:p>
          <w:p>
            <w:pPr>
              <w:pStyle w:val="Normal"/>
              <w:jc w:val="center"/>
              <w:rPr/>
            </w:pPr>
            <w:r>
              <w:rPr/>
              <w:t xml:space="preserve"> </w:t>
            </w:r>
            <w:r>
              <w:rPr/>
              <w:t>тыс. чел.</w:t>
            </w:r>
          </w:p>
          <w:p>
            <w:pPr>
              <w:pStyle w:val="Normal"/>
              <w:jc w:val="center"/>
              <w:rPr/>
            </w:pPr>
            <w:r>
              <w:rPr/>
            </w:r>
          </w:p>
        </w:tc>
        <w:tc>
          <w:tcPr>
            <w:tcW w:w="144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количество одновременных пожаров </w:t>
            </w:r>
          </w:p>
          <w:p>
            <w:pPr>
              <w:pStyle w:val="Normal"/>
              <w:rPr/>
            </w:pPr>
            <w:r>
              <w:rPr/>
            </w:r>
          </w:p>
        </w:tc>
        <w:tc>
          <w:tcPr>
            <w:tcW w:w="150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застройка зданиями высотой до двух этажей включительно независимо от степени их огнестойкости </w:t>
            </w:r>
          </w:p>
          <w:p>
            <w:pPr>
              <w:pStyle w:val="Normal"/>
              <w:rPr/>
            </w:pPr>
            <w:r>
              <w:rPr/>
            </w:r>
          </w:p>
        </w:tc>
        <w:tc>
          <w:tcPr>
            <w:tcW w:w="150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застройка зданиями высотой три этажа и выше независимо от степени их огнестойкости </w:t>
            </w:r>
          </w:p>
          <w:p>
            <w:pPr>
              <w:pStyle w:val="Normal"/>
              <w:rPr/>
            </w:pPr>
            <w:r>
              <w:rPr/>
            </w:r>
          </w:p>
        </w:tc>
      </w:tr>
      <w:tr>
        <w:trPr/>
        <w:tc>
          <w:tcPr>
            <w:tcW w:w="2085" w:type="dxa"/>
            <w:tcBorders>
              <w:start w:val="single" w:sz="2" w:space="0" w:color="000000"/>
            </w:tcBorders>
            <w:shd w:fill="auto" w:val="clear"/>
            <w:tcMar>
              <w:start w:w="27" w:type="dxa"/>
            </w:tcMar>
          </w:tcPr>
          <w:p>
            <w:pPr>
              <w:pStyle w:val="Preformat"/>
              <w:rPr>
                <w:vanish/>
              </w:rPr>
            </w:pPr>
            <w:r>
              <w:rPr>
                <w:vanish/>
              </w:rPr>
              <w:t>#G1</w:t>
            </w:r>
          </w:p>
          <w:p>
            <w:pPr>
              <w:pStyle w:val="Preformat"/>
              <w:rPr/>
            </w:pPr>
            <w:r>
              <w:rPr>
                <w:rFonts w:eastAsia="Courier New"/>
              </w:rPr>
              <w:t xml:space="preserve">        </w:t>
            </w:r>
            <w:r>
              <w:rPr/>
              <w:t xml:space="preserve">До   1 </w:t>
            </w:r>
          </w:p>
          <w:p>
            <w:pPr>
              <w:pStyle w:val="Preformat"/>
              <w:rPr/>
            </w:pPr>
            <w:r>
              <w:rPr/>
            </w:r>
          </w:p>
        </w:tc>
        <w:tc>
          <w:tcPr>
            <w:tcW w:w="1440" w:type="dxa"/>
            <w:tcBorders>
              <w:start w:val="single" w:sz="2" w:space="0" w:color="000000"/>
            </w:tcBorders>
            <w:shd w:fill="auto" w:val="clear"/>
            <w:tcMar>
              <w:start w:w="27" w:type="dxa"/>
            </w:tcMar>
          </w:tcPr>
          <w:p>
            <w:pPr>
              <w:pStyle w:val="Normal"/>
              <w:jc w:val="center"/>
              <w:rPr>
                <w:vanish/>
              </w:rPr>
            </w:pPr>
            <w:r>
              <w:rPr>
                <w:vanish/>
              </w:rPr>
              <w:t>#G0</w:t>
            </w:r>
          </w:p>
          <w:p>
            <w:pPr>
              <w:pStyle w:val="Normal"/>
              <w:jc w:val="center"/>
              <w:rPr/>
            </w:pPr>
            <w:r>
              <w:rPr/>
              <w:t xml:space="preserve">1 </w:t>
            </w:r>
          </w:p>
          <w:p>
            <w:pPr>
              <w:pStyle w:val="Normal"/>
              <w:jc w:val="center"/>
              <w:rPr/>
            </w:pPr>
            <w:r>
              <w:rPr/>
            </w:r>
          </w:p>
        </w:tc>
        <w:tc>
          <w:tcPr>
            <w:tcW w:w="1500" w:type="dxa"/>
            <w:tcBorders>
              <w:start w:val="single" w:sz="2" w:space="0" w:color="000000"/>
            </w:tcBorders>
            <w:shd w:fill="auto" w:val="clear"/>
            <w:tcMar>
              <w:start w:w="27" w:type="dxa"/>
            </w:tcMar>
          </w:tcPr>
          <w:p>
            <w:pPr>
              <w:pStyle w:val="Normal"/>
              <w:snapToGrid w:val="false"/>
              <w:rPr/>
            </w:pPr>
            <w:r>
              <w:rPr/>
            </w:r>
          </w:p>
          <w:p>
            <w:pPr>
              <w:pStyle w:val="Normal"/>
              <w:rPr/>
            </w:pPr>
            <w:r>
              <w:rPr/>
              <w:t xml:space="preserve">5 </w:t>
            </w:r>
          </w:p>
          <w:p>
            <w:pPr>
              <w:pStyle w:val="Normal"/>
              <w:rPr/>
            </w:pPr>
            <w:r>
              <w:rPr/>
            </w:r>
          </w:p>
        </w:tc>
        <w:tc>
          <w:tcPr>
            <w:tcW w:w="1505" w:type="dxa"/>
            <w:tcBorders>
              <w:start w:val="single" w:sz="2" w:space="0" w:color="000000"/>
              <w:end w:val="single" w:sz="2" w:space="0" w:color="000000"/>
              <w:insideV w:val="single" w:sz="2" w:space="0" w:color="000000"/>
            </w:tcBorders>
            <w:shd w:fill="auto" w:val="clear"/>
            <w:tcMar>
              <w:start w:w="27" w:type="dxa"/>
            </w:tcMar>
          </w:tcPr>
          <w:p>
            <w:pPr>
              <w:pStyle w:val="Normal"/>
              <w:snapToGrid w:val="false"/>
              <w:rPr/>
            </w:pPr>
            <w:r>
              <w:rPr/>
            </w:r>
          </w:p>
          <w:p>
            <w:pPr>
              <w:pStyle w:val="Normal"/>
              <w:rPr/>
            </w:pPr>
            <w:r>
              <w:rPr/>
              <w:t xml:space="preserve">10 </w:t>
            </w:r>
          </w:p>
          <w:p>
            <w:pPr>
              <w:pStyle w:val="Normal"/>
              <w:rPr/>
            </w:pPr>
            <w:r>
              <w:rPr/>
            </w:r>
          </w:p>
        </w:tc>
      </w:tr>
      <w:tr>
        <w:trPr/>
        <w:tc>
          <w:tcPr>
            <w:tcW w:w="2085" w:type="dxa"/>
            <w:tcBorders>
              <w:start w:val="single" w:sz="2" w:space="0" w:color="000000"/>
            </w:tcBorders>
            <w:shd w:fill="auto" w:val="clear"/>
            <w:tcMar>
              <w:start w:w="27" w:type="dxa"/>
            </w:tcMar>
          </w:tcPr>
          <w:p>
            <w:pPr>
              <w:pStyle w:val="Preformat"/>
              <w:rPr/>
            </w:pPr>
            <w:r>
              <w:rPr>
                <w:vanish/>
              </w:rPr>
              <w:t>#G1</w:t>
            </w:r>
            <w:r>
              <w:rPr/>
              <w:t xml:space="preserve">Св.  1  «    5 </w:t>
            </w:r>
          </w:p>
          <w:p>
            <w:pPr>
              <w:pStyle w:val="Preformat"/>
              <w:rPr/>
            </w:pPr>
            <w:r>
              <w:rPr/>
            </w:r>
          </w:p>
        </w:tc>
        <w:tc>
          <w:tcPr>
            <w:tcW w:w="1440" w:type="dxa"/>
            <w:tcBorders>
              <w:start w:val="single" w:sz="2" w:space="0" w:color="000000"/>
            </w:tcBorders>
            <w:shd w:fill="auto" w:val="clear"/>
            <w:tcMar>
              <w:start w:w="27" w:type="dxa"/>
            </w:tcMar>
          </w:tcPr>
          <w:p>
            <w:pPr>
              <w:pStyle w:val="Normal"/>
              <w:jc w:val="center"/>
              <w:rPr/>
            </w:pPr>
            <w:r>
              <w:rPr>
                <w:vanish/>
              </w:rPr>
              <w:t>#G0</w:t>
            </w:r>
            <w:r>
              <w:rPr/>
              <w:t xml:space="preserve">1 </w:t>
            </w:r>
          </w:p>
          <w:p>
            <w:pPr>
              <w:pStyle w:val="Normal"/>
              <w:jc w:val="center"/>
              <w:rPr/>
            </w:pPr>
            <w:r>
              <w:rPr/>
            </w:r>
          </w:p>
        </w:tc>
        <w:tc>
          <w:tcPr>
            <w:tcW w:w="1500" w:type="dxa"/>
            <w:tcBorders>
              <w:start w:val="single" w:sz="2" w:space="0" w:color="000000"/>
            </w:tcBorders>
            <w:shd w:fill="auto" w:val="clear"/>
            <w:tcMar>
              <w:start w:w="27" w:type="dxa"/>
            </w:tcMar>
          </w:tcPr>
          <w:p>
            <w:pPr>
              <w:pStyle w:val="Normal"/>
              <w:rPr/>
            </w:pPr>
            <w:r>
              <w:rPr/>
              <w:t xml:space="preserve">10 </w:t>
            </w:r>
          </w:p>
          <w:p>
            <w:pPr>
              <w:pStyle w:val="Normal"/>
              <w:rPr/>
            </w:pPr>
            <w:r>
              <w:rPr/>
            </w:r>
          </w:p>
        </w:tc>
        <w:tc>
          <w:tcPr>
            <w:tcW w:w="150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10 </w:t>
            </w:r>
          </w:p>
          <w:p>
            <w:pPr>
              <w:pStyle w:val="Normal"/>
              <w:rPr/>
            </w:pPr>
            <w:r>
              <w:rPr/>
            </w:r>
          </w:p>
        </w:tc>
      </w:tr>
      <w:tr>
        <w:trPr/>
        <w:tc>
          <w:tcPr>
            <w:tcW w:w="2085" w:type="dxa"/>
            <w:tcBorders>
              <w:start w:val="single" w:sz="2" w:space="0" w:color="000000"/>
            </w:tcBorders>
            <w:shd w:fill="auto" w:val="clear"/>
            <w:tcMar>
              <w:start w:w="27" w:type="dxa"/>
            </w:tcMar>
          </w:tcPr>
          <w:p>
            <w:pPr>
              <w:pStyle w:val="Preformat"/>
              <w:rPr/>
            </w:pPr>
            <w:r>
              <w:rPr>
                <w:vanish/>
              </w:rPr>
              <w:t>#G1</w:t>
            </w:r>
            <w:r>
              <w:rPr/>
              <w:t xml:space="preserve"> «   5  «   10 </w:t>
            </w:r>
          </w:p>
          <w:p>
            <w:pPr>
              <w:pStyle w:val="Preformat"/>
              <w:rPr/>
            </w:pPr>
            <w:r>
              <w:rPr/>
            </w:r>
          </w:p>
        </w:tc>
        <w:tc>
          <w:tcPr>
            <w:tcW w:w="1440" w:type="dxa"/>
            <w:tcBorders>
              <w:start w:val="single" w:sz="2" w:space="0" w:color="000000"/>
            </w:tcBorders>
            <w:shd w:fill="auto" w:val="clear"/>
            <w:tcMar>
              <w:start w:w="27" w:type="dxa"/>
            </w:tcMar>
          </w:tcPr>
          <w:p>
            <w:pPr>
              <w:pStyle w:val="Normal"/>
              <w:jc w:val="center"/>
              <w:rPr/>
            </w:pPr>
            <w:r>
              <w:rPr>
                <w:vanish/>
              </w:rPr>
              <w:t>#G0</w:t>
            </w:r>
            <w:r>
              <w:rPr/>
              <w:t xml:space="preserve">1 </w:t>
            </w:r>
          </w:p>
          <w:p>
            <w:pPr>
              <w:pStyle w:val="Normal"/>
              <w:jc w:val="center"/>
              <w:rPr/>
            </w:pPr>
            <w:r>
              <w:rPr/>
            </w:r>
          </w:p>
        </w:tc>
        <w:tc>
          <w:tcPr>
            <w:tcW w:w="1500" w:type="dxa"/>
            <w:tcBorders>
              <w:start w:val="single" w:sz="2" w:space="0" w:color="000000"/>
            </w:tcBorders>
            <w:shd w:fill="auto" w:val="clear"/>
            <w:tcMar>
              <w:start w:w="27" w:type="dxa"/>
            </w:tcMar>
          </w:tcPr>
          <w:p>
            <w:pPr>
              <w:pStyle w:val="Normal"/>
              <w:rPr/>
            </w:pPr>
            <w:r>
              <w:rPr/>
              <w:t xml:space="preserve">10 </w:t>
            </w:r>
          </w:p>
          <w:p>
            <w:pPr>
              <w:pStyle w:val="Normal"/>
              <w:rPr/>
            </w:pPr>
            <w:r>
              <w:rPr/>
            </w:r>
          </w:p>
        </w:tc>
        <w:tc>
          <w:tcPr>
            <w:tcW w:w="150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15 </w:t>
            </w:r>
          </w:p>
          <w:p>
            <w:pPr>
              <w:pStyle w:val="Normal"/>
              <w:rPr/>
            </w:pPr>
            <w:r>
              <w:rPr/>
            </w:r>
          </w:p>
        </w:tc>
      </w:tr>
      <w:tr>
        <w:trPr/>
        <w:tc>
          <w:tcPr>
            <w:tcW w:w="2085" w:type="dxa"/>
            <w:tcBorders>
              <w:start w:val="single" w:sz="2" w:space="0" w:color="000000"/>
            </w:tcBorders>
            <w:shd w:fill="auto" w:val="clear"/>
            <w:tcMar>
              <w:start w:w="27" w:type="dxa"/>
            </w:tcMar>
          </w:tcPr>
          <w:p>
            <w:pPr>
              <w:pStyle w:val="Preformat"/>
              <w:rPr/>
            </w:pPr>
            <w:r>
              <w:rPr>
                <w:vanish/>
              </w:rPr>
              <w:t>#G1</w:t>
            </w:r>
            <w:r>
              <w:rPr/>
              <w:t xml:space="preserve"> «  10  «   25 </w:t>
            </w:r>
          </w:p>
          <w:p>
            <w:pPr>
              <w:pStyle w:val="Preformat"/>
              <w:rPr/>
            </w:pPr>
            <w:r>
              <w:rPr/>
            </w:r>
          </w:p>
        </w:tc>
        <w:tc>
          <w:tcPr>
            <w:tcW w:w="1440" w:type="dxa"/>
            <w:tcBorders>
              <w:start w:val="single" w:sz="2" w:space="0" w:color="000000"/>
            </w:tcBorders>
            <w:shd w:fill="auto" w:val="clear"/>
            <w:tcMar>
              <w:start w:w="27" w:type="dxa"/>
            </w:tcMar>
          </w:tcPr>
          <w:p>
            <w:pPr>
              <w:pStyle w:val="Normal"/>
              <w:jc w:val="center"/>
              <w:rPr/>
            </w:pPr>
            <w:r>
              <w:rPr>
                <w:vanish/>
              </w:rPr>
              <w:t>#G0</w:t>
            </w:r>
            <w:r>
              <w:rPr/>
              <w:t xml:space="preserve">2 </w:t>
            </w:r>
          </w:p>
          <w:p>
            <w:pPr>
              <w:pStyle w:val="Normal"/>
              <w:jc w:val="center"/>
              <w:rPr/>
            </w:pPr>
            <w:r>
              <w:rPr/>
            </w:r>
          </w:p>
        </w:tc>
        <w:tc>
          <w:tcPr>
            <w:tcW w:w="1500" w:type="dxa"/>
            <w:tcBorders>
              <w:start w:val="single" w:sz="2" w:space="0" w:color="000000"/>
            </w:tcBorders>
            <w:shd w:fill="auto" w:val="clear"/>
            <w:tcMar>
              <w:start w:w="27" w:type="dxa"/>
            </w:tcMar>
          </w:tcPr>
          <w:p>
            <w:pPr>
              <w:pStyle w:val="Normal"/>
              <w:rPr/>
            </w:pPr>
            <w:r>
              <w:rPr/>
              <w:t xml:space="preserve">10 </w:t>
            </w:r>
          </w:p>
          <w:p>
            <w:pPr>
              <w:pStyle w:val="Normal"/>
              <w:rPr/>
            </w:pPr>
            <w:r>
              <w:rPr/>
            </w:r>
          </w:p>
        </w:tc>
        <w:tc>
          <w:tcPr>
            <w:tcW w:w="150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15 </w:t>
            </w:r>
          </w:p>
          <w:p>
            <w:pPr>
              <w:pStyle w:val="Normal"/>
              <w:rPr/>
            </w:pPr>
            <w:r>
              <w:rPr/>
            </w:r>
          </w:p>
        </w:tc>
      </w:tr>
      <w:tr>
        <w:trPr/>
        <w:tc>
          <w:tcPr>
            <w:tcW w:w="2085" w:type="dxa"/>
            <w:tcBorders>
              <w:start w:val="single" w:sz="2" w:space="0" w:color="000000"/>
            </w:tcBorders>
            <w:shd w:fill="auto" w:val="clear"/>
            <w:tcMar>
              <w:start w:w="27" w:type="dxa"/>
            </w:tcMar>
          </w:tcPr>
          <w:p>
            <w:pPr>
              <w:pStyle w:val="Preformat"/>
              <w:rPr/>
            </w:pPr>
            <w:r>
              <w:rPr>
                <w:vanish/>
              </w:rPr>
              <w:t>#G1</w:t>
            </w:r>
            <w:r>
              <w:rPr/>
              <w:t xml:space="preserve"> «  25  «   50 </w:t>
            </w:r>
          </w:p>
          <w:p>
            <w:pPr>
              <w:pStyle w:val="Preformat"/>
              <w:rPr/>
            </w:pPr>
            <w:r>
              <w:rPr/>
            </w:r>
          </w:p>
        </w:tc>
        <w:tc>
          <w:tcPr>
            <w:tcW w:w="1440" w:type="dxa"/>
            <w:tcBorders>
              <w:start w:val="single" w:sz="2" w:space="0" w:color="000000"/>
            </w:tcBorders>
            <w:shd w:fill="auto" w:val="clear"/>
            <w:tcMar>
              <w:start w:w="27" w:type="dxa"/>
            </w:tcMar>
          </w:tcPr>
          <w:p>
            <w:pPr>
              <w:pStyle w:val="Normal"/>
              <w:jc w:val="center"/>
              <w:rPr/>
            </w:pPr>
            <w:r>
              <w:rPr>
                <w:vanish/>
              </w:rPr>
              <w:t>#G0</w:t>
            </w:r>
            <w:r>
              <w:rPr/>
              <w:t xml:space="preserve">2 </w:t>
            </w:r>
          </w:p>
          <w:p>
            <w:pPr>
              <w:pStyle w:val="Normal"/>
              <w:jc w:val="center"/>
              <w:rPr/>
            </w:pPr>
            <w:r>
              <w:rPr/>
            </w:r>
          </w:p>
        </w:tc>
        <w:tc>
          <w:tcPr>
            <w:tcW w:w="1500" w:type="dxa"/>
            <w:tcBorders>
              <w:start w:val="single" w:sz="2" w:space="0" w:color="000000"/>
            </w:tcBorders>
            <w:shd w:fill="auto" w:val="clear"/>
            <w:tcMar>
              <w:start w:w="27" w:type="dxa"/>
            </w:tcMar>
          </w:tcPr>
          <w:p>
            <w:pPr>
              <w:pStyle w:val="Normal"/>
              <w:rPr/>
            </w:pPr>
            <w:r>
              <w:rPr/>
              <w:t xml:space="preserve">20 </w:t>
            </w:r>
          </w:p>
          <w:p>
            <w:pPr>
              <w:pStyle w:val="Normal"/>
              <w:rPr/>
            </w:pPr>
            <w:r>
              <w:rPr/>
            </w:r>
          </w:p>
        </w:tc>
        <w:tc>
          <w:tcPr>
            <w:tcW w:w="150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25 </w:t>
            </w:r>
          </w:p>
          <w:p>
            <w:pPr>
              <w:pStyle w:val="Normal"/>
              <w:rPr/>
            </w:pPr>
            <w:r>
              <w:rPr/>
            </w:r>
          </w:p>
        </w:tc>
      </w:tr>
      <w:tr>
        <w:trPr/>
        <w:tc>
          <w:tcPr>
            <w:tcW w:w="2085" w:type="dxa"/>
            <w:tcBorders>
              <w:start w:val="single" w:sz="2" w:space="0" w:color="000000"/>
            </w:tcBorders>
            <w:shd w:fill="auto" w:val="clear"/>
            <w:tcMar>
              <w:start w:w="27" w:type="dxa"/>
            </w:tcMar>
          </w:tcPr>
          <w:p>
            <w:pPr>
              <w:pStyle w:val="Preformat"/>
              <w:rPr/>
            </w:pPr>
            <w:r>
              <w:rPr>
                <w:vanish/>
              </w:rPr>
              <w:t>#G1</w:t>
            </w:r>
            <w:r>
              <w:rPr/>
              <w:t xml:space="preserve"> «  50  «  100 </w:t>
            </w:r>
          </w:p>
          <w:p>
            <w:pPr>
              <w:pStyle w:val="Preformat"/>
              <w:rPr/>
            </w:pPr>
            <w:r>
              <w:rPr/>
            </w:r>
          </w:p>
        </w:tc>
        <w:tc>
          <w:tcPr>
            <w:tcW w:w="1440" w:type="dxa"/>
            <w:tcBorders>
              <w:start w:val="single" w:sz="2" w:space="0" w:color="000000"/>
            </w:tcBorders>
            <w:shd w:fill="auto" w:val="clear"/>
            <w:tcMar>
              <w:start w:w="27" w:type="dxa"/>
            </w:tcMar>
          </w:tcPr>
          <w:p>
            <w:pPr>
              <w:pStyle w:val="Normal"/>
              <w:jc w:val="center"/>
              <w:rPr/>
            </w:pPr>
            <w:r>
              <w:rPr>
                <w:vanish/>
              </w:rPr>
              <w:t>#G0</w:t>
            </w:r>
            <w:r>
              <w:rPr/>
              <w:t xml:space="preserve">2 </w:t>
            </w:r>
          </w:p>
          <w:p>
            <w:pPr>
              <w:pStyle w:val="Normal"/>
              <w:jc w:val="center"/>
              <w:rPr/>
            </w:pPr>
            <w:r>
              <w:rPr/>
            </w:r>
          </w:p>
        </w:tc>
        <w:tc>
          <w:tcPr>
            <w:tcW w:w="1500" w:type="dxa"/>
            <w:tcBorders>
              <w:start w:val="single" w:sz="2" w:space="0" w:color="000000"/>
            </w:tcBorders>
            <w:shd w:fill="auto" w:val="clear"/>
            <w:tcMar>
              <w:start w:w="27" w:type="dxa"/>
            </w:tcMar>
          </w:tcPr>
          <w:p>
            <w:pPr>
              <w:pStyle w:val="Normal"/>
              <w:rPr/>
            </w:pPr>
            <w:r>
              <w:rPr/>
              <w:t xml:space="preserve">25 </w:t>
            </w:r>
          </w:p>
          <w:p>
            <w:pPr>
              <w:pStyle w:val="Normal"/>
              <w:rPr/>
            </w:pPr>
            <w:r>
              <w:rPr/>
            </w:r>
          </w:p>
        </w:tc>
        <w:tc>
          <w:tcPr>
            <w:tcW w:w="150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35 </w:t>
            </w:r>
          </w:p>
          <w:p>
            <w:pPr>
              <w:pStyle w:val="Normal"/>
              <w:rPr/>
            </w:pPr>
            <w:r>
              <w:rPr/>
            </w:r>
          </w:p>
        </w:tc>
      </w:tr>
      <w:tr>
        <w:trPr/>
        <w:tc>
          <w:tcPr>
            <w:tcW w:w="2085" w:type="dxa"/>
            <w:tcBorders>
              <w:start w:val="single" w:sz="2" w:space="0" w:color="000000"/>
            </w:tcBorders>
            <w:shd w:fill="auto" w:val="clear"/>
            <w:tcMar>
              <w:start w:w="27" w:type="dxa"/>
            </w:tcMar>
          </w:tcPr>
          <w:p>
            <w:pPr>
              <w:pStyle w:val="Preformat"/>
              <w:rPr/>
            </w:pPr>
            <w:r>
              <w:rPr>
                <w:vanish/>
              </w:rPr>
              <w:t>#G1</w:t>
            </w:r>
            <w:r>
              <w:rPr/>
              <w:t xml:space="preserve"> « 100  «  200 </w:t>
            </w:r>
          </w:p>
          <w:p>
            <w:pPr>
              <w:pStyle w:val="Preformat"/>
              <w:rPr/>
            </w:pPr>
            <w:r>
              <w:rPr/>
            </w:r>
          </w:p>
        </w:tc>
        <w:tc>
          <w:tcPr>
            <w:tcW w:w="1440" w:type="dxa"/>
            <w:tcBorders>
              <w:start w:val="single" w:sz="2" w:space="0" w:color="000000"/>
            </w:tcBorders>
            <w:shd w:fill="auto" w:val="clear"/>
            <w:tcMar>
              <w:start w:w="27" w:type="dxa"/>
            </w:tcMar>
          </w:tcPr>
          <w:p>
            <w:pPr>
              <w:pStyle w:val="Normal"/>
              <w:jc w:val="center"/>
              <w:rPr/>
            </w:pPr>
            <w:r>
              <w:rPr>
                <w:vanish/>
              </w:rPr>
              <w:t>#G0</w:t>
            </w:r>
            <w:r>
              <w:rPr/>
              <w:t xml:space="preserve">3 </w:t>
            </w:r>
          </w:p>
          <w:p>
            <w:pPr>
              <w:pStyle w:val="Normal"/>
              <w:jc w:val="center"/>
              <w:rPr/>
            </w:pPr>
            <w:r>
              <w:rPr/>
            </w:r>
          </w:p>
        </w:tc>
        <w:tc>
          <w:tcPr>
            <w:tcW w:w="1500" w:type="dxa"/>
            <w:tcBorders>
              <w:start w:val="single" w:sz="2" w:space="0" w:color="000000"/>
            </w:tcBorders>
            <w:shd w:fill="auto" w:val="clear"/>
            <w:tcMar>
              <w:start w:w="27" w:type="dxa"/>
            </w:tcMar>
          </w:tcPr>
          <w:p>
            <w:pPr>
              <w:pStyle w:val="Normal"/>
              <w:rPr/>
            </w:pPr>
            <w:r>
              <w:rPr/>
              <w:t>-</w:t>
            </w:r>
          </w:p>
          <w:p>
            <w:pPr>
              <w:pStyle w:val="Normal"/>
              <w:rPr/>
            </w:pPr>
            <w:r>
              <w:rPr/>
            </w:r>
          </w:p>
        </w:tc>
        <w:tc>
          <w:tcPr>
            <w:tcW w:w="150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40 </w:t>
            </w:r>
          </w:p>
          <w:p>
            <w:pPr>
              <w:pStyle w:val="Normal"/>
              <w:rPr/>
            </w:pPr>
            <w:r>
              <w:rPr/>
            </w:r>
          </w:p>
        </w:tc>
      </w:tr>
      <w:tr>
        <w:trPr/>
        <w:tc>
          <w:tcPr>
            <w:tcW w:w="2085" w:type="dxa"/>
            <w:tcBorders>
              <w:start w:val="single" w:sz="2" w:space="0" w:color="000000"/>
            </w:tcBorders>
            <w:shd w:fill="auto" w:val="clear"/>
            <w:tcMar>
              <w:start w:w="27" w:type="dxa"/>
            </w:tcMar>
          </w:tcPr>
          <w:p>
            <w:pPr>
              <w:pStyle w:val="Preformat"/>
              <w:rPr/>
            </w:pPr>
            <w:r>
              <w:rPr>
                <w:vanish/>
              </w:rPr>
              <w:t>#G1</w:t>
            </w:r>
            <w:r>
              <w:rPr/>
              <w:t xml:space="preserve"> « 200  «  300 </w:t>
            </w:r>
          </w:p>
          <w:p>
            <w:pPr>
              <w:pStyle w:val="Preformat"/>
              <w:rPr/>
            </w:pPr>
            <w:r>
              <w:rPr/>
            </w:r>
          </w:p>
        </w:tc>
        <w:tc>
          <w:tcPr>
            <w:tcW w:w="1440" w:type="dxa"/>
            <w:tcBorders>
              <w:start w:val="single" w:sz="2" w:space="0" w:color="000000"/>
            </w:tcBorders>
            <w:shd w:fill="auto" w:val="clear"/>
            <w:tcMar>
              <w:start w:w="27" w:type="dxa"/>
            </w:tcMar>
          </w:tcPr>
          <w:p>
            <w:pPr>
              <w:pStyle w:val="Normal"/>
              <w:jc w:val="center"/>
              <w:rPr/>
            </w:pPr>
            <w:r>
              <w:rPr>
                <w:vanish/>
              </w:rPr>
              <w:t>#G0</w:t>
            </w:r>
            <w:r>
              <w:rPr/>
              <w:t xml:space="preserve">3 </w:t>
            </w:r>
          </w:p>
          <w:p>
            <w:pPr>
              <w:pStyle w:val="Normal"/>
              <w:jc w:val="center"/>
              <w:rPr/>
            </w:pPr>
            <w:r>
              <w:rPr/>
            </w:r>
          </w:p>
        </w:tc>
        <w:tc>
          <w:tcPr>
            <w:tcW w:w="1500" w:type="dxa"/>
            <w:tcBorders>
              <w:start w:val="single" w:sz="2" w:space="0" w:color="000000"/>
            </w:tcBorders>
            <w:shd w:fill="auto" w:val="clear"/>
            <w:tcMar>
              <w:start w:w="27" w:type="dxa"/>
            </w:tcMar>
          </w:tcPr>
          <w:p>
            <w:pPr>
              <w:pStyle w:val="Normal"/>
              <w:rPr/>
            </w:pPr>
            <w:r>
              <w:rPr/>
              <w:t>-</w:t>
            </w:r>
          </w:p>
          <w:p>
            <w:pPr>
              <w:pStyle w:val="Normal"/>
              <w:rPr/>
            </w:pPr>
            <w:r>
              <w:rPr/>
            </w:r>
          </w:p>
        </w:tc>
        <w:tc>
          <w:tcPr>
            <w:tcW w:w="150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55 </w:t>
            </w:r>
          </w:p>
          <w:p>
            <w:pPr>
              <w:pStyle w:val="Normal"/>
              <w:rPr/>
            </w:pPr>
            <w:r>
              <w:rPr/>
            </w:r>
          </w:p>
        </w:tc>
      </w:tr>
      <w:tr>
        <w:trPr/>
        <w:tc>
          <w:tcPr>
            <w:tcW w:w="2085" w:type="dxa"/>
            <w:tcBorders>
              <w:start w:val="single" w:sz="2" w:space="0" w:color="000000"/>
            </w:tcBorders>
            <w:shd w:fill="auto" w:val="clear"/>
            <w:tcMar>
              <w:start w:w="27" w:type="dxa"/>
            </w:tcMar>
          </w:tcPr>
          <w:p>
            <w:pPr>
              <w:pStyle w:val="Preformat"/>
              <w:rPr/>
            </w:pPr>
            <w:r>
              <w:rPr>
                <w:vanish/>
              </w:rPr>
              <w:t>#G1</w:t>
            </w:r>
            <w:r>
              <w:rPr/>
              <w:t xml:space="preserve"> « 300  «  400 </w:t>
            </w:r>
          </w:p>
          <w:p>
            <w:pPr>
              <w:pStyle w:val="Preformat"/>
              <w:rPr/>
            </w:pPr>
            <w:r>
              <w:rPr/>
            </w:r>
          </w:p>
        </w:tc>
        <w:tc>
          <w:tcPr>
            <w:tcW w:w="1440" w:type="dxa"/>
            <w:tcBorders>
              <w:start w:val="single" w:sz="2" w:space="0" w:color="000000"/>
            </w:tcBorders>
            <w:shd w:fill="auto" w:val="clear"/>
            <w:tcMar>
              <w:start w:w="27" w:type="dxa"/>
            </w:tcMar>
          </w:tcPr>
          <w:p>
            <w:pPr>
              <w:pStyle w:val="Normal"/>
              <w:jc w:val="center"/>
              <w:rPr/>
            </w:pPr>
            <w:r>
              <w:rPr>
                <w:vanish/>
              </w:rPr>
              <w:t>#G0</w:t>
            </w:r>
            <w:r>
              <w:rPr/>
              <w:t xml:space="preserve">3 </w:t>
            </w:r>
          </w:p>
          <w:p>
            <w:pPr>
              <w:pStyle w:val="Normal"/>
              <w:jc w:val="center"/>
              <w:rPr/>
            </w:pPr>
            <w:r>
              <w:rPr/>
            </w:r>
          </w:p>
        </w:tc>
        <w:tc>
          <w:tcPr>
            <w:tcW w:w="1500" w:type="dxa"/>
            <w:tcBorders>
              <w:start w:val="single" w:sz="2" w:space="0" w:color="000000"/>
            </w:tcBorders>
            <w:shd w:fill="auto" w:val="clear"/>
            <w:tcMar>
              <w:start w:w="27" w:type="dxa"/>
            </w:tcMar>
          </w:tcPr>
          <w:p>
            <w:pPr>
              <w:pStyle w:val="Normal"/>
              <w:rPr/>
            </w:pPr>
            <w:r>
              <w:rPr/>
              <w:t>-</w:t>
            </w:r>
          </w:p>
          <w:p>
            <w:pPr>
              <w:pStyle w:val="Normal"/>
              <w:rPr/>
            </w:pPr>
            <w:r>
              <w:rPr/>
            </w:r>
          </w:p>
        </w:tc>
        <w:tc>
          <w:tcPr>
            <w:tcW w:w="150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70 </w:t>
            </w:r>
          </w:p>
          <w:p>
            <w:pPr>
              <w:pStyle w:val="Normal"/>
              <w:rPr/>
            </w:pPr>
            <w:r>
              <w:rPr/>
            </w:r>
          </w:p>
        </w:tc>
      </w:tr>
      <w:tr>
        <w:trPr/>
        <w:tc>
          <w:tcPr>
            <w:tcW w:w="2085" w:type="dxa"/>
            <w:tcBorders>
              <w:start w:val="single" w:sz="2" w:space="0" w:color="000000"/>
            </w:tcBorders>
            <w:shd w:fill="auto" w:val="clear"/>
            <w:tcMar>
              <w:start w:w="27" w:type="dxa"/>
            </w:tcMar>
          </w:tcPr>
          <w:p>
            <w:pPr>
              <w:pStyle w:val="Preformat"/>
              <w:rPr/>
            </w:pPr>
            <w:r>
              <w:rPr>
                <w:vanish/>
              </w:rPr>
              <w:t>#G1</w:t>
            </w:r>
            <w:r>
              <w:rPr/>
              <w:t xml:space="preserve"> « 400  «  500 </w:t>
            </w:r>
          </w:p>
          <w:p>
            <w:pPr>
              <w:pStyle w:val="Preformat"/>
              <w:rPr/>
            </w:pPr>
            <w:r>
              <w:rPr/>
            </w:r>
          </w:p>
        </w:tc>
        <w:tc>
          <w:tcPr>
            <w:tcW w:w="1440" w:type="dxa"/>
            <w:tcBorders>
              <w:start w:val="single" w:sz="2" w:space="0" w:color="000000"/>
            </w:tcBorders>
            <w:shd w:fill="auto" w:val="clear"/>
            <w:tcMar>
              <w:start w:w="27" w:type="dxa"/>
            </w:tcMar>
          </w:tcPr>
          <w:p>
            <w:pPr>
              <w:pStyle w:val="Normal"/>
              <w:jc w:val="center"/>
              <w:rPr/>
            </w:pPr>
            <w:r>
              <w:rPr>
                <w:vanish/>
              </w:rPr>
              <w:t>#G0</w:t>
            </w:r>
            <w:r>
              <w:rPr/>
              <w:t xml:space="preserve">3 </w:t>
            </w:r>
          </w:p>
          <w:p>
            <w:pPr>
              <w:pStyle w:val="Normal"/>
              <w:jc w:val="center"/>
              <w:rPr/>
            </w:pPr>
            <w:r>
              <w:rPr/>
            </w:r>
          </w:p>
        </w:tc>
        <w:tc>
          <w:tcPr>
            <w:tcW w:w="1500" w:type="dxa"/>
            <w:tcBorders>
              <w:start w:val="single" w:sz="2" w:space="0" w:color="000000"/>
            </w:tcBorders>
            <w:shd w:fill="auto" w:val="clear"/>
            <w:tcMar>
              <w:start w:w="27" w:type="dxa"/>
            </w:tcMar>
          </w:tcPr>
          <w:p>
            <w:pPr>
              <w:pStyle w:val="Normal"/>
              <w:rPr/>
            </w:pPr>
            <w:r>
              <w:rPr/>
              <w:t>-</w:t>
            </w:r>
          </w:p>
          <w:p>
            <w:pPr>
              <w:pStyle w:val="Normal"/>
              <w:rPr/>
            </w:pPr>
            <w:r>
              <w:rPr/>
            </w:r>
          </w:p>
        </w:tc>
        <w:tc>
          <w:tcPr>
            <w:tcW w:w="150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80 </w:t>
            </w:r>
          </w:p>
          <w:p>
            <w:pPr>
              <w:pStyle w:val="Normal"/>
              <w:rPr/>
            </w:pPr>
            <w:r>
              <w:rPr/>
            </w:r>
          </w:p>
        </w:tc>
      </w:tr>
      <w:tr>
        <w:trPr/>
        <w:tc>
          <w:tcPr>
            <w:tcW w:w="2085" w:type="dxa"/>
            <w:tcBorders>
              <w:start w:val="single" w:sz="2" w:space="0" w:color="000000"/>
            </w:tcBorders>
            <w:shd w:fill="auto" w:val="clear"/>
            <w:tcMar>
              <w:start w:w="27" w:type="dxa"/>
            </w:tcMar>
          </w:tcPr>
          <w:p>
            <w:pPr>
              <w:pStyle w:val="Preformat"/>
              <w:rPr/>
            </w:pPr>
            <w:r>
              <w:rPr>
                <w:vanish/>
              </w:rPr>
              <w:t>#G1</w:t>
            </w:r>
            <w:r>
              <w:rPr/>
              <w:t xml:space="preserve"> « 500  «  600 </w:t>
            </w:r>
          </w:p>
          <w:p>
            <w:pPr>
              <w:pStyle w:val="Preformat"/>
              <w:rPr/>
            </w:pPr>
            <w:r>
              <w:rPr/>
            </w:r>
          </w:p>
        </w:tc>
        <w:tc>
          <w:tcPr>
            <w:tcW w:w="1440" w:type="dxa"/>
            <w:tcBorders>
              <w:start w:val="single" w:sz="2" w:space="0" w:color="000000"/>
            </w:tcBorders>
            <w:shd w:fill="auto" w:val="clear"/>
            <w:tcMar>
              <w:start w:w="27" w:type="dxa"/>
            </w:tcMar>
          </w:tcPr>
          <w:p>
            <w:pPr>
              <w:pStyle w:val="Normal"/>
              <w:jc w:val="center"/>
              <w:rPr/>
            </w:pPr>
            <w:r>
              <w:rPr>
                <w:vanish/>
              </w:rPr>
              <w:t>#G0</w:t>
            </w:r>
            <w:r>
              <w:rPr/>
              <w:t xml:space="preserve">3 </w:t>
            </w:r>
          </w:p>
          <w:p>
            <w:pPr>
              <w:pStyle w:val="Normal"/>
              <w:jc w:val="center"/>
              <w:rPr/>
            </w:pPr>
            <w:r>
              <w:rPr/>
            </w:r>
          </w:p>
        </w:tc>
        <w:tc>
          <w:tcPr>
            <w:tcW w:w="1500" w:type="dxa"/>
            <w:tcBorders>
              <w:start w:val="single" w:sz="2" w:space="0" w:color="000000"/>
            </w:tcBorders>
            <w:shd w:fill="auto" w:val="clear"/>
            <w:tcMar>
              <w:start w:w="27" w:type="dxa"/>
            </w:tcMar>
          </w:tcPr>
          <w:p>
            <w:pPr>
              <w:pStyle w:val="Normal"/>
              <w:rPr/>
            </w:pPr>
            <w:r>
              <w:rPr/>
              <w:t>-</w:t>
            </w:r>
          </w:p>
          <w:p>
            <w:pPr>
              <w:pStyle w:val="Normal"/>
              <w:rPr/>
            </w:pPr>
            <w:r>
              <w:rPr/>
            </w:r>
          </w:p>
        </w:tc>
        <w:tc>
          <w:tcPr>
            <w:tcW w:w="150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85 </w:t>
            </w:r>
          </w:p>
          <w:p>
            <w:pPr>
              <w:pStyle w:val="Normal"/>
              <w:rPr/>
            </w:pPr>
            <w:r>
              <w:rPr/>
            </w:r>
          </w:p>
        </w:tc>
      </w:tr>
      <w:tr>
        <w:trPr/>
        <w:tc>
          <w:tcPr>
            <w:tcW w:w="2085" w:type="dxa"/>
            <w:tcBorders>
              <w:start w:val="single" w:sz="2" w:space="0" w:color="000000"/>
            </w:tcBorders>
            <w:shd w:fill="auto" w:val="clear"/>
            <w:tcMar>
              <w:start w:w="27" w:type="dxa"/>
            </w:tcMar>
          </w:tcPr>
          <w:p>
            <w:pPr>
              <w:pStyle w:val="Preformat"/>
              <w:rPr/>
            </w:pPr>
            <w:r>
              <w:rPr>
                <w:vanish/>
              </w:rPr>
              <w:t>#G1</w:t>
            </w:r>
            <w:r>
              <w:rPr/>
              <w:t xml:space="preserve"> « 600  «  700 </w:t>
            </w:r>
          </w:p>
          <w:p>
            <w:pPr>
              <w:pStyle w:val="Preformat"/>
              <w:rPr/>
            </w:pPr>
            <w:r>
              <w:rPr/>
            </w:r>
          </w:p>
        </w:tc>
        <w:tc>
          <w:tcPr>
            <w:tcW w:w="1440" w:type="dxa"/>
            <w:tcBorders>
              <w:start w:val="single" w:sz="2" w:space="0" w:color="000000"/>
            </w:tcBorders>
            <w:shd w:fill="auto" w:val="clear"/>
            <w:tcMar>
              <w:start w:w="27" w:type="dxa"/>
            </w:tcMar>
          </w:tcPr>
          <w:p>
            <w:pPr>
              <w:pStyle w:val="Normal"/>
              <w:jc w:val="center"/>
              <w:rPr/>
            </w:pPr>
            <w:r>
              <w:rPr>
                <w:vanish/>
              </w:rPr>
              <w:t>#G0</w:t>
            </w:r>
            <w:r>
              <w:rPr/>
              <w:t xml:space="preserve">3 </w:t>
            </w:r>
          </w:p>
          <w:p>
            <w:pPr>
              <w:pStyle w:val="Normal"/>
              <w:jc w:val="center"/>
              <w:rPr/>
            </w:pPr>
            <w:r>
              <w:rPr/>
            </w:r>
          </w:p>
        </w:tc>
        <w:tc>
          <w:tcPr>
            <w:tcW w:w="1500" w:type="dxa"/>
            <w:tcBorders>
              <w:start w:val="single" w:sz="2" w:space="0" w:color="000000"/>
            </w:tcBorders>
            <w:shd w:fill="auto" w:val="clear"/>
            <w:tcMar>
              <w:start w:w="27" w:type="dxa"/>
            </w:tcMar>
          </w:tcPr>
          <w:p>
            <w:pPr>
              <w:pStyle w:val="Normal"/>
              <w:rPr/>
            </w:pPr>
            <w:r>
              <w:rPr/>
              <w:t>-</w:t>
            </w:r>
          </w:p>
          <w:p>
            <w:pPr>
              <w:pStyle w:val="Normal"/>
              <w:rPr/>
            </w:pPr>
            <w:r>
              <w:rPr/>
            </w:r>
          </w:p>
        </w:tc>
        <w:tc>
          <w:tcPr>
            <w:tcW w:w="150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90 </w:t>
            </w:r>
          </w:p>
          <w:p>
            <w:pPr>
              <w:pStyle w:val="Normal"/>
              <w:rPr/>
            </w:pPr>
            <w:r>
              <w:rPr/>
            </w:r>
          </w:p>
        </w:tc>
      </w:tr>
      <w:tr>
        <w:trPr/>
        <w:tc>
          <w:tcPr>
            <w:tcW w:w="2085" w:type="dxa"/>
            <w:tcBorders>
              <w:start w:val="single" w:sz="2" w:space="0" w:color="000000"/>
            </w:tcBorders>
            <w:shd w:fill="auto" w:val="clear"/>
            <w:tcMar>
              <w:start w:w="27" w:type="dxa"/>
            </w:tcMar>
          </w:tcPr>
          <w:p>
            <w:pPr>
              <w:pStyle w:val="Preformat"/>
              <w:rPr/>
            </w:pPr>
            <w:r>
              <w:rPr>
                <w:vanish/>
              </w:rPr>
              <w:t>#G1</w:t>
            </w:r>
            <w:r>
              <w:rPr/>
              <w:t xml:space="preserve"> « 700  «  800 </w:t>
            </w:r>
          </w:p>
          <w:p>
            <w:pPr>
              <w:pStyle w:val="Preformat"/>
              <w:rPr/>
            </w:pPr>
            <w:r>
              <w:rPr/>
            </w:r>
          </w:p>
        </w:tc>
        <w:tc>
          <w:tcPr>
            <w:tcW w:w="1440" w:type="dxa"/>
            <w:tcBorders>
              <w:start w:val="single" w:sz="2" w:space="0" w:color="000000"/>
            </w:tcBorders>
            <w:shd w:fill="auto" w:val="clear"/>
            <w:tcMar>
              <w:start w:w="27" w:type="dxa"/>
            </w:tcMar>
          </w:tcPr>
          <w:p>
            <w:pPr>
              <w:pStyle w:val="Normal"/>
              <w:jc w:val="center"/>
              <w:rPr/>
            </w:pPr>
            <w:r>
              <w:rPr>
                <w:vanish/>
              </w:rPr>
              <w:t>#G0</w:t>
            </w:r>
            <w:r>
              <w:rPr/>
              <w:t xml:space="preserve">3 </w:t>
            </w:r>
          </w:p>
          <w:p>
            <w:pPr>
              <w:pStyle w:val="Normal"/>
              <w:jc w:val="center"/>
              <w:rPr/>
            </w:pPr>
            <w:r>
              <w:rPr/>
            </w:r>
          </w:p>
        </w:tc>
        <w:tc>
          <w:tcPr>
            <w:tcW w:w="1500" w:type="dxa"/>
            <w:tcBorders>
              <w:start w:val="single" w:sz="2" w:space="0" w:color="000000"/>
            </w:tcBorders>
            <w:shd w:fill="auto" w:val="clear"/>
            <w:tcMar>
              <w:start w:w="27" w:type="dxa"/>
            </w:tcMar>
          </w:tcPr>
          <w:p>
            <w:pPr>
              <w:pStyle w:val="Normal"/>
              <w:rPr/>
            </w:pPr>
            <w:r>
              <w:rPr/>
              <w:t>-</w:t>
            </w:r>
          </w:p>
          <w:p>
            <w:pPr>
              <w:pStyle w:val="Normal"/>
              <w:rPr/>
            </w:pPr>
            <w:r>
              <w:rPr/>
            </w:r>
          </w:p>
        </w:tc>
        <w:tc>
          <w:tcPr>
            <w:tcW w:w="150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95 </w:t>
            </w:r>
          </w:p>
          <w:p>
            <w:pPr>
              <w:pStyle w:val="Normal"/>
              <w:rPr/>
            </w:pPr>
            <w:r>
              <w:rPr/>
            </w:r>
          </w:p>
        </w:tc>
      </w:tr>
      <w:tr>
        <w:trPr/>
        <w:tc>
          <w:tcPr>
            <w:tcW w:w="2085" w:type="dxa"/>
            <w:tcBorders>
              <w:start w:val="single" w:sz="2" w:space="0" w:color="000000"/>
              <w:bottom w:val="single" w:sz="2" w:space="0" w:color="000000"/>
              <w:insideH w:val="single" w:sz="2" w:space="0" w:color="000000"/>
            </w:tcBorders>
            <w:shd w:fill="auto" w:val="clear"/>
            <w:tcMar>
              <w:start w:w="27" w:type="dxa"/>
            </w:tcMar>
          </w:tcPr>
          <w:p>
            <w:pPr>
              <w:pStyle w:val="Preformat"/>
              <w:rPr/>
            </w:pPr>
            <w:r>
              <w:rPr>
                <w:vanish/>
              </w:rPr>
              <w:t>#G1</w:t>
            </w:r>
            <w:r>
              <w:rPr/>
              <w:t xml:space="preserve"> « 800  « 1000 </w:t>
            </w:r>
          </w:p>
          <w:p>
            <w:pPr>
              <w:pStyle w:val="Preformat"/>
              <w:rPr/>
            </w:pPr>
            <w:r>
              <w:rPr/>
            </w:r>
          </w:p>
        </w:tc>
        <w:tc>
          <w:tcPr>
            <w:tcW w:w="1440" w:type="dxa"/>
            <w:tcBorders>
              <w:start w:val="single" w:sz="2" w:space="0" w:color="000000"/>
              <w:bottom w:val="single" w:sz="2" w:space="0" w:color="000000"/>
              <w:insideH w:val="single" w:sz="2" w:space="0" w:color="000000"/>
            </w:tcBorders>
            <w:shd w:fill="auto" w:val="clear"/>
            <w:tcMar>
              <w:start w:w="27" w:type="dxa"/>
            </w:tcMar>
          </w:tcPr>
          <w:p>
            <w:pPr>
              <w:pStyle w:val="Normal"/>
              <w:jc w:val="center"/>
              <w:rPr/>
            </w:pPr>
            <w:r>
              <w:rPr>
                <w:vanish/>
              </w:rPr>
              <w:t>#G0</w:t>
            </w:r>
            <w:r>
              <w:rPr/>
              <w:t xml:space="preserve">3 </w:t>
            </w:r>
          </w:p>
          <w:p>
            <w:pPr>
              <w:pStyle w:val="Normal"/>
              <w:jc w:val="center"/>
              <w:rPr/>
            </w:pPr>
            <w:r>
              <w:rPr/>
            </w:r>
          </w:p>
        </w:tc>
        <w:tc>
          <w:tcPr>
            <w:tcW w:w="150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w:t>
            </w:r>
          </w:p>
          <w:p>
            <w:pPr>
              <w:pStyle w:val="Normal"/>
              <w:rPr/>
            </w:pPr>
            <w:r>
              <w:rPr/>
            </w:r>
          </w:p>
        </w:tc>
        <w:tc>
          <w:tcPr>
            <w:tcW w:w="150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100 </w:t>
            </w:r>
          </w:p>
          <w:p>
            <w:pPr>
              <w:pStyle w:val="Normal"/>
              <w:rPr/>
            </w:pPr>
            <w:r>
              <w:rPr/>
            </w:r>
          </w:p>
        </w:tc>
      </w:tr>
    </w:tbl>
    <w:p>
      <w:pPr>
        <w:pStyle w:val="Normal"/>
        <w:jc w:val="both"/>
        <w:rPr/>
      </w:pPr>
      <w:r>
        <w:rPr/>
      </w:r>
    </w:p>
    <w:p>
      <w:pPr>
        <w:pStyle w:val="Normal"/>
        <w:ind w:firstLine="270"/>
        <w:jc w:val="both"/>
        <w:rPr/>
      </w:pPr>
      <w:r>
        <w:rPr/>
        <w:t>Примечания: 1. Расход воды на наружное пожаротушение в населенном пункте должен быть не менее расхода воды на пожаротушение жилых и общественных зданий, указанных в табл. 6.</w:t>
      </w:r>
    </w:p>
    <w:p>
      <w:pPr>
        <w:pStyle w:val="Normal"/>
        <w:ind w:firstLine="270"/>
        <w:jc w:val="both"/>
        <w:rPr/>
      </w:pPr>
      <w:r>
        <w:rPr/>
      </w:r>
    </w:p>
    <w:p>
      <w:pPr>
        <w:pStyle w:val="Normal"/>
        <w:ind w:firstLine="225"/>
        <w:jc w:val="both"/>
        <w:rPr/>
      </w:pPr>
      <w:r>
        <w:rPr/>
        <w:t>2. При зонном водоснабжении расход воды на наружное пожаротушение и количество одновременных пожаров в каждой зоне следует принимать в зависимости от числа жителей, проживающих в зоне.</w:t>
      </w:r>
    </w:p>
    <w:p>
      <w:pPr>
        <w:pStyle w:val="Normal"/>
        <w:ind w:firstLine="225"/>
        <w:jc w:val="both"/>
        <w:rPr/>
      </w:pPr>
      <w:r>
        <w:rPr/>
      </w:r>
    </w:p>
    <w:p>
      <w:pPr>
        <w:pStyle w:val="Normal"/>
        <w:ind w:firstLine="225"/>
        <w:jc w:val="both"/>
        <w:rPr/>
      </w:pPr>
      <w:r>
        <w:rPr/>
        <w:t>3. Количество одновременных пожаров и расход воды на один пожар в населенных пунктах с числом жителей более 1 млн. чел. надлежит принимать согласно требованиям органов Государственного пожарного надзора.</w:t>
      </w:r>
    </w:p>
    <w:p>
      <w:pPr>
        <w:pStyle w:val="Normal"/>
        <w:ind w:firstLine="225"/>
        <w:jc w:val="both"/>
        <w:rPr/>
      </w:pPr>
      <w:r>
        <w:rPr/>
      </w:r>
    </w:p>
    <w:p>
      <w:pPr>
        <w:pStyle w:val="Normal"/>
        <w:ind w:firstLine="225"/>
        <w:jc w:val="both"/>
        <w:rPr/>
      </w:pPr>
      <w:r>
        <w:rPr/>
        <w:t>4. Для группового водопровода количество одновременных пожаров надлежит принимать в зависимости от общей численности жителей в населенных пунктах, подключенных к водопроводу.</w:t>
      </w:r>
    </w:p>
    <w:p>
      <w:pPr>
        <w:pStyle w:val="Normal"/>
        <w:ind w:firstLine="180"/>
        <w:jc w:val="both"/>
        <w:rPr/>
      </w:pPr>
      <w:r>
        <w:rPr/>
      </w:r>
    </w:p>
    <w:p>
      <w:pPr>
        <w:pStyle w:val="Normal"/>
        <w:ind w:firstLine="315"/>
        <w:jc w:val="both"/>
        <w:rPr/>
      </w:pPr>
      <w:r>
        <w:rPr/>
        <w:t>Расход воды на восстановление пожарного объема по групповому водопроводу следует определять как сумму расходов воды для населенных пунктов (соответственно количеству одновременных пожаров), требующих наибольших расходов на пожаротушение согласно пп. 2.24 и 2.25.</w:t>
      </w:r>
    </w:p>
    <w:p>
      <w:pPr>
        <w:pStyle w:val="Normal"/>
        <w:ind w:firstLine="225"/>
        <w:jc w:val="both"/>
        <w:rPr/>
      </w:pPr>
      <w:r>
        <w:rPr/>
      </w:r>
    </w:p>
    <w:p>
      <w:pPr>
        <w:pStyle w:val="Normal"/>
        <w:ind w:firstLine="270"/>
        <w:jc w:val="both"/>
        <w:rPr/>
      </w:pPr>
      <w:r>
        <w:rPr/>
        <w:t>5. В расчетное количество одновременных пожаров в населенном пункте включены пожары на промышленных предприятиях, расположенных в пределах населенного пункта. При этом в расчетный расход воды следует включать соответствующие расходы воды на пожаротушение на этих предприятиях, но не менее указанных в табл. 5.</w:t>
      </w:r>
    </w:p>
    <w:p>
      <w:pPr>
        <w:pStyle w:val="Normal"/>
        <w:ind w:firstLine="270"/>
        <w:jc w:val="both"/>
        <w:rPr/>
      </w:pPr>
      <w:r>
        <w:rPr/>
      </w:r>
    </w:p>
    <w:p>
      <w:pPr>
        <w:pStyle w:val="Normal"/>
        <w:jc w:val="end"/>
        <w:rPr/>
      </w:pPr>
      <w:r>
        <w:rPr/>
        <w:t xml:space="preserve">Таблица 6 </w:t>
      </w:r>
    </w:p>
    <w:p>
      <w:pPr>
        <w:pStyle w:val="Normal"/>
        <w:ind w:firstLine="270"/>
        <w:jc w:val="both"/>
        <w:rPr/>
      </w:pPr>
      <w:r>
        <w:rPr/>
      </w:r>
    </w:p>
    <w:p>
      <w:pPr>
        <w:pStyle w:val="Normal"/>
        <w:ind w:firstLine="270"/>
        <w:jc w:val="both"/>
        <w:rPr/>
      </w:pPr>
      <w:r>
        <w:rPr/>
      </w:r>
    </w:p>
    <w:tbl>
      <w:tblPr>
        <w:tblW w:w="6350"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2310"/>
        <w:gridCol w:w="825"/>
        <w:gridCol w:w="825"/>
        <w:gridCol w:w="825"/>
        <w:gridCol w:w="825"/>
        <w:gridCol w:w="740"/>
      </w:tblGrid>
      <w:tr>
        <w:trPr/>
        <w:tc>
          <w:tcPr>
            <w:tcW w:w="2310" w:type="dxa"/>
            <w:tcBorders>
              <w:top w:val="single" w:sz="2" w:space="0" w:color="000000"/>
              <w:start w:val="single" w:sz="2" w:space="0" w:color="000000"/>
            </w:tcBorders>
            <w:shd w:fill="auto" w:val="clear"/>
            <w:tcMar>
              <w:start w:w="42" w:type="dxa"/>
            </w:tcMar>
          </w:tcPr>
          <w:p>
            <w:pPr>
              <w:pStyle w:val="Normal"/>
              <w:jc w:val="center"/>
              <w:rPr>
                <w:vanish/>
              </w:rPr>
            </w:pPr>
            <w:r>
              <w:rPr>
                <w:vanish/>
              </w:rPr>
              <w:t>#G0</w:t>
            </w:r>
          </w:p>
          <w:p>
            <w:pPr>
              <w:pStyle w:val="Normal"/>
              <w:jc w:val="center"/>
              <w:rPr/>
            </w:pPr>
            <w:r>
              <w:rPr/>
              <w:t xml:space="preserve">Назначение зданий </w:t>
            </w:r>
          </w:p>
          <w:p>
            <w:pPr>
              <w:pStyle w:val="Normal"/>
              <w:jc w:val="center"/>
              <w:rPr/>
            </w:pPr>
            <w:r>
              <w:rPr/>
            </w:r>
          </w:p>
        </w:tc>
        <w:tc>
          <w:tcPr>
            <w:tcW w:w="4040" w:type="dxa"/>
            <w:gridSpan w:val="5"/>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Расход воды на один пожар, л/с, на наружное пожаротушение жилых и общественных зданий независимо от их степеней огнестойкости при объемах зданий, тыс. куб.м </w:t>
            </w:r>
          </w:p>
          <w:p>
            <w:pPr>
              <w:pStyle w:val="Normal"/>
              <w:rPr/>
            </w:pPr>
            <w:r>
              <w:rPr/>
            </w:r>
          </w:p>
        </w:tc>
      </w:tr>
      <w:tr>
        <w:trPr/>
        <w:tc>
          <w:tcPr>
            <w:tcW w:w="231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p>
          <w:p>
            <w:pPr>
              <w:pStyle w:val="Normal"/>
              <w:rPr/>
            </w:pPr>
            <w:r>
              <w:rPr/>
            </w:r>
          </w:p>
        </w:tc>
        <w:tc>
          <w:tcPr>
            <w:tcW w:w="825"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до 1 </w:t>
            </w:r>
          </w:p>
          <w:p>
            <w:pPr>
              <w:pStyle w:val="Normal"/>
              <w:jc w:val="center"/>
              <w:rPr/>
            </w:pPr>
            <w:r>
              <w:rPr/>
            </w:r>
          </w:p>
        </w:tc>
        <w:tc>
          <w:tcPr>
            <w:tcW w:w="82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св. 1 до 5 </w:t>
            </w:r>
          </w:p>
          <w:p>
            <w:pPr>
              <w:pStyle w:val="Normal"/>
              <w:rPr/>
            </w:pPr>
            <w:r>
              <w:rPr/>
            </w:r>
          </w:p>
        </w:tc>
        <w:tc>
          <w:tcPr>
            <w:tcW w:w="82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св. 5 до 25 </w:t>
            </w:r>
          </w:p>
          <w:p>
            <w:pPr>
              <w:pStyle w:val="Normal"/>
              <w:rPr/>
            </w:pPr>
            <w:r>
              <w:rPr/>
            </w:r>
          </w:p>
        </w:tc>
        <w:tc>
          <w:tcPr>
            <w:tcW w:w="82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св. 25 </w:t>
            </w:r>
          </w:p>
          <w:p>
            <w:pPr>
              <w:pStyle w:val="Normal"/>
              <w:rPr/>
            </w:pPr>
            <w:r>
              <w:rPr/>
              <w:t xml:space="preserve">до 50 </w:t>
            </w:r>
          </w:p>
          <w:p>
            <w:pPr>
              <w:pStyle w:val="Normal"/>
              <w:rPr/>
            </w:pPr>
            <w:r>
              <w:rPr/>
            </w:r>
          </w:p>
        </w:tc>
        <w:tc>
          <w:tcPr>
            <w:tcW w:w="74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св. 50 </w:t>
            </w:r>
          </w:p>
          <w:p>
            <w:pPr>
              <w:pStyle w:val="Normal"/>
              <w:rPr/>
            </w:pPr>
            <w:r>
              <w:rPr/>
              <w:t xml:space="preserve">до 150 </w:t>
            </w:r>
          </w:p>
          <w:p>
            <w:pPr>
              <w:pStyle w:val="Normal"/>
              <w:rPr/>
            </w:pPr>
            <w:r>
              <w:rPr/>
            </w:r>
          </w:p>
        </w:tc>
      </w:tr>
      <w:tr>
        <w:trPr/>
        <w:tc>
          <w:tcPr>
            <w:tcW w:w="2310" w:type="dxa"/>
            <w:tcBorders>
              <w:start w:val="single" w:sz="2" w:space="0" w:color="000000"/>
            </w:tcBorders>
            <w:shd w:fill="auto" w:val="clear"/>
            <w:tcMar>
              <w:start w:w="42" w:type="dxa"/>
            </w:tcMar>
          </w:tcPr>
          <w:p>
            <w:pPr>
              <w:pStyle w:val="Normal"/>
              <w:jc w:val="both"/>
              <w:rPr/>
            </w:pPr>
            <w:r>
              <w:rPr/>
              <w:t>Жилые здания односекционные и многосекционные при количестве этажей:</w:t>
            </w:r>
          </w:p>
          <w:p>
            <w:pPr>
              <w:pStyle w:val="Normal"/>
              <w:jc w:val="both"/>
              <w:rPr/>
            </w:pPr>
            <w:r>
              <w:rPr/>
            </w:r>
          </w:p>
          <w:p>
            <w:pPr>
              <w:pStyle w:val="Normal"/>
              <w:ind w:firstLine="765"/>
              <w:jc w:val="both"/>
              <w:rPr/>
            </w:pPr>
            <w:r>
              <w:rPr/>
              <w:t xml:space="preserve">до    2 </w:t>
            </w:r>
          </w:p>
          <w:p>
            <w:pPr>
              <w:pStyle w:val="Normal"/>
              <w:ind w:firstLine="765"/>
              <w:jc w:val="both"/>
              <w:rPr/>
            </w:pPr>
            <w:r>
              <w:rPr/>
            </w:r>
          </w:p>
        </w:tc>
        <w:tc>
          <w:tcPr>
            <w:tcW w:w="825" w:type="dxa"/>
            <w:tcBorders>
              <w:start w:val="single" w:sz="2" w:space="0" w:color="000000"/>
            </w:tcBorders>
            <w:shd w:fill="auto" w:val="clear"/>
            <w:tcMar>
              <w:start w:w="42" w:type="dxa"/>
            </w:tcMar>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10*</w:t>
            </w:r>
          </w:p>
          <w:p>
            <w:pPr>
              <w:pStyle w:val="Normal"/>
              <w:jc w:val="center"/>
              <w:rPr/>
            </w:pPr>
            <w:r>
              <w:rPr/>
            </w:r>
          </w:p>
        </w:tc>
        <w:tc>
          <w:tcPr>
            <w:tcW w:w="825" w:type="dxa"/>
            <w:tcBorders>
              <w:start w:val="single" w:sz="2" w:space="0" w:color="000000"/>
            </w:tcBorders>
            <w:shd w:fill="auto" w:val="clear"/>
            <w:tcMar>
              <w:start w:w="42" w:type="dxa"/>
            </w:tcMar>
          </w:tcPr>
          <w:p>
            <w:pPr>
              <w:pStyle w:val="Normal"/>
              <w:snapToGrid w:val="false"/>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10 </w:t>
            </w:r>
          </w:p>
          <w:p>
            <w:pPr>
              <w:pStyle w:val="Normal"/>
              <w:rPr/>
            </w:pPr>
            <w:r>
              <w:rPr/>
            </w:r>
          </w:p>
        </w:tc>
        <w:tc>
          <w:tcPr>
            <w:tcW w:w="825" w:type="dxa"/>
            <w:tcBorders>
              <w:start w:val="single" w:sz="2" w:space="0" w:color="000000"/>
            </w:tcBorders>
            <w:shd w:fill="auto" w:val="clear"/>
            <w:tcMar>
              <w:start w:w="42" w:type="dxa"/>
            </w:tcMar>
          </w:tcPr>
          <w:p>
            <w:pPr>
              <w:pStyle w:val="Normal"/>
              <w:snapToGrid w:val="false"/>
              <w:rPr/>
            </w:pPr>
            <w:r>
              <w:rPr/>
            </w:r>
          </w:p>
          <w:p>
            <w:pPr>
              <w:pStyle w:val="Normal"/>
              <w:rPr/>
            </w:pPr>
            <w:r>
              <w:rPr/>
            </w:r>
          </w:p>
          <w:p>
            <w:pPr>
              <w:pStyle w:val="Normal"/>
              <w:rPr/>
            </w:pPr>
            <w:r>
              <w:rPr/>
            </w:r>
          </w:p>
          <w:p>
            <w:pPr>
              <w:pStyle w:val="Normal"/>
              <w:rPr/>
            </w:pPr>
            <w:r>
              <w:rPr/>
            </w:r>
          </w:p>
          <w:p>
            <w:pPr>
              <w:pStyle w:val="Normal"/>
              <w:rPr/>
            </w:pPr>
            <w:r>
              <w:rPr/>
            </w:r>
          </w:p>
          <w:p>
            <w:pPr>
              <w:pStyle w:val="Normal"/>
              <w:rPr/>
            </w:pPr>
            <w:r>
              <w:rPr/>
              <w:t>-</w:t>
            </w:r>
          </w:p>
          <w:p>
            <w:pPr>
              <w:pStyle w:val="Normal"/>
              <w:rPr/>
            </w:pPr>
            <w:r>
              <w:rPr/>
            </w:r>
          </w:p>
        </w:tc>
        <w:tc>
          <w:tcPr>
            <w:tcW w:w="825" w:type="dxa"/>
            <w:tcBorders>
              <w:start w:val="single" w:sz="2" w:space="0" w:color="000000"/>
            </w:tcBorders>
            <w:shd w:fill="auto" w:val="clear"/>
            <w:tcMar>
              <w:start w:w="42" w:type="dxa"/>
            </w:tcMar>
          </w:tcPr>
          <w:p>
            <w:pPr>
              <w:pStyle w:val="Normal"/>
              <w:snapToGrid w:val="false"/>
              <w:rPr/>
            </w:pPr>
            <w:r>
              <w:rPr/>
            </w:r>
          </w:p>
          <w:p>
            <w:pPr>
              <w:pStyle w:val="Normal"/>
              <w:rPr/>
            </w:pPr>
            <w:r>
              <w:rPr/>
            </w:r>
          </w:p>
          <w:p>
            <w:pPr>
              <w:pStyle w:val="Normal"/>
              <w:rPr/>
            </w:pPr>
            <w:r>
              <w:rPr/>
            </w:r>
          </w:p>
          <w:p>
            <w:pPr>
              <w:pStyle w:val="Normal"/>
              <w:rPr/>
            </w:pPr>
            <w:r>
              <w:rPr/>
            </w:r>
          </w:p>
          <w:p>
            <w:pPr>
              <w:pStyle w:val="Normal"/>
              <w:rPr/>
            </w:pPr>
            <w:r>
              <w:rPr/>
            </w:r>
          </w:p>
          <w:p>
            <w:pPr>
              <w:pStyle w:val="Normal"/>
              <w:rPr/>
            </w:pPr>
            <w:r>
              <w:rPr/>
              <w:t>-</w:t>
            </w:r>
          </w:p>
          <w:p>
            <w:pPr>
              <w:pStyle w:val="Normal"/>
              <w:rPr/>
            </w:pPr>
            <w:r>
              <w:rPr/>
            </w:r>
          </w:p>
        </w:tc>
        <w:tc>
          <w:tcPr>
            <w:tcW w:w="740" w:type="dxa"/>
            <w:tcBorders>
              <w:start w:val="single" w:sz="2" w:space="0" w:color="000000"/>
              <w:end w:val="single" w:sz="2" w:space="0" w:color="000000"/>
              <w:insideV w:val="single" w:sz="2" w:space="0" w:color="000000"/>
            </w:tcBorders>
            <w:shd w:fill="auto" w:val="clear"/>
            <w:tcMar>
              <w:start w:w="42" w:type="dxa"/>
            </w:tcMar>
          </w:tcPr>
          <w:p>
            <w:pPr>
              <w:pStyle w:val="Normal"/>
              <w:snapToGrid w:val="false"/>
              <w:rPr/>
            </w:pPr>
            <w:r>
              <w:rPr/>
            </w:r>
          </w:p>
          <w:p>
            <w:pPr>
              <w:pStyle w:val="Normal"/>
              <w:rPr/>
            </w:pPr>
            <w:r>
              <w:rPr/>
            </w:r>
          </w:p>
          <w:p>
            <w:pPr>
              <w:pStyle w:val="Normal"/>
              <w:rPr/>
            </w:pPr>
            <w:r>
              <w:rPr/>
            </w:r>
          </w:p>
          <w:p>
            <w:pPr>
              <w:pStyle w:val="Normal"/>
              <w:rPr/>
            </w:pPr>
            <w:r>
              <w:rPr/>
            </w:r>
          </w:p>
          <w:p>
            <w:pPr>
              <w:pStyle w:val="Normal"/>
              <w:rPr/>
            </w:pPr>
            <w:r>
              <w:rPr/>
            </w:r>
          </w:p>
          <w:p>
            <w:pPr>
              <w:pStyle w:val="Normal"/>
              <w:rPr/>
            </w:pPr>
            <w:r>
              <w:rPr/>
              <w:t>-</w:t>
            </w:r>
          </w:p>
          <w:p>
            <w:pPr>
              <w:pStyle w:val="Normal"/>
              <w:rPr/>
            </w:pPr>
            <w:r>
              <w:rPr/>
            </w:r>
          </w:p>
        </w:tc>
      </w:tr>
      <w:tr>
        <w:trPr/>
        <w:tc>
          <w:tcPr>
            <w:tcW w:w="2310" w:type="dxa"/>
            <w:tcBorders>
              <w:start w:val="single" w:sz="2" w:space="0" w:color="000000"/>
            </w:tcBorders>
            <w:shd w:fill="auto" w:val="clear"/>
            <w:tcMar>
              <w:start w:w="42" w:type="dxa"/>
            </w:tcMar>
          </w:tcPr>
          <w:p>
            <w:pPr>
              <w:pStyle w:val="Normal"/>
              <w:ind w:firstLine="225"/>
              <w:jc w:val="both"/>
              <w:rPr/>
            </w:pPr>
            <w:r>
              <w:rPr/>
              <w:t xml:space="preserve">св.   2   «   12  </w:t>
            </w:r>
          </w:p>
          <w:p>
            <w:pPr>
              <w:pStyle w:val="Normal"/>
              <w:ind w:firstLine="225"/>
              <w:jc w:val="both"/>
              <w:rPr/>
            </w:pPr>
            <w:r>
              <w:rPr/>
            </w:r>
          </w:p>
        </w:tc>
        <w:tc>
          <w:tcPr>
            <w:tcW w:w="825" w:type="dxa"/>
            <w:tcBorders>
              <w:start w:val="single" w:sz="2" w:space="0" w:color="000000"/>
            </w:tcBorders>
            <w:shd w:fill="auto" w:val="clear"/>
            <w:tcMar>
              <w:start w:w="42" w:type="dxa"/>
            </w:tcMar>
          </w:tcPr>
          <w:p>
            <w:pPr>
              <w:pStyle w:val="Normal"/>
              <w:jc w:val="center"/>
              <w:rPr/>
            </w:pPr>
            <w:r>
              <w:rPr/>
              <w:t xml:space="preserve">10 </w:t>
            </w:r>
          </w:p>
          <w:p>
            <w:pPr>
              <w:pStyle w:val="Normal"/>
              <w:jc w:val="center"/>
              <w:rPr/>
            </w:pPr>
            <w:r>
              <w:rPr/>
            </w:r>
          </w:p>
        </w:tc>
        <w:tc>
          <w:tcPr>
            <w:tcW w:w="825" w:type="dxa"/>
            <w:tcBorders>
              <w:start w:val="single" w:sz="2" w:space="0" w:color="000000"/>
            </w:tcBorders>
            <w:shd w:fill="auto" w:val="clear"/>
            <w:tcMar>
              <w:start w:w="42" w:type="dxa"/>
            </w:tcMar>
          </w:tcPr>
          <w:p>
            <w:pPr>
              <w:pStyle w:val="Normal"/>
              <w:rPr/>
            </w:pPr>
            <w:r>
              <w:rPr/>
              <w:t xml:space="preserve">15 </w:t>
            </w:r>
          </w:p>
          <w:p>
            <w:pPr>
              <w:pStyle w:val="Normal"/>
              <w:rPr/>
            </w:pPr>
            <w:r>
              <w:rPr/>
            </w:r>
          </w:p>
        </w:tc>
        <w:tc>
          <w:tcPr>
            <w:tcW w:w="825" w:type="dxa"/>
            <w:tcBorders>
              <w:start w:val="single" w:sz="2" w:space="0" w:color="000000"/>
            </w:tcBorders>
            <w:shd w:fill="auto" w:val="clear"/>
            <w:tcMar>
              <w:start w:w="42" w:type="dxa"/>
            </w:tcMar>
          </w:tcPr>
          <w:p>
            <w:pPr>
              <w:pStyle w:val="Normal"/>
              <w:rPr/>
            </w:pPr>
            <w:r>
              <w:rPr/>
              <w:t xml:space="preserve">15 </w:t>
            </w:r>
          </w:p>
          <w:p>
            <w:pPr>
              <w:pStyle w:val="Normal"/>
              <w:rPr/>
            </w:pPr>
            <w:r>
              <w:rPr/>
            </w:r>
          </w:p>
        </w:tc>
        <w:tc>
          <w:tcPr>
            <w:tcW w:w="825" w:type="dxa"/>
            <w:tcBorders>
              <w:start w:val="single" w:sz="2" w:space="0" w:color="000000"/>
            </w:tcBorders>
            <w:shd w:fill="auto" w:val="clear"/>
            <w:tcMar>
              <w:start w:w="42" w:type="dxa"/>
            </w:tcMar>
          </w:tcPr>
          <w:p>
            <w:pPr>
              <w:pStyle w:val="Normal"/>
              <w:rPr/>
            </w:pPr>
            <w:r>
              <w:rPr/>
              <w:t xml:space="preserve">20 </w:t>
            </w:r>
          </w:p>
          <w:p>
            <w:pPr>
              <w:pStyle w:val="Normal"/>
              <w:rPr/>
            </w:pPr>
            <w:r>
              <w:rPr/>
            </w:r>
          </w:p>
        </w:tc>
        <w:tc>
          <w:tcPr>
            <w:tcW w:w="74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       </w:t>
            </w:r>
            <w:r>
              <w:rPr/>
              <w:t>-</w:t>
            </w:r>
          </w:p>
          <w:p>
            <w:pPr>
              <w:pStyle w:val="Normal"/>
              <w:rPr/>
            </w:pPr>
            <w:r>
              <w:rPr/>
            </w:r>
          </w:p>
        </w:tc>
      </w:tr>
      <w:tr>
        <w:trPr/>
        <w:tc>
          <w:tcPr>
            <w:tcW w:w="2310" w:type="dxa"/>
            <w:tcBorders>
              <w:start w:val="single" w:sz="2" w:space="0" w:color="000000"/>
            </w:tcBorders>
            <w:shd w:fill="auto" w:val="clear"/>
            <w:tcMar>
              <w:start w:w="42" w:type="dxa"/>
            </w:tcMar>
          </w:tcPr>
          <w:p>
            <w:pPr>
              <w:pStyle w:val="Normal"/>
              <w:ind w:firstLine="270"/>
              <w:jc w:val="both"/>
              <w:rPr/>
            </w:pPr>
            <w:r>
              <w:rPr/>
              <w:t xml:space="preserve">«   12   «   16 </w:t>
            </w:r>
          </w:p>
          <w:p>
            <w:pPr>
              <w:pStyle w:val="Normal"/>
              <w:ind w:firstLine="270"/>
              <w:jc w:val="both"/>
              <w:rPr/>
            </w:pPr>
            <w:r>
              <w:rPr/>
            </w:r>
          </w:p>
        </w:tc>
        <w:tc>
          <w:tcPr>
            <w:tcW w:w="82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82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825" w:type="dxa"/>
            <w:tcBorders>
              <w:start w:val="single" w:sz="2" w:space="0" w:color="000000"/>
            </w:tcBorders>
            <w:shd w:fill="auto" w:val="clear"/>
            <w:tcMar>
              <w:start w:w="42" w:type="dxa"/>
            </w:tcMar>
          </w:tcPr>
          <w:p>
            <w:pPr>
              <w:pStyle w:val="Normal"/>
              <w:jc w:val="center"/>
              <w:rPr/>
            </w:pPr>
            <w:r>
              <w:rPr/>
              <w:t xml:space="preserve">20 </w:t>
            </w:r>
          </w:p>
          <w:p>
            <w:pPr>
              <w:pStyle w:val="Normal"/>
              <w:jc w:val="center"/>
              <w:rPr/>
            </w:pPr>
            <w:r>
              <w:rPr/>
            </w:r>
          </w:p>
        </w:tc>
        <w:tc>
          <w:tcPr>
            <w:tcW w:w="825" w:type="dxa"/>
            <w:tcBorders>
              <w:start w:val="single" w:sz="2" w:space="0" w:color="000000"/>
            </w:tcBorders>
            <w:shd w:fill="auto" w:val="clear"/>
            <w:tcMar>
              <w:start w:w="42" w:type="dxa"/>
            </w:tcMar>
          </w:tcPr>
          <w:p>
            <w:pPr>
              <w:pStyle w:val="Normal"/>
              <w:rPr/>
            </w:pPr>
            <w:r>
              <w:rPr/>
              <w:t xml:space="preserve">25 </w:t>
            </w:r>
          </w:p>
          <w:p>
            <w:pPr>
              <w:pStyle w:val="Normal"/>
              <w:rPr/>
            </w:pPr>
            <w:r>
              <w:rPr/>
            </w:r>
          </w:p>
        </w:tc>
        <w:tc>
          <w:tcPr>
            <w:tcW w:w="74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       </w:t>
            </w:r>
            <w:r>
              <w:rPr/>
              <w:t>-</w:t>
            </w:r>
          </w:p>
          <w:p>
            <w:pPr>
              <w:pStyle w:val="Normal"/>
              <w:rPr/>
            </w:pPr>
            <w:r>
              <w:rPr/>
            </w:r>
          </w:p>
        </w:tc>
      </w:tr>
      <w:tr>
        <w:trPr/>
        <w:tc>
          <w:tcPr>
            <w:tcW w:w="2310" w:type="dxa"/>
            <w:tcBorders>
              <w:start w:val="single" w:sz="2" w:space="0" w:color="000000"/>
            </w:tcBorders>
            <w:shd w:fill="auto" w:val="clear"/>
            <w:tcMar>
              <w:start w:w="42" w:type="dxa"/>
            </w:tcMar>
          </w:tcPr>
          <w:p>
            <w:pPr>
              <w:pStyle w:val="Normal"/>
              <w:ind w:firstLine="270"/>
              <w:jc w:val="both"/>
              <w:rPr/>
            </w:pPr>
            <w:r>
              <w:rPr/>
              <w:t xml:space="preserve">«   16   «   25 </w:t>
            </w:r>
          </w:p>
          <w:p>
            <w:pPr>
              <w:pStyle w:val="Normal"/>
              <w:ind w:firstLine="270"/>
              <w:jc w:val="both"/>
              <w:rPr/>
            </w:pPr>
            <w:r>
              <w:rPr/>
            </w:r>
          </w:p>
        </w:tc>
        <w:tc>
          <w:tcPr>
            <w:tcW w:w="82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82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82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825" w:type="dxa"/>
            <w:tcBorders>
              <w:start w:val="single" w:sz="2" w:space="0" w:color="000000"/>
            </w:tcBorders>
            <w:shd w:fill="auto" w:val="clear"/>
            <w:tcMar>
              <w:start w:w="42" w:type="dxa"/>
            </w:tcMar>
          </w:tcPr>
          <w:p>
            <w:pPr>
              <w:pStyle w:val="Normal"/>
              <w:jc w:val="center"/>
              <w:rPr/>
            </w:pPr>
            <w:r>
              <w:rPr/>
              <w:t xml:space="preserve">25 </w:t>
            </w:r>
          </w:p>
          <w:p>
            <w:pPr>
              <w:pStyle w:val="Normal"/>
              <w:jc w:val="center"/>
              <w:rPr/>
            </w:pPr>
            <w:r>
              <w:rPr/>
            </w:r>
          </w:p>
        </w:tc>
        <w:tc>
          <w:tcPr>
            <w:tcW w:w="74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30 </w:t>
            </w:r>
          </w:p>
          <w:p>
            <w:pPr>
              <w:pStyle w:val="Normal"/>
              <w:rPr/>
            </w:pPr>
            <w:r>
              <w:rPr/>
            </w:r>
          </w:p>
        </w:tc>
      </w:tr>
      <w:tr>
        <w:trPr/>
        <w:tc>
          <w:tcPr>
            <w:tcW w:w="2310" w:type="dxa"/>
            <w:tcBorders>
              <w:start w:val="single" w:sz="2" w:space="0" w:color="000000"/>
            </w:tcBorders>
            <w:shd w:fill="auto" w:val="clear"/>
            <w:tcMar>
              <w:start w:w="42" w:type="dxa"/>
            </w:tcMar>
          </w:tcPr>
          <w:p>
            <w:pPr>
              <w:pStyle w:val="Normal"/>
              <w:jc w:val="both"/>
              <w:rPr/>
            </w:pPr>
            <w:r>
              <w:rPr/>
              <w:t>Общественные здания при количестве этажей:</w:t>
            </w:r>
          </w:p>
          <w:p>
            <w:pPr>
              <w:pStyle w:val="Normal"/>
              <w:jc w:val="both"/>
              <w:rPr/>
            </w:pPr>
            <w:r>
              <w:rPr/>
            </w:r>
          </w:p>
          <w:p>
            <w:pPr>
              <w:pStyle w:val="Normal"/>
              <w:ind w:firstLine="765"/>
              <w:jc w:val="both"/>
              <w:rPr/>
            </w:pPr>
            <w:r>
              <w:rPr/>
              <w:t xml:space="preserve">до    2 </w:t>
            </w:r>
          </w:p>
          <w:p>
            <w:pPr>
              <w:pStyle w:val="Normal"/>
              <w:ind w:firstLine="765"/>
              <w:jc w:val="both"/>
              <w:rPr/>
            </w:pPr>
            <w:r>
              <w:rPr/>
            </w:r>
          </w:p>
        </w:tc>
        <w:tc>
          <w:tcPr>
            <w:tcW w:w="825" w:type="dxa"/>
            <w:tcBorders>
              <w:start w:val="single" w:sz="2" w:space="0" w:color="000000"/>
            </w:tcBorders>
            <w:shd w:fill="auto" w:val="clear"/>
            <w:tcMar>
              <w:start w:w="42" w:type="dxa"/>
            </w:tcMar>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t>10*</w:t>
            </w:r>
          </w:p>
          <w:p>
            <w:pPr>
              <w:pStyle w:val="Normal"/>
              <w:jc w:val="center"/>
              <w:rPr/>
            </w:pPr>
            <w:r>
              <w:rPr/>
            </w:r>
          </w:p>
        </w:tc>
        <w:tc>
          <w:tcPr>
            <w:tcW w:w="825" w:type="dxa"/>
            <w:tcBorders>
              <w:start w:val="single" w:sz="2" w:space="0" w:color="000000"/>
            </w:tcBorders>
            <w:shd w:fill="auto" w:val="clear"/>
            <w:tcMar>
              <w:start w:w="42" w:type="dxa"/>
            </w:tcMar>
          </w:tcPr>
          <w:p>
            <w:pPr>
              <w:pStyle w:val="Normal"/>
              <w:snapToGrid w:val="false"/>
              <w:rPr/>
            </w:pPr>
            <w:r>
              <w:rPr/>
            </w:r>
          </w:p>
          <w:p>
            <w:pPr>
              <w:pStyle w:val="Normal"/>
              <w:rPr/>
            </w:pPr>
            <w:r>
              <w:rPr/>
            </w:r>
          </w:p>
          <w:p>
            <w:pPr>
              <w:pStyle w:val="Normal"/>
              <w:rPr/>
            </w:pPr>
            <w:r>
              <w:rPr/>
            </w:r>
          </w:p>
          <w:p>
            <w:pPr>
              <w:pStyle w:val="Normal"/>
              <w:rPr/>
            </w:pPr>
            <w:r>
              <w:rPr/>
              <w:t xml:space="preserve">10 </w:t>
            </w:r>
          </w:p>
          <w:p>
            <w:pPr>
              <w:pStyle w:val="Normal"/>
              <w:rPr/>
            </w:pPr>
            <w:r>
              <w:rPr/>
            </w:r>
          </w:p>
        </w:tc>
        <w:tc>
          <w:tcPr>
            <w:tcW w:w="825" w:type="dxa"/>
            <w:tcBorders>
              <w:start w:val="single" w:sz="2" w:space="0" w:color="000000"/>
            </w:tcBorders>
            <w:shd w:fill="auto" w:val="clear"/>
            <w:tcMar>
              <w:start w:w="42" w:type="dxa"/>
            </w:tcMar>
          </w:tcPr>
          <w:p>
            <w:pPr>
              <w:pStyle w:val="Normal"/>
              <w:snapToGrid w:val="false"/>
              <w:rPr/>
            </w:pPr>
            <w:r>
              <w:rPr/>
            </w:r>
          </w:p>
          <w:p>
            <w:pPr>
              <w:pStyle w:val="Normal"/>
              <w:rPr/>
            </w:pPr>
            <w:r>
              <w:rPr/>
            </w:r>
          </w:p>
          <w:p>
            <w:pPr>
              <w:pStyle w:val="Normal"/>
              <w:rPr/>
            </w:pPr>
            <w:r>
              <w:rPr/>
            </w:r>
          </w:p>
          <w:p>
            <w:pPr>
              <w:pStyle w:val="Normal"/>
              <w:rPr/>
            </w:pPr>
            <w:r>
              <w:rPr/>
              <w:t xml:space="preserve">15 </w:t>
            </w:r>
          </w:p>
          <w:p>
            <w:pPr>
              <w:pStyle w:val="Normal"/>
              <w:rPr/>
            </w:pPr>
            <w:r>
              <w:rPr/>
            </w:r>
          </w:p>
        </w:tc>
        <w:tc>
          <w:tcPr>
            <w:tcW w:w="825" w:type="dxa"/>
            <w:tcBorders>
              <w:start w:val="single" w:sz="2" w:space="0" w:color="000000"/>
            </w:tcBorders>
            <w:shd w:fill="auto" w:val="clear"/>
            <w:tcMar>
              <w:start w:w="42" w:type="dxa"/>
            </w:tcMar>
          </w:tcPr>
          <w:p>
            <w:pPr>
              <w:pStyle w:val="Normal"/>
              <w:snapToGrid w:val="false"/>
              <w:rPr/>
            </w:pPr>
            <w:r>
              <w:rPr/>
            </w:r>
          </w:p>
          <w:p>
            <w:pPr>
              <w:pStyle w:val="Normal"/>
              <w:rPr/>
            </w:pPr>
            <w:r>
              <w:rPr/>
            </w:r>
          </w:p>
          <w:p>
            <w:pPr>
              <w:pStyle w:val="Normal"/>
              <w:rPr/>
            </w:pPr>
            <w:r>
              <w:rPr/>
            </w:r>
          </w:p>
          <w:p>
            <w:pPr>
              <w:pStyle w:val="Normal"/>
              <w:rPr/>
            </w:pPr>
            <w:r>
              <w:rPr/>
              <w:t>-</w:t>
            </w:r>
          </w:p>
          <w:p>
            <w:pPr>
              <w:pStyle w:val="Normal"/>
              <w:rPr/>
            </w:pPr>
            <w:r>
              <w:rPr/>
            </w:r>
          </w:p>
        </w:tc>
        <w:tc>
          <w:tcPr>
            <w:tcW w:w="740" w:type="dxa"/>
            <w:tcBorders>
              <w:start w:val="single" w:sz="2" w:space="0" w:color="000000"/>
              <w:end w:val="single" w:sz="2" w:space="0" w:color="000000"/>
              <w:insideV w:val="single" w:sz="2" w:space="0" w:color="000000"/>
            </w:tcBorders>
            <w:shd w:fill="auto" w:val="clear"/>
            <w:tcMar>
              <w:start w:w="42" w:type="dxa"/>
            </w:tcMar>
          </w:tcPr>
          <w:p>
            <w:pPr>
              <w:pStyle w:val="Normal"/>
              <w:snapToGrid w:val="false"/>
              <w:rPr/>
            </w:pPr>
            <w:r>
              <w:rPr/>
            </w:r>
          </w:p>
          <w:p>
            <w:pPr>
              <w:pStyle w:val="Normal"/>
              <w:rPr/>
            </w:pPr>
            <w:r>
              <w:rPr/>
            </w:r>
          </w:p>
          <w:p>
            <w:pPr>
              <w:pStyle w:val="Normal"/>
              <w:rPr/>
            </w:pPr>
            <w:r>
              <w:rPr/>
            </w:r>
          </w:p>
          <w:p>
            <w:pPr>
              <w:pStyle w:val="Normal"/>
              <w:rPr/>
            </w:pPr>
            <w:r>
              <w:rPr/>
              <w:t>-</w:t>
            </w:r>
          </w:p>
          <w:p>
            <w:pPr>
              <w:pStyle w:val="Normal"/>
              <w:rPr/>
            </w:pPr>
            <w:r>
              <w:rPr/>
            </w:r>
          </w:p>
        </w:tc>
      </w:tr>
      <w:tr>
        <w:trPr/>
        <w:tc>
          <w:tcPr>
            <w:tcW w:w="2310" w:type="dxa"/>
            <w:tcBorders>
              <w:start w:val="single" w:sz="2" w:space="0" w:color="000000"/>
            </w:tcBorders>
            <w:shd w:fill="auto" w:val="clear"/>
            <w:tcMar>
              <w:start w:w="42" w:type="dxa"/>
            </w:tcMar>
          </w:tcPr>
          <w:p>
            <w:pPr>
              <w:pStyle w:val="Normal"/>
              <w:ind w:firstLine="225"/>
              <w:jc w:val="both"/>
              <w:rPr/>
            </w:pPr>
            <w:r>
              <w:rPr/>
              <w:t xml:space="preserve">св.   2   «     6 </w:t>
            </w:r>
          </w:p>
          <w:p>
            <w:pPr>
              <w:pStyle w:val="Normal"/>
              <w:ind w:firstLine="225"/>
              <w:jc w:val="both"/>
              <w:rPr/>
            </w:pPr>
            <w:r>
              <w:rPr/>
            </w:r>
          </w:p>
        </w:tc>
        <w:tc>
          <w:tcPr>
            <w:tcW w:w="825" w:type="dxa"/>
            <w:tcBorders>
              <w:start w:val="single" w:sz="2" w:space="0" w:color="000000"/>
            </w:tcBorders>
            <w:shd w:fill="auto" w:val="clear"/>
            <w:tcMar>
              <w:start w:w="42" w:type="dxa"/>
            </w:tcMar>
          </w:tcPr>
          <w:p>
            <w:pPr>
              <w:pStyle w:val="Normal"/>
              <w:jc w:val="center"/>
              <w:rPr/>
            </w:pPr>
            <w:r>
              <w:rPr/>
              <w:t xml:space="preserve">10 </w:t>
            </w:r>
          </w:p>
          <w:p>
            <w:pPr>
              <w:pStyle w:val="Normal"/>
              <w:jc w:val="center"/>
              <w:rPr/>
            </w:pPr>
            <w:r>
              <w:rPr/>
            </w:r>
          </w:p>
        </w:tc>
        <w:tc>
          <w:tcPr>
            <w:tcW w:w="825" w:type="dxa"/>
            <w:tcBorders>
              <w:start w:val="single" w:sz="2" w:space="0" w:color="000000"/>
            </w:tcBorders>
            <w:shd w:fill="auto" w:val="clear"/>
            <w:tcMar>
              <w:start w:w="42" w:type="dxa"/>
            </w:tcMar>
          </w:tcPr>
          <w:p>
            <w:pPr>
              <w:pStyle w:val="Normal"/>
              <w:rPr/>
            </w:pPr>
            <w:r>
              <w:rPr/>
              <w:t xml:space="preserve">15 </w:t>
            </w:r>
          </w:p>
          <w:p>
            <w:pPr>
              <w:pStyle w:val="Normal"/>
              <w:rPr/>
            </w:pPr>
            <w:r>
              <w:rPr/>
            </w:r>
          </w:p>
        </w:tc>
        <w:tc>
          <w:tcPr>
            <w:tcW w:w="825" w:type="dxa"/>
            <w:tcBorders>
              <w:start w:val="single" w:sz="2" w:space="0" w:color="000000"/>
            </w:tcBorders>
            <w:shd w:fill="auto" w:val="clear"/>
            <w:tcMar>
              <w:start w:w="42" w:type="dxa"/>
            </w:tcMar>
          </w:tcPr>
          <w:p>
            <w:pPr>
              <w:pStyle w:val="Normal"/>
              <w:rPr/>
            </w:pPr>
            <w:r>
              <w:rPr/>
              <w:t xml:space="preserve">20 </w:t>
            </w:r>
          </w:p>
          <w:p>
            <w:pPr>
              <w:pStyle w:val="Normal"/>
              <w:rPr/>
            </w:pPr>
            <w:r>
              <w:rPr/>
            </w:r>
          </w:p>
        </w:tc>
        <w:tc>
          <w:tcPr>
            <w:tcW w:w="825" w:type="dxa"/>
            <w:tcBorders>
              <w:start w:val="single" w:sz="2" w:space="0" w:color="000000"/>
            </w:tcBorders>
            <w:shd w:fill="auto" w:val="clear"/>
            <w:tcMar>
              <w:start w:w="42" w:type="dxa"/>
            </w:tcMar>
          </w:tcPr>
          <w:p>
            <w:pPr>
              <w:pStyle w:val="Normal"/>
              <w:rPr/>
            </w:pPr>
            <w:r>
              <w:rPr/>
              <w:t xml:space="preserve">25 </w:t>
            </w:r>
          </w:p>
          <w:p>
            <w:pPr>
              <w:pStyle w:val="Normal"/>
              <w:rPr/>
            </w:pPr>
            <w:r>
              <w:rPr/>
            </w:r>
          </w:p>
        </w:tc>
        <w:tc>
          <w:tcPr>
            <w:tcW w:w="74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30 </w:t>
            </w:r>
          </w:p>
          <w:p>
            <w:pPr>
              <w:pStyle w:val="Normal"/>
              <w:rPr/>
            </w:pPr>
            <w:r>
              <w:rPr/>
            </w:r>
          </w:p>
        </w:tc>
      </w:tr>
      <w:tr>
        <w:trPr/>
        <w:tc>
          <w:tcPr>
            <w:tcW w:w="2310" w:type="dxa"/>
            <w:tcBorders>
              <w:start w:val="single" w:sz="2" w:space="0" w:color="000000"/>
            </w:tcBorders>
            <w:shd w:fill="auto" w:val="clear"/>
            <w:tcMar>
              <w:start w:w="42" w:type="dxa"/>
            </w:tcMar>
          </w:tcPr>
          <w:p>
            <w:pPr>
              <w:pStyle w:val="Normal"/>
              <w:ind w:firstLine="270"/>
              <w:jc w:val="both"/>
              <w:rPr/>
            </w:pPr>
            <w:r>
              <w:rPr/>
              <w:t xml:space="preserve">«     6   «   12 </w:t>
            </w:r>
          </w:p>
          <w:p>
            <w:pPr>
              <w:pStyle w:val="Normal"/>
              <w:ind w:firstLine="270"/>
              <w:jc w:val="both"/>
              <w:rPr/>
            </w:pPr>
            <w:r>
              <w:rPr/>
            </w:r>
          </w:p>
        </w:tc>
        <w:tc>
          <w:tcPr>
            <w:tcW w:w="82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82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825" w:type="dxa"/>
            <w:tcBorders>
              <w:start w:val="single" w:sz="2" w:space="0" w:color="000000"/>
            </w:tcBorders>
            <w:shd w:fill="auto" w:val="clear"/>
            <w:tcMar>
              <w:start w:w="42" w:type="dxa"/>
            </w:tcMar>
          </w:tcPr>
          <w:p>
            <w:pPr>
              <w:pStyle w:val="Normal"/>
              <w:jc w:val="center"/>
              <w:rPr/>
            </w:pPr>
            <w:r>
              <w:rPr/>
              <w:t xml:space="preserve">25 </w:t>
            </w:r>
          </w:p>
          <w:p>
            <w:pPr>
              <w:pStyle w:val="Normal"/>
              <w:jc w:val="center"/>
              <w:rPr/>
            </w:pPr>
            <w:r>
              <w:rPr/>
            </w:r>
          </w:p>
        </w:tc>
        <w:tc>
          <w:tcPr>
            <w:tcW w:w="825" w:type="dxa"/>
            <w:tcBorders>
              <w:start w:val="single" w:sz="2" w:space="0" w:color="000000"/>
            </w:tcBorders>
            <w:shd w:fill="auto" w:val="clear"/>
            <w:tcMar>
              <w:start w:w="42" w:type="dxa"/>
            </w:tcMar>
          </w:tcPr>
          <w:p>
            <w:pPr>
              <w:pStyle w:val="Normal"/>
              <w:rPr/>
            </w:pPr>
            <w:r>
              <w:rPr/>
              <w:t xml:space="preserve">30 </w:t>
            </w:r>
          </w:p>
          <w:p>
            <w:pPr>
              <w:pStyle w:val="Normal"/>
              <w:rPr/>
            </w:pPr>
            <w:r>
              <w:rPr/>
            </w:r>
          </w:p>
        </w:tc>
        <w:tc>
          <w:tcPr>
            <w:tcW w:w="74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35 </w:t>
            </w:r>
          </w:p>
          <w:p>
            <w:pPr>
              <w:pStyle w:val="Normal"/>
              <w:rPr/>
            </w:pPr>
            <w:r>
              <w:rPr/>
            </w:r>
          </w:p>
        </w:tc>
      </w:tr>
      <w:tr>
        <w:trPr/>
        <w:tc>
          <w:tcPr>
            <w:tcW w:w="2310" w:type="dxa"/>
            <w:tcBorders>
              <w:start w:val="single" w:sz="2" w:space="0" w:color="000000"/>
              <w:bottom w:val="single" w:sz="2" w:space="0" w:color="000000"/>
              <w:insideH w:val="single" w:sz="2" w:space="0" w:color="000000"/>
            </w:tcBorders>
            <w:shd w:fill="auto" w:val="clear"/>
            <w:tcMar>
              <w:start w:w="42" w:type="dxa"/>
            </w:tcMar>
          </w:tcPr>
          <w:p>
            <w:pPr>
              <w:pStyle w:val="Normal"/>
              <w:ind w:firstLine="270"/>
              <w:jc w:val="both"/>
              <w:rPr/>
            </w:pPr>
            <w:r>
              <w:rPr/>
              <w:t xml:space="preserve">«   12   «   16 </w:t>
            </w:r>
          </w:p>
          <w:p>
            <w:pPr>
              <w:pStyle w:val="Normal"/>
              <w:ind w:firstLine="270"/>
              <w:jc w:val="both"/>
              <w:rPr/>
            </w:pPr>
            <w:r>
              <w:rPr/>
            </w:r>
          </w:p>
        </w:tc>
        <w:tc>
          <w:tcPr>
            <w:tcW w:w="82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r>
              <w:rPr/>
              <w:t>-</w:t>
            </w:r>
          </w:p>
          <w:p>
            <w:pPr>
              <w:pStyle w:val="Normal"/>
              <w:rPr/>
            </w:pPr>
            <w:r>
              <w:rPr/>
            </w:r>
          </w:p>
        </w:tc>
        <w:tc>
          <w:tcPr>
            <w:tcW w:w="82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r>
              <w:rPr/>
              <w:t xml:space="preserve">-  </w:t>
            </w:r>
          </w:p>
          <w:p>
            <w:pPr>
              <w:pStyle w:val="Normal"/>
              <w:rPr/>
            </w:pPr>
            <w:r>
              <w:rPr/>
            </w:r>
          </w:p>
        </w:tc>
        <w:tc>
          <w:tcPr>
            <w:tcW w:w="82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r>
              <w:rPr/>
              <w:t>-</w:t>
            </w:r>
          </w:p>
          <w:p>
            <w:pPr>
              <w:pStyle w:val="Normal"/>
              <w:rPr/>
            </w:pPr>
            <w:r>
              <w:rPr/>
            </w:r>
          </w:p>
        </w:tc>
        <w:tc>
          <w:tcPr>
            <w:tcW w:w="825"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30 </w:t>
            </w:r>
          </w:p>
          <w:p>
            <w:pPr>
              <w:pStyle w:val="Normal"/>
              <w:jc w:val="center"/>
              <w:rPr/>
            </w:pPr>
            <w:r>
              <w:rPr/>
            </w:r>
          </w:p>
        </w:tc>
        <w:tc>
          <w:tcPr>
            <w:tcW w:w="74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35 </w:t>
            </w:r>
          </w:p>
          <w:p>
            <w:pPr>
              <w:pStyle w:val="Normal"/>
              <w:rPr/>
            </w:pPr>
            <w:r>
              <w:rPr/>
            </w:r>
          </w:p>
        </w:tc>
      </w:tr>
    </w:tbl>
    <w:p>
      <w:pPr>
        <w:pStyle w:val="Normal"/>
        <w:jc w:val="both"/>
        <w:rPr/>
      </w:pPr>
      <w:r>
        <w:rPr/>
      </w:r>
    </w:p>
    <w:p>
      <w:pPr>
        <w:pStyle w:val="Normal"/>
        <w:jc w:val="both"/>
        <w:rPr/>
      </w:pPr>
      <w:r>
        <w:rPr/>
        <w:t>_____________</w:t>
      </w:r>
    </w:p>
    <w:p>
      <w:pPr>
        <w:pStyle w:val="Normal"/>
        <w:ind w:firstLine="270"/>
        <w:jc w:val="both"/>
        <w:rPr/>
      </w:pPr>
      <w:r>
        <w:rPr/>
        <w:t>* Для сельских населенных пунктов расход воды на один пожар - 5 л/с.</w:t>
      </w:r>
    </w:p>
    <w:p>
      <w:pPr>
        <w:pStyle w:val="Normal"/>
        <w:ind w:firstLine="270"/>
        <w:jc w:val="both"/>
        <w:rPr/>
      </w:pPr>
      <w:r>
        <w:rPr/>
      </w:r>
    </w:p>
    <w:p>
      <w:pPr>
        <w:pStyle w:val="Normal"/>
        <w:ind w:firstLine="270"/>
        <w:jc w:val="both"/>
        <w:rPr/>
      </w:pPr>
      <w:r>
        <w:rPr/>
        <w:t>Примечание. Расходы воды на наружное пожаротушение зданий высотой или объемом свыше указанных в табл. 6, а также общественных зданий объемом свыше 25 тыс. куб.м с большим скоплением людей (зрелищные предприятия, торговые центры, универмаги и др.) надлежит принимать и согласовывать в установленном порядке.</w:t>
      </w:r>
    </w:p>
    <w:p>
      <w:pPr>
        <w:pStyle w:val="Normal"/>
        <w:ind w:firstLine="270"/>
        <w:jc w:val="both"/>
        <w:rPr/>
      </w:pPr>
      <w:r>
        <w:rPr/>
      </w:r>
    </w:p>
    <w:p>
      <w:pPr>
        <w:pStyle w:val="Normal"/>
        <w:jc w:val="end"/>
        <w:rPr/>
      </w:pPr>
      <w:r>
        <w:rPr/>
        <w:t xml:space="preserve">Таблица 7 </w:t>
      </w:r>
    </w:p>
    <w:p>
      <w:pPr>
        <w:pStyle w:val="Normal"/>
        <w:jc w:val="both"/>
        <w:rPr/>
      </w:pPr>
      <w:r>
        <w:rPr/>
      </w:r>
    </w:p>
    <w:p>
      <w:pPr>
        <w:pStyle w:val="Normal"/>
        <w:jc w:val="both"/>
        <w:rPr/>
      </w:pPr>
      <w:r>
        <w:rPr/>
      </w:r>
    </w:p>
    <w:tbl>
      <w:tblPr>
        <w:tblW w:w="8735"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1425"/>
        <w:gridCol w:w="1215"/>
        <w:gridCol w:w="630"/>
        <w:gridCol w:w="1065"/>
        <w:gridCol w:w="810"/>
        <w:gridCol w:w="885"/>
        <w:gridCol w:w="840"/>
        <w:gridCol w:w="930"/>
        <w:gridCol w:w="935"/>
      </w:tblGrid>
      <w:tr>
        <w:trPr/>
        <w:tc>
          <w:tcPr>
            <w:tcW w:w="1425" w:type="dxa"/>
            <w:tcBorders>
              <w:top w:val="single" w:sz="2" w:space="0" w:color="000000"/>
              <w:start w:val="single" w:sz="2" w:space="0" w:color="000000"/>
            </w:tcBorders>
            <w:shd w:fill="auto" w:val="clear"/>
            <w:tcMar>
              <w:start w:w="102" w:type="dxa"/>
            </w:tcMar>
          </w:tcPr>
          <w:p>
            <w:pPr>
              <w:pStyle w:val="Normal"/>
              <w:jc w:val="center"/>
              <w:rPr>
                <w:vanish/>
              </w:rPr>
            </w:pPr>
            <w:r>
              <w:rPr>
                <w:vanish/>
              </w:rPr>
              <w:t>#G0</w:t>
            </w:r>
          </w:p>
          <w:p>
            <w:pPr>
              <w:pStyle w:val="Normal"/>
              <w:jc w:val="center"/>
              <w:rPr/>
            </w:pPr>
            <w:r>
              <w:rPr/>
            </w:r>
          </w:p>
          <w:p>
            <w:pPr>
              <w:pStyle w:val="Normal"/>
              <w:jc w:val="center"/>
              <w:rPr/>
            </w:pPr>
            <w:r>
              <w:rPr/>
              <w:t>Степень огнестойкости</w:t>
            </w:r>
          </w:p>
          <w:p>
            <w:pPr>
              <w:pStyle w:val="Normal"/>
              <w:jc w:val="center"/>
              <w:rPr/>
            </w:pPr>
            <w:r>
              <w:rPr/>
              <w:t xml:space="preserve">зданий </w:t>
            </w:r>
          </w:p>
          <w:p>
            <w:pPr>
              <w:pStyle w:val="Normal"/>
              <w:jc w:val="center"/>
              <w:rPr/>
            </w:pPr>
            <w:r>
              <w:rPr/>
            </w:r>
          </w:p>
        </w:tc>
        <w:tc>
          <w:tcPr>
            <w:tcW w:w="1215" w:type="dxa"/>
            <w:tcBorders>
              <w:top w:val="single" w:sz="2" w:space="0" w:color="000000"/>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Категория помещений по </w:t>
            </w:r>
          </w:p>
          <w:p>
            <w:pPr>
              <w:pStyle w:val="Normal"/>
              <w:rPr/>
            </w:pPr>
            <w:r>
              <w:rPr/>
            </w:r>
          </w:p>
        </w:tc>
        <w:tc>
          <w:tcPr>
            <w:tcW w:w="6095" w:type="dxa"/>
            <w:gridSpan w:val="7"/>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t xml:space="preserve">Расход воды на наружное пожаротушение производственных зданий с фонарями, а также без фонарей шириной до 60 м на один пожар, л/с, при объемах зданий, тыс. куб.м </w:t>
            </w:r>
          </w:p>
          <w:p>
            <w:pPr>
              <w:pStyle w:val="Normal"/>
              <w:rPr/>
            </w:pPr>
            <w:r>
              <w:rPr/>
            </w:r>
          </w:p>
        </w:tc>
      </w:tr>
      <w:tr>
        <w:trPr/>
        <w:tc>
          <w:tcPr>
            <w:tcW w:w="1425" w:type="dxa"/>
            <w:tcBorders>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r>
          </w:p>
        </w:tc>
        <w:tc>
          <w:tcPr>
            <w:tcW w:w="121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пожарной опасности </w:t>
            </w:r>
          </w:p>
          <w:p>
            <w:pPr>
              <w:pStyle w:val="Normal"/>
              <w:rPr/>
            </w:pPr>
            <w:r>
              <w:rPr/>
            </w:r>
          </w:p>
        </w:tc>
        <w:tc>
          <w:tcPr>
            <w:tcW w:w="63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до 3 </w:t>
            </w:r>
          </w:p>
          <w:p>
            <w:pPr>
              <w:pStyle w:val="Normal"/>
              <w:rPr/>
            </w:pPr>
            <w:r>
              <w:rPr/>
            </w:r>
          </w:p>
        </w:tc>
        <w:tc>
          <w:tcPr>
            <w:tcW w:w="106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св. 3 до 5 </w:t>
            </w:r>
          </w:p>
          <w:p>
            <w:pPr>
              <w:pStyle w:val="Normal"/>
              <w:rPr/>
            </w:pPr>
            <w:r>
              <w:rPr/>
            </w:r>
          </w:p>
        </w:tc>
        <w:tc>
          <w:tcPr>
            <w:tcW w:w="81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св. 5 до 20 </w:t>
            </w:r>
          </w:p>
          <w:p>
            <w:pPr>
              <w:pStyle w:val="Normal"/>
              <w:rPr/>
            </w:pPr>
            <w:r>
              <w:rPr/>
            </w:r>
          </w:p>
        </w:tc>
        <w:tc>
          <w:tcPr>
            <w:tcW w:w="88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св. 20 до 50 </w:t>
            </w:r>
          </w:p>
          <w:p>
            <w:pPr>
              <w:pStyle w:val="Normal"/>
              <w:rPr/>
            </w:pPr>
            <w:r>
              <w:rPr/>
            </w:r>
          </w:p>
        </w:tc>
        <w:tc>
          <w:tcPr>
            <w:tcW w:w="84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св. 50 до 200 </w:t>
            </w:r>
          </w:p>
          <w:p>
            <w:pPr>
              <w:pStyle w:val="Normal"/>
              <w:rPr/>
            </w:pPr>
            <w:r>
              <w:rPr/>
            </w:r>
          </w:p>
        </w:tc>
        <w:tc>
          <w:tcPr>
            <w:tcW w:w="93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св. 200 до 400 </w:t>
            </w:r>
          </w:p>
          <w:p>
            <w:pPr>
              <w:pStyle w:val="Normal"/>
              <w:rPr/>
            </w:pPr>
            <w:r>
              <w:rPr/>
            </w:r>
          </w:p>
        </w:tc>
        <w:tc>
          <w:tcPr>
            <w:tcW w:w="93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св. 400 до 600 </w:t>
            </w:r>
          </w:p>
          <w:p>
            <w:pPr>
              <w:pStyle w:val="Normal"/>
              <w:rPr/>
            </w:pPr>
            <w:r>
              <w:rPr/>
            </w:r>
          </w:p>
        </w:tc>
      </w:tr>
      <w:tr>
        <w:trPr/>
        <w:tc>
          <w:tcPr>
            <w:tcW w:w="1425" w:type="dxa"/>
            <w:tcBorders>
              <w:start w:val="single" w:sz="2" w:space="0" w:color="000000"/>
            </w:tcBorders>
            <w:shd w:fill="auto" w:val="clear"/>
            <w:tcMar>
              <w:start w:w="102" w:type="dxa"/>
            </w:tcMar>
          </w:tcPr>
          <w:p>
            <w:pPr>
              <w:pStyle w:val="Normal"/>
              <w:rPr/>
            </w:pPr>
            <w:r>
              <w:rPr/>
              <w:t xml:space="preserve">I и II </w:t>
            </w:r>
          </w:p>
          <w:p>
            <w:pPr>
              <w:pStyle w:val="Normal"/>
              <w:rPr/>
            </w:pPr>
            <w:r>
              <w:rPr/>
            </w:r>
          </w:p>
        </w:tc>
        <w:tc>
          <w:tcPr>
            <w:tcW w:w="1215" w:type="dxa"/>
            <w:tcBorders>
              <w:start w:val="single" w:sz="2" w:space="0" w:color="000000"/>
            </w:tcBorders>
            <w:shd w:fill="auto" w:val="clear"/>
            <w:tcMar>
              <w:start w:w="102" w:type="dxa"/>
            </w:tcMar>
          </w:tcPr>
          <w:p>
            <w:pPr>
              <w:pStyle w:val="Normal"/>
              <w:rPr/>
            </w:pPr>
            <w:r>
              <w:rPr/>
              <w:t>Г, Д,</w:t>
            </w:r>
          </w:p>
          <w:p>
            <w:pPr>
              <w:pStyle w:val="Normal"/>
              <w:rPr/>
            </w:pPr>
            <w:r>
              <w:rPr/>
            </w:r>
          </w:p>
        </w:tc>
        <w:tc>
          <w:tcPr>
            <w:tcW w:w="630" w:type="dxa"/>
            <w:tcBorders>
              <w:start w:val="single" w:sz="2" w:space="0" w:color="000000"/>
            </w:tcBorders>
            <w:shd w:fill="auto" w:val="clear"/>
            <w:tcMar>
              <w:start w:w="102" w:type="dxa"/>
            </w:tcMar>
          </w:tcPr>
          <w:p>
            <w:pPr>
              <w:pStyle w:val="Normal"/>
              <w:rPr/>
            </w:pPr>
            <w:r>
              <w:rPr/>
              <w:t xml:space="preserve">10 </w:t>
            </w:r>
          </w:p>
          <w:p>
            <w:pPr>
              <w:pStyle w:val="Normal"/>
              <w:rPr/>
            </w:pPr>
            <w:r>
              <w:rPr/>
            </w:r>
          </w:p>
        </w:tc>
        <w:tc>
          <w:tcPr>
            <w:tcW w:w="1065" w:type="dxa"/>
            <w:tcBorders>
              <w:start w:val="single" w:sz="2" w:space="0" w:color="000000"/>
            </w:tcBorders>
            <w:shd w:fill="auto" w:val="clear"/>
            <w:tcMar>
              <w:start w:w="102" w:type="dxa"/>
            </w:tcMar>
          </w:tcPr>
          <w:p>
            <w:pPr>
              <w:pStyle w:val="Normal"/>
              <w:rPr/>
            </w:pPr>
            <w:r>
              <w:rPr/>
              <w:t xml:space="preserve">10 </w:t>
            </w:r>
          </w:p>
          <w:p>
            <w:pPr>
              <w:pStyle w:val="Normal"/>
              <w:rPr/>
            </w:pPr>
            <w:r>
              <w:rPr/>
            </w:r>
          </w:p>
        </w:tc>
        <w:tc>
          <w:tcPr>
            <w:tcW w:w="810" w:type="dxa"/>
            <w:tcBorders>
              <w:start w:val="single" w:sz="2" w:space="0" w:color="000000"/>
            </w:tcBorders>
            <w:shd w:fill="auto" w:val="clear"/>
            <w:tcMar>
              <w:start w:w="102" w:type="dxa"/>
            </w:tcMar>
          </w:tcPr>
          <w:p>
            <w:pPr>
              <w:pStyle w:val="Normal"/>
              <w:rPr/>
            </w:pPr>
            <w:r>
              <w:rPr/>
              <w:t xml:space="preserve">10 </w:t>
            </w:r>
          </w:p>
          <w:p>
            <w:pPr>
              <w:pStyle w:val="Normal"/>
              <w:rPr/>
            </w:pPr>
            <w:r>
              <w:rPr/>
            </w:r>
          </w:p>
        </w:tc>
        <w:tc>
          <w:tcPr>
            <w:tcW w:w="885" w:type="dxa"/>
            <w:tcBorders>
              <w:start w:val="single" w:sz="2" w:space="0" w:color="000000"/>
            </w:tcBorders>
            <w:shd w:fill="auto" w:val="clear"/>
            <w:tcMar>
              <w:start w:w="102" w:type="dxa"/>
            </w:tcMar>
          </w:tcPr>
          <w:p>
            <w:pPr>
              <w:pStyle w:val="Normal"/>
              <w:rPr/>
            </w:pPr>
            <w:r>
              <w:rPr/>
              <w:t xml:space="preserve">10 </w:t>
            </w:r>
          </w:p>
          <w:p>
            <w:pPr>
              <w:pStyle w:val="Normal"/>
              <w:rPr/>
            </w:pPr>
            <w:r>
              <w:rPr/>
            </w:r>
          </w:p>
        </w:tc>
        <w:tc>
          <w:tcPr>
            <w:tcW w:w="840" w:type="dxa"/>
            <w:tcBorders>
              <w:start w:val="single" w:sz="2" w:space="0" w:color="000000"/>
            </w:tcBorders>
            <w:shd w:fill="auto" w:val="clear"/>
            <w:tcMar>
              <w:start w:w="102" w:type="dxa"/>
            </w:tcMar>
          </w:tcPr>
          <w:p>
            <w:pPr>
              <w:pStyle w:val="Normal"/>
              <w:rPr/>
            </w:pPr>
            <w:r>
              <w:rPr/>
              <w:t xml:space="preserve">15 </w:t>
            </w:r>
          </w:p>
          <w:p>
            <w:pPr>
              <w:pStyle w:val="Normal"/>
              <w:rPr/>
            </w:pPr>
            <w:r>
              <w:rPr/>
            </w:r>
          </w:p>
        </w:tc>
        <w:tc>
          <w:tcPr>
            <w:tcW w:w="930" w:type="dxa"/>
            <w:tcBorders>
              <w:start w:val="single" w:sz="2" w:space="0" w:color="000000"/>
            </w:tcBorders>
            <w:shd w:fill="auto" w:val="clear"/>
            <w:tcMar>
              <w:start w:w="102" w:type="dxa"/>
            </w:tcMar>
          </w:tcPr>
          <w:p>
            <w:pPr>
              <w:pStyle w:val="Normal"/>
              <w:rPr/>
            </w:pPr>
            <w:r>
              <w:rPr/>
              <w:t xml:space="preserve">20 </w:t>
            </w:r>
          </w:p>
          <w:p>
            <w:pPr>
              <w:pStyle w:val="Normal"/>
              <w:rPr/>
            </w:pPr>
            <w:r>
              <w:rPr/>
            </w:r>
          </w:p>
        </w:tc>
        <w:tc>
          <w:tcPr>
            <w:tcW w:w="9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25 </w:t>
            </w:r>
          </w:p>
          <w:p>
            <w:pPr>
              <w:pStyle w:val="Normal"/>
              <w:rPr/>
            </w:pPr>
            <w:r>
              <w:rPr/>
            </w:r>
          </w:p>
        </w:tc>
      </w:tr>
      <w:tr>
        <w:trPr/>
        <w:tc>
          <w:tcPr>
            <w:tcW w:w="1425" w:type="dxa"/>
            <w:tcBorders>
              <w:start w:val="single" w:sz="2" w:space="0" w:color="000000"/>
            </w:tcBorders>
            <w:shd w:fill="auto" w:val="clear"/>
            <w:tcMar>
              <w:start w:w="102" w:type="dxa"/>
            </w:tcMar>
          </w:tcPr>
          <w:p>
            <w:pPr>
              <w:pStyle w:val="Normal"/>
              <w:rPr/>
            </w:pPr>
            <w:r>
              <w:rPr/>
              <w:t xml:space="preserve">I и II </w:t>
            </w:r>
          </w:p>
          <w:p>
            <w:pPr>
              <w:pStyle w:val="Normal"/>
              <w:rPr/>
            </w:pPr>
            <w:r>
              <w:rPr/>
            </w:r>
          </w:p>
        </w:tc>
        <w:tc>
          <w:tcPr>
            <w:tcW w:w="1215" w:type="dxa"/>
            <w:tcBorders>
              <w:start w:val="single" w:sz="2" w:space="0" w:color="000000"/>
            </w:tcBorders>
            <w:shd w:fill="auto" w:val="clear"/>
            <w:tcMar>
              <w:start w:w="102" w:type="dxa"/>
            </w:tcMar>
          </w:tcPr>
          <w:p>
            <w:pPr>
              <w:pStyle w:val="Normal"/>
              <w:rPr/>
            </w:pPr>
            <w:r>
              <w:rPr/>
              <w:t xml:space="preserve">А, Б, В </w:t>
            </w:r>
          </w:p>
          <w:p>
            <w:pPr>
              <w:pStyle w:val="Normal"/>
              <w:rPr/>
            </w:pPr>
            <w:r>
              <w:rPr/>
            </w:r>
          </w:p>
        </w:tc>
        <w:tc>
          <w:tcPr>
            <w:tcW w:w="630" w:type="dxa"/>
            <w:tcBorders>
              <w:start w:val="single" w:sz="2" w:space="0" w:color="000000"/>
            </w:tcBorders>
            <w:shd w:fill="auto" w:val="clear"/>
            <w:tcMar>
              <w:start w:w="102" w:type="dxa"/>
            </w:tcMar>
          </w:tcPr>
          <w:p>
            <w:pPr>
              <w:pStyle w:val="Normal"/>
              <w:rPr/>
            </w:pPr>
            <w:r>
              <w:rPr/>
              <w:t xml:space="preserve">10 </w:t>
            </w:r>
          </w:p>
          <w:p>
            <w:pPr>
              <w:pStyle w:val="Normal"/>
              <w:rPr/>
            </w:pPr>
            <w:r>
              <w:rPr/>
            </w:r>
          </w:p>
        </w:tc>
        <w:tc>
          <w:tcPr>
            <w:tcW w:w="1065" w:type="dxa"/>
            <w:tcBorders>
              <w:start w:val="single" w:sz="2" w:space="0" w:color="000000"/>
            </w:tcBorders>
            <w:shd w:fill="auto" w:val="clear"/>
            <w:tcMar>
              <w:start w:w="102" w:type="dxa"/>
            </w:tcMar>
          </w:tcPr>
          <w:p>
            <w:pPr>
              <w:pStyle w:val="Normal"/>
              <w:rPr/>
            </w:pPr>
            <w:r>
              <w:rPr/>
              <w:t xml:space="preserve">10 </w:t>
            </w:r>
          </w:p>
          <w:p>
            <w:pPr>
              <w:pStyle w:val="Normal"/>
              <w:rPr/>
            </w:pPr>
            <w:r>
              <w:rPr/>
            </w:r>
          </w:p>
        </w:tc>
        <w:tc>
          <w:tcPr>
            <w:tcW w:w="810" w:type="dxa"/>
            <w:tcBorders>
              <w:start w:val="single" w:sz="2" w:space="0" w:color="000000"/>
            </w:tcBorders>
            <w:shd w:fill="auto" w:val="clear"/>
            <w:tcMar>
              <w:start w:w="102" w:type="dxa"/>
            </w:tcMar>
          </w:tcPr>
          <w:p>
            <w:pPr>
              <w:pStyle w:val="Normal"/>
              <w:rPr/>
            </w:pPr>
            <w:r>
              <w:rPr/>
              <w:t xml:space="preserve">15 </w:t>
            </w:r>
          </w:p>
          <w:p>
            <w:pPr>
              <w:pStyle w:val="Normal"/>
              <w:rPr/>
            </w:pPr>
            <w:r>
              <w:rPr/>
            </w:r>
          </w:p>
        </w:tc>
        <w:tc>
          <w:tcPr>
            <w:tcW w:w="885" w:type="dxa"/>
            <w:tcBorders>
              <w:start w:val="single" w:sz="2" w:space="0" w:color="000000"/>
            </w:tcBorders>
            <w:shd w:fill="auto" w:val="clear"/>
            <w:tcMar>
              <w:start w:w="102" w:type="dxa"/>
            </w:tcMar>
          </w:tcPr>
          <w:p>
            <w:pPr>
              <w:pStyle w:val="Normal"/>
              <w:rPr/>
            </w:pPr>
            <w:r>
              <w:rPr/>
              <w:t xml:space="preserve">20 </w:t>
            </w:r>
          </w:p>
          <w:p>
            <w:pPr>
              <w:pStyle w:val="Normal"/>
              <w:rPr/>
            </w:pPr>
            <w:r>
              <w:rPr/>
            </w:r>
          </w:p>
        </w:tc>
        <w:tc>
          <w:tcPr>
            <w:tcW w:w="840" w:type="dxa"/>
            <w:tcBorders>
              <w:start w:val="single" w:sz="2" w:space="0" w:color="000000"/>
            </w:tcBorders>
            <w:shd w:fill="auto" w:val="clear"/>
            <w:tcMar>
              <w:start w:w="102" w:type="dxa"/>
            </w:tcMar>
          </w:tcPr>
          <w:p>
            <w:pPr>
              <w:pStyle w:val="Normal"/>
              <w:rPr/>
            </w:pPr>
            <w:r>
              <w:rPr/>
              <w:t xml:space="preserve">30 </w:t>
            </w:r>
          </w:p>
          <w:p>
            <w:pPr>
              <w:pStyle w:val="Normal"/>
              <w:rPr/>
            </w:pPr>
            <w:r>
              <w:rPr/>
            </w:r>
          </w:p>
        </w:tc>
        <w:tc>
          <w:tcPr>
            <w:tcW w:w="930" w:type="dxa"/>
            <w:tcBorders>
              <w:start w:val="single" w:sz="2" w:space="0" w:color="000000"/>
            </w:tcBorders>
            <w:shd w:fill="auto" w:val="clear"/>
            <w:tcMar>
              <w:start w:w="102" w:type="dxa"/>
            </w:tcMar>
          </w:tcPr>
          <w:p>
            <w:pPr>
              <w:pStyle w:val="Normal"/>
              <w:rPr/>
            </w:pPr>
            <w:r>
              <w:rPr/>
              <w:t xml:space="preserve">35 </w:t>
            </w:r>
          </w:p>
          <w:p>
            <w:pPr>
              <w:pStyle w:val="Normal"/>
              <w:rPr/>
            </w:pPr>
            <w:r>
              <w:rPr/>
            </w:r>
          </w:p>
        </w:tc>
        <w:tc>
          <w:tcPr>
            <w:tcW w:w="9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40 </w:t>
            </w:r>
          </w:p>
          <w:p>
            <w:pPr>
              <w:pStyle w:val="Normal"/>
              <w:rPr/>
            </w:pPr>
            <w:r>
              <w:rPr/>
            </w:r>
          </w:p>
        </w:tc>
      </w:tr>
      <w:tr>
        <w:trPr/>
        <w:tc>
          <w:tcPr>
            <w:tcW w:w="1425" w:type="dxa"/>
            <w:tcBorders>
              <w:start w:val="single" w:sz="2" w:space="0" w:color="000000"/>
            </w:tcBorders>
            <w:shd w:fill="auto" w:val="clear"/>
            <w:tcMar>
              <w:start w:w="102" w:type="dxa"/>
            </w:tcMar>
          </w:tcPr>
          <w:p>
            <w:pPr>
              <w:pStyle w:val="Normal"/>
              <w:rPr/>
            </w:pPr>
            <w:r>
              <w:rPr/>
              <w:t xml:space="preserve">III </w:t>
            </w:r>
          </w:p>
          <w:p>
            <w:pPr>
              <w:pStyle w:val="Normal"/>
              <w:rPr/>
            </w:pPr>
            <w:r>
              <w:rPr/>
            </w:r>
          </w:p>
        </w:tc>
        <w:tc>
          <w:tcPr>
            <w:tcW w:w="1215" w:type="dxa"/>
            <w:tcBorders>
              <w:start w:val="single" w:sz="2" w:space="0" w:color="000000"/>
            </w:tcBorders>
            <w:shd w:fill="auto" w:val="clear"/>
            <w:tcMar>
              <w:start w:w="102" w:type="dxa"/>
            </w:tcMar>
          </w:tcPr>
          <w:p>
            <w:pPr>
              <w:pStyle w:val="Normal"/>
              <w:rPr/>
            </w:pPr>
            <w:r>
              <w:rPr/>
              <w:t xml:space="preserve">Г, Д </w:t>
            </w:r>
          </w:p>
          <w:p>
            <w:pPr>
              <w:pStyle w:val="Normal"/>
              <w:rPr/>
            </w:pPr>
            <w:r>
              <w:rPr/>
            </w:r>
          </w:p>
        </w:tc>
        <w:tc>
          <w:tcPr>
            <w:tcW w:w="630" w:type="dxa"/>
            <w:tcBorders>
              <w:start w:val="single" w:sz="2" w:space="0" w:color="000000"/>
            </w:tcBorders>
            <w:shd w:fill="auto" w:val="clear"/>
            <w:tcMar>
              <w:start w:w="102" w:type="dxa"/>
            </w:tcMar>
          </w:tcPr>
          <w:p>
            <w:pPr>
              <w:pStyle w:val="Normal"/>
              <w:rPr/>
            </w:pPr>
            <w:r>
              <w:rPr/>
              <w:t xml:space="preserve">10 </w:t>
            </w:r>
          </w:p>
          <w:p>
            <w:pPr>
              <w:pStyle w:val="Normal"/>
              <w:rPr/>
            </w:pPr>
            <w:r>
              <w:rPr/>
            </w:r>
          </w:p>
        </w:tc>
        <w:tc>
          <w:tcPr>
            <w:tcW w:w="1065" w:type="dxa"/>
            <w:tcBorders>
              <w:start w:val="single" w:sz="2" w:space="0" w:color="000000"/>
            </w:tcBorders>
            <w:shd w:fill="auto" w:val="clear"/>
            <w:tcMar>
              <w:start w:w="102" w:type="dxa"/>
            </w:tcMar>
          </w:tcPr>
          <w:p>
            <w:pPr>
              <w:pStyle w:val="Normal"/>
              <w:rPr/>
            </w:pPr>
            <w:r>
              <w:rPr/>
              <w:t xml:space="preserve">10 </w:t>
            </w:r>
          </w:p>
          <w:p>
            <w:pPr>
              <w:pStyle w:val="Normal"/>
              <w:rPr/>
            </w:pPr>
            <w:r>
              <w:rPr/>
            </w:r>
          </w:p>
        </w:tc>
        <w:tc>
          <w:tcPr>
            <w:tcW w:w="810" w:type="dxa"/>
            <w:tcBorders>
              <w:start w:val="single" w:sz="2" w:space="0" w:color="000000"/>
            </w:tcBorders>
            <w:shd w:fill="auto" w:val="clear"/>
            <w:tcMar>
              <w:start w:w="102" w:type="dxa"/>
            </w:tcMar>
          </w:tcPr>
          <w:p>
            <w:pPr>
              <w:pStyle w:val="Normal"/>
              <w:rPr/>
            </w:pPr>
            <w:r>
              <w:rPr/>
              <w:t xml:space="preserve">15 </w:t>
            </w:r>
          </w:p>
          <w:p>
            <w:pPr>
              <w:pStyle w:val="Normal"/>
              <w:rPr/>
            </w:pPr>
            <w:r>
              <w:rPr/>
            </w:r>
          </w:p>
        </w:tc>
        <w:tc>
          <w:tcPr>
            <w:tcW w:w="885" w:type="dxa"/>
            <w:tcBorders>
              <w:start w:val="single" w:sz="2" w:space="0" w:color="000000"/>
            </w:tcBorders>
            <w:shd w:fill="auto" w:val="clear"/>
            <w:tcMar>
              <w:start w:w="102" w:type="dxa"/>
            </w:tcMar>
          </w:tcPr>
          <w:p>
            <w:pPr>
              <w:pStyle w:val="Normal"/>
              <w:rPr/>
            </w:pPr>
            <w:r>
              <w:rPr/>
              <w:t xml:space="preserve">25 </w:t>
            </w:r>
          </w:p>
          <w:p>
            <w:pPr>
              <w:pStyle w:val="Normal"/>
              <w:rPr/>
            </w:pPr>
            <w:r>
              <w:rPr/>
            </w:r>
          </w:p>
        </w:tc>
        <w:tc>
          <w:tcPr>
            <w:tcW w:w="840" w:type="dxa"/>
            <w:tcBorders>
              <w:start w:val="single" w:sz="2" w:space="0" w:color="000000"/>
            </w:tcBorders>
            <w:shd w:fill="auto" w:val="clear"/>
            <w:tcMar>
              <w:start w:w="102" w:type="dxa"/>
            </w:tcMar>
          </w:tcPr>
          <w:p>
            <w:pPr>
              <w:pStyle w:val="Normal"/>
              <w:rPr/>
            </w:pPr>
            <w:r>
              <w:rPr/>
              <w:t xml:space="preserve">35 </w:t>
            </w:r>
          </w:p>
          <w:p>
            <w:pPr>
              <w:pStyle w:val="Normal"/>
              <w:rPr/>
            </w:pPr>
            <w:r>
              <w:rPr/>
            </w:r>
          </w:p>
        </w:tc>
        <w:tc>
          <w:tcPr>
            <w:tcW w:w="93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9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       </w:t>
            </w:r>
            <w:r>
              <w:rPr/>
              <w:t>-</w:t>
            </w:r>
          </w:p>
          <w:p>
            <w:pPr>
              <w:pStyle w:val="Normal"/>
              <w:rPr/>
            </w:pPr>
            <w:r>
              <w:rPr/>
            </w:r>
          </w:p>
        </w:tc>
      </w:tr>
      <w:tr>
        <w:trPr/>
        <w:tc>
          <w:tcPr>
            <w:tcW w:w="1425" w:type="dxa"/>
            <w:tcBorders>
              <w:start w:val="single" w:sz="2" w:space="0" w:color="000000"/>
            </w:tcBorders>
            <w:shd w:fill="auto" w:val="clear"/>
            <w:tcMar>
              <w:start w:w="102" w:type="dxa"/>
            </w:tcMar>
          </w:tcPr>
          <w:p>
            <w:pPr>
              <w:pStyle w:val="Normal"/>
              <w:jc w:val="center"/>
              <w:rPr/>
            </w:pPr>
            <w:r>
              <w:rPr/>
              <w:t xml:space="preserve">III </w:t>
            </w:r>
          </w:p>
          <w:p>
            <w:pPr>
              <w:pStyle w:val="Normal"/>
              <w:jc w:val="center"/>
              <w:rPr/>
            </w:pPr>
            <w:r>
              <w:rPr/>
            </w:r>
          </w:p>
        </w:tc>
        <w:tc>
          <w:tcPr>
            <w:tcW w:w="1215" w:type="dxa"/>
            <w:tcBorders>
              <w:start w:val="single" w:sz="2" w:space="0" w:color="000000"/>
            </w:tcBorders>
            <w:shd w:fill="auto" w:val="clear"/>
            <w:tcMar>
              <w:start w:w="102" w:type="dxa"/>
            </w:tcMar>
          </w:tcPr>
          <w:p>
            <w:pPr>
              <w:pStyle w:val="Normal"/>
              <w:rPr/>
            </w:pPr>
            <w:r>
              <w:rPr/>
              <w:t xml:space="preserve">В </w:t>
            </w:r>
          </w:p>
          <w:p>
            <w:pPr>
              <w:pStyle w:val="Normal"/>
              <w:rPr/>
            </w:pPr>
            <w:r>
              <w:rPr/>
            </w:r>
          </w:p>
        </w:tc>
        <w:tc>
          <w:tcPr>
            <w:tcW w:w="630" w:type="dxa"/>
            <w:tcBorders>
              <w:start w:val="single" w:sz="2" w:space="0" w:color="000000"/>
            </w:tcBorders>
            <w:shd w:fill="auto" w:val="clear"/>
            <w:tcMar>
              <w:start w:w="102" w:type="dxa"/>
            </w:tcMar>
          </w:tcPr>
          <w:p>
            <w:pPr>
              <w:pStyle w:val="Normal"/>
              <w:rPr/>
            </w:pPr>
            <w:r>
              <w:rPr/>
              <w:t xml:space="preserve">10 </w:t>
            </w:r>
          </w:p>
          <w:p>
            <w:pPr>
              <w:pStyle w:val="Normal"/>
              <w:rPr/>
            </w:pPr>
            <w:r>
              <w:rPr/>
            </w:r>
          </w:p>
        </w:tc>
        <w:tc>
          <w:tcPr>
            <w:tcW w:w="1065" w:type="dxa"/>
            <w:tcBorders>
              <w:start w:val="single" w:sz="2" w:space="0" w:color="000000"/>
            </w:tcBorders>
            <w:shd w:fill="auto" w:val="clear"/>
            <w:tcMar>
              <w:start w:w="102" w:type="dxa"/>
            </w:tcMar>
          </w:tcPr>
          <w:p>
            <w:pPr>
              <w:pStyle w:val="Normal"/>
              <w:rPr/>
            </w:pPr>
            <w:r>
              <w:rPr/>
              <w:t xml:space="preserve">15 </w:t>
            </w:r>
          </w:p>
          <w:p>
            <w:pPr>
              <w:pStyle w:val="Normal"/>
              <w:rPr/>
            </w:pPr>
            <w:r>
              <w:rPr/>
            </w:r>
          </w:p>
        </w:tc>
        <w:tc>
          <w:tcPr>
            <w:tcW w:w="810" w:type="dxa"/>
            <w:tcBorders>
              <w:start w:val="single" w:sz="2" w:space="0" w:color="000000"/>
            </w:tcBorders>
            <w:shd w:fill="auto" w:val="clear"/>
            <w:tcMar>
              <w:start w:w="102" w:type="dxa"/>
            </w:tcMar>
          </w:tcPr>
          <w:p>
            <w:pPr>
              <w:pStyle w:val="Normal"/>
              <w:rPr/>
            </w:pPr>
            <w:r>
              <w:rPr/>
              <w:t xml:space="preserve">20 </w:t>
            </w:r>
          </w:p>
          <w:p>
            <w:pPr>
              <w:pStyle w:val="Normal"/>
              <w:rPr/>
            </w:pPr>
            <w:r>
              <w:rPr/>
            </w:r>
          </w:p>
        </w:tc>
        <w:tc>
          <w:tcPr>
            <w:tcW w:w="885" w:type="dxa"/>
            <w:tcBorders>
              <w:start w:val="single" w:sz="2" w:space="0" w:color="000000"/>
            </w:tcBorders>
            <w:shd w:fill="auto" w:val="clear"/>
            <w:tcMar>
              <w:start w:w="102" w:type="dxa"/>
            </w:tcMar>
          </w:tcPr>
          <w:p>
            <w:pPr>
              <w:pStyle w:val="Normal"/>
              <w:rPr/>
            </w:pPr>
            <w:r>
              <w:rPr/>
              <w:t xml:space="preserve">30 </w:t>
            </w:r>
          </w:p>
          <w:p>
            <w:pPr>
              <w:pStyle w:val="Normal"/>
              <w:rPr/>
            </w:pPr>
            <w:r>
              <w:rPr/>
            </w:r>
          </w:p>
        </w:tc>
        <w:tc>
          <w:tcPr>
            <w:tcW w:w="840" w:type="dxa"/>
            <w:tcBorders>
              <w:start w:val="single" w:sz="2" w:space="0" w:color="000000"/>
            </w:tcBorders>
            <w:shd w:fill="auto" w:val="clear"/>
            <w:tcMar>
              <w:start w:w="102" w:type="dxa"/>
            </w:tcMar>
          </w:tcPr>
          <w:p>
            <w:pPr>
              <w:pStyle w:val="Normal"/>
              <w:rPr/>
            </w:pPr>
            <w:r>
              <w:rPr/>
              <w:t xml:space="preserve">40 </w:t>
            </w:r>
          </w:p>
          <w:p>
            <w:pPr>
              <w:pStyle w:val="Normal"/>
              <w:rPr/>
            </w:pPr>
            <w:r>
              <w:rPr/>
            </w:r>
          </w:p>
        </w:tc>
        <w:tc>
          <w:tcPr>
            <w:tcW w:w="93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9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       </w:t>
            </w:r>
            <w:r>
              <w:rPr/>
              <w:t>-</w:t>
            </w:r>
          </w:p>
          <w:p>
            <w:pPr>
              <w:pStyle w:val="Normal"/>
              <w:rPr/>
            </w:pPr>
            <w:r>
              <w:rPr/>
            </w:r>
          </w:p>
        </w:tc>
      </w:tr>
      <w:tr>
        <w:trPr/>
        <w:tc>
          <w:tcPr>
            <w:tcW w:w="1425" w:type="dxa"/>
            <w:tcBorders>
              <w:start w:val="single" w:sz="2" w:space="0" w:color="000000"/>
            </w:tcBorders>
            <w:shd w:fill="auto" w:val="clear"/>
            <w:tcMar>
              <w:start w:w="102" w:type="dxa"/>
            </w:tcMar>
          </w:tcPr>
          <w:p>
            <w:pPr>
              <w:pStyle w:val="Normal"/>
              <w:jc w:val="center"/>
              <w:rPr/>
            </w:pPr>
            <w:r>
              <w:rPr/>
              <w:t xml:space="preserve">IV и V </w:t>
            </w:r>
          </w:p>
          <w:p>
            <w:pPr>
              <w:pStyle w:val="Normal"/>
              <w:jc w:val="center"/>
              <w:rPr/>
            </w:pPr>
            <w:r>
              <w:rPr/>
            </w:r>
          </w:p>
        </w:tc>
        <w:tc>
          <w:tcPr>
            <w:tcW w:w="1215" w:type="dxa"/>
            <w:tcBorders>
              <w:start w:val="single" w:sz="2" w:space="0" w:color="000000"/>
            </w:tcBorders>
            <w:shd w:fill="auto" w:val="clear"/>
            <w:tcMar>
              <w:start w:w="102" w:type="dxa"/>
            </w:tcMar>
          </w:tcPr>
          <w:p>
            <w:pPr>
              <w:pStyle w:val="Normal"/>
              <w:rPr/>
            </w:pPr>
            <w:r>
              <w:rPr/>
              <w:t xml:space="preserve">Г, Д </w:t>
            </w:r>
          </w:p>
          <w:p>
            <w:pPr>
              <w:pStyle w:val="Normal"/>
              <w:rPr/>
            </w:pPr>
            <w:r>
              <w:rPr/>
            </w:r>
          </w:p>
        </w:tc>
        <w:tc>
          <w:tcPr>
            <w:tcW w:w="630" w:type="dxa"/>
            <w:tcBorders>
              <w:start w:val="single" w:sz="2" w:space="0" w:color="000000"/>
            </w:tcBorders>
            <w:shd w:fill="auto" w:val="clear"/>
            <w:tcMar>
              <w:start w:w="102" w:type="dxa"/>
            </w:tcMar>
          </w:tcPr>
          <w:p>
            <w:pPr>
              <w:pStyle w:val="Normal"/>
              <w:rPr/>
            </w:pPr>
            <w:r>
              <w:rPr/>
              <w:t xml:space="preserve">10 </w:t>
            </w:r>
          </w:p>
          <w:p>
            <w:pPr>
              <w:pStyle w:val="Normal"/>
              <w:rPr/>
            </w:pPr>
            <w:r>
              <w:rPr/>
            </w:r>
          </w:p>
        </w:tc>
        <w:tc>
          <w:tcPr>
            <w:tcW w:w="1065" w:type="dxa"/>
            <w:tcBorders>
              <w:start w:val="single" w:sz="2" w:space="0" w:color="000000"/>
            </w:tcBorders>
            <w:shd w:fill="auto" w:val="clear"/>
            <w:tcMar>
              <w:start w:w="102" w:type="dxa"/>
            </w:tcMar>
          </w:tcPr>
          <w:p>
            <w:pPr>
              <w:pStyle w:val="Normal"/>
              <w:rPr/>
            </w:pPr>
            <w:r>
              <w:rPr/>
              <w:t xml:space="preserve">15 </w:t>
            </w:r>
          </w:p>
          <w:p>
            <w:pPr>
              <w:pStyle w:val="Normal"/>
              <w:rPr/>
            </w:pPr>
            <w:r>
              <w:rPr/>
            </w:r>
          </w:p>
        </w:tc>
        <w:tc>
          <w:tcPr>
            <w:tcW w:w="810" w:type="dxa"/>
            <w:tcBorders>
              <w:start w:val="single" w:sz="2" w:space="0" w:color="000000"/>
            </w:tcBorders>
            <w:shd w:fill="auto" w:val="clear"/>
            <w:tcMar>
              <w:start w:w="102" w:type="dxa"/>
            </w:tcMar>
          </w:tcPr>
          <w:p>
            <w:pPr>
              <w:pStyle w:val="Normal"/>
              <w:rPr/>
            </w:pPr>
            <w:r>
              <w:rPr/>
              <w:t xml:space="preserve">20 </w:t>
            </w:r>
          </w:p>
          <w:p>
            <w:pPr>
              <w:pStyle w:val="Normal"/>
              <w:rPr/>
            </w:pPr>
            <w:r>
              <w:rPr/>
            </w:r>
          </w:p>
        </w:tc>
        <w:tc>
          <w:tcPr>
            <w:tcW w:w="885" w:type="dxa"/>
            <w:tcBorders>
              <w:start w:val="single" w:sz="2" w:space="0" w:color="000000"/>
            </w:tcBorders>
            <w:shd w:fill="auto" w:val="clear"/>
            <w:tcMar>
              <w:start w:w="102" w:type="dxa"/>
            </w:tcMar>
          </w:tcPr>
          <w:p>
            <w:pPr>
              <w:pStyle w:val="Normal"/>
              <w:rPr/>
            </w:pPr>
            <w:r>
              <w:rPr/>
              <w:t xml:space="preserve">30 </w:t>
            </w:r>
          </w:p>
          <w:p>
            <w:pPr>
              <w:pStyle w:val="Normal"/>
              <w:rPr/>
            </w:pPr>
            <w:r>
              <w:rPr/>
            </w:r>
          </w:p>
        </w:tc>
        <w:tc>
          <w:tcPr>
            <w:tcW w:w="84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93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9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       </w:t>
            </w:r>
            <w:r>
              <w:rPr/>
              <w:t>-</w:t>
            </w:r>
          </w:p>
          <w:p>
            <w:pPr>
              <w:pStyle w:val="Normal"/>
              <w:rPr/>
            </w:pPr>
            <w:r>
              <w:rPr/>
            </w:r>
          </w:p>
        </w:tc>
      </w:tr>
      <w:tr>
        <w:trPr/>
        <w:tc>
          <w:tcPr>
            <w:tcW w:w="142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IV и V </w:t>
            </w:r>
          </w:p>
          <w:p>
            <w:pPr>
              <w:pStyle w:val="Normal"/>
              <w:jc w:val="center"/>
              <w:rPr/>
            </w:pPr>
            <w:r>
              <w:rPr/>
            </w:r>
          </w:p>
        </w:tc>
        <w:tc>
          <w:tcPr>
            <w:tcW w:w="121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В </w:t>
            </w:r>
          </w:p>
          <w:p>
            <w:pPr>
              <w:pStyle w:val="Normal"/>
              <w:rPr/>
            </w:pPr>
            <w:r>
              <w:rPr/>
            </w:r>
          </w:p>
        </w:tc>
        <w:tc>
          <w:tcPr>
            <w:tcW w:w="63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15 </w:t>
            </w:r>
          </w:p>
          <w:p>
            <w:pPr>
              <w:pStyle w:val="Normal"/>
              <w:rPr/>
            </w:pPr>
            <w:r>
              <w:rPr/>
            </w:r>
          </w:p>
        </w:tc>
        <w:tc>
          <w:tcPr>
            <w:tcW w:w="106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20 </w:t>
            </w:r>
          </w:p>
          <w:p>
            <w:pPr>
              <w:pStyle w:val="Normal"/>
              <w:rPr/>
            </w:pPr>
            <w:r>
              <w:rPr/>
            </w:r>
          </w:p>
        </w:tc>
        <w:tc>
          <w:tcPr>
            <w:tcW w:w="81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25 </w:t>
            </w:r>
          </w:p>
          <w:p>
            <w:pPr>
              <w:pStyle w:val="Normal"/>
              <w:rPr/>
            </w:pPr>
            <w:r>
              <w:rPr/>
            </w:r>
          </w:p>
        </w:tc>
        <w:tc>
          <w:tcPr>
            <w:tcW w:w="88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40 </w:t>
            </w:r>
          </w:p>
          <w:p>
            <w:pPr>
              <w:pStyle w:val="Normal"/>
              <w:rPr/>
            </w:pPr>
            <w:r>
              <w:rPr/>
            </w:r>
          </w:p>
        </w:tc>
        <w:tc>
          <w:tcPr>
            <w:tcW w:w="84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r>
              <w:rPr/>
              <w:t>-</w:t>
            </w:r>
          </w:p>
          <w:p>
            <w:pPr>
              <w:pStyle w:val="Normal"/>
              <w:rPr/>
            </w:pPr>
            <w:r>
              <w:rPr/>
            </w:r>
          </w:p>
        </w:tc>
        <w:tc>
          <w:tcPr>
            <w:tcW w:w="93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r>
              <w:rPr/>
              <w:t>-</w:t>
            </w:r>
          </w:p>
          <w:p>
            <w:pPr>
              <w:pStyle w:val="Normal"/>
              <w:rPr/>
            </w:pPr>
            <w:r>
              <w:rPr/>
            </w:r>
          </w:p>
        </w:tc>
        <w:tc>
          <w:tcPr>
            <w:tcW w:w="93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       </w:t>
            </w:r>
            <w:r>
              <w:rPr/>
              <w:t>-</w:t>
            </w:r>
          </w:p>
          <w:p>
            <w:pPr>
              <w:pStyle w:val="Normal"/>
              <w:rPr/>
            </w:pPr>
            <w:r>
              <w:rPr/>
            </w:r>
          </w:p>
        </w:tc>
      </w:tr>
    </w:tbl>
    <w:p>
      <w:pPr>
        <w:pStyle w:val="Normal"/>
        <w:jc w:val="end"/>
        <w:rPr/>
      </w:pPr>
      <w:r>
        <w:rPr/>
      </w:r>
    </w:p>
    <w:p>
      <w:pPr>
        <w:pStyle w:val="Normal"/>
        <w:jc w:val="end"/>
        <w:rPr/>
      </w:pPr>
      <w:r>
        <w:rPr/>
      </w:r>
    </w:p>
    <w:p>
      <w:pPr>
        <w:pStyle w:val="Normal"/>
        <w:jc w:val="end"/>
        <w:rPr/>
      </w:pPr>
      <w:r>
        <w:rPr/>
        <w:t>Таблица 8</w:t>
      </w:r>
    </w:p>
    <w:p>
      <w:pPr>
        <w:pStyle w:val="Normal"/>
        <w:jc w:val="end"/>
        <w:rPr/>
      </w:pPr>
      <w:r>
        <w:rPr/>
      </w:r>
    </w:p>
    <w:tbl>
      <w:tblPr>
        <w:tblW w:w="10535"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1425"/>
        <w:gridCol w:w="1215"/>
        <w:gridCol w:w="780"/>
        <w:gridCol w:w="855"/>
        <w:gridCol w:w="870"/>
        <w:gridCol w:w="930"/>
        <w:gridCol w:w="885"/>
        <w:gridCol w:w="945"/>
        <w:gridCol w:w="945"/>
        <w:gridCol w:w="855"/>
        <w:gridCol w:w="830"/>
      </w:tblGrid>
      <w:tr>
        <w:trPr/>
        <w:tc>
          <w:tcPr>
            <w:tcW w:w="1425" w:type="dxa"/>
            <w:tcBorders>
              <w:top w:val="single" w:sz="2" w:space="0" w:color="000000"/>
              <w:start w:val="single" w:sz="2" w:space="0" w:color="000000"/>
            </w:tcBorders>
            <w:shd w:fill="auto" w:val="clear"/>
            <w:tcMar>
              <w:start w:w="102" w:type="dxa"/>
            </w:tcMar>
          </w:tcPr>
          <w:p>
            <w:pPr>
              <w:pStyle w:val="Normal"/>
              <w:jc w:val="center"/>
              <w:rPr>
                <w:vanish/>
              </w:rPr>
            </w:pPr>
            <w:r>
              <w:rPr>
                <w:vanish/>
              </w:rPr>
              <w:t>#G0</w:t>
            </w:r>
          </w:p>
          <w:p>
            <w:pPr>
              <w:pStyle w:val="Normal"/>
              <w:jc w:val="center"/>
              <w:rPr/>
            </w:pPr>
            <w:r>
              <w:rPr/>
            </w:r>
          </w:p>
          <w:p>
            <w:pPr>
              <w:pStyle w:val="Normal"/>
              <w:jc w:val="center"/>
              <w:rPr/>
            </w:pPr>
            <w:r>
              <w:rPr/>
              <w:t>Степень огнестойкости</w:t>
            </w:r>
          </w:p>
          <w:p>
            <w:pPr>
              <w:pStyle w:val="Normal"/>
              <w:jc w:val="center"/>
              <w:rPr/>
            </w:pPr>
            <w:r>
              <w:rPr/>
              <w:t xml:space="preserve">зданий </w:t>
            </w:r>
          </w:p>
          <w:p>
            <w:pPr>
              <w:pStyle w:val="Normal"/>
              <w:jc w:val="center"/>
              <w:rPr/>
            </w:pPr>
            <w:r>
              <w:rPr/>
            </w:r>
          </w:p>
        </w:tc>
        <w:tc>
          <w:tcPr>
            <w:tcW w:w="1215" w:type="dxa"/>
            <w:tcBorders>
              <w:top w:val="single" w:sz="2" w:space="0" w:color="000000"/>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Категория помещений по </w:t>
            </w:r>
          </w:p>
          <w:p>
            <w:pPr>
              <w:pStyle w:val="Normal"/>
              <w:rPr/>
            </w:pPr>
            <w:r>
              <w:rPr/>
            </w:r>
          </w:p>
        </w:tc>
        <w:tc>
          <w:tcPr>
            <w:tcW w:w="7895" w:type="dxa"/>
            <w:gridSpan w:val="9"/>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t>Расход воды на наружное пожаротушение производственных зданий без фонарей</w:t>
            </w:r>
          </w:p>
          <w:p>
            <w:pPr>
              <w:pStyle w:val="Normal"/>
              <w:rPr/>
            </w:pPr>
            <w:r>
              <w:rPr/>
              <w:t xml:space="preserve"> </w:t>
            </w:r>
            <w:r>
              <w:rPr/>
              <w:t xml:space="preserve">шириной  60 м и более на один пожар, л/с, </w:t>
            </w:r>
          </w:p>
          <w:p>
            <w:pPr>
              <w:pStyle w:val="Normal"/>
              <w:rPr/>
            </w:pPr>
            <w:r>
              <w:rPr/>
              <w:t xml:space="preserve">при объемах зданий, тыс. куб.м </w:t>
            </w:r>
          </w:p>
          <w:p>
            <w:pPr>
              <w:pStyle w:val="Normal"/>
              <w:rPr/>
            </w:pPr>
            <w:r>
              <w:rPr/>
            </w:r>
          </w:p>
        </w:tc>
      </w:tr>
      <w:tr>
        <w:trPr/>
        <w:tc>
          <w:tcPr>
            <w:tcW w:w="1425" w:type="dxa"/>
            <w:tcBorders>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r>
          </w:p>
        </w:tc>
        <w:tc>
          <w:tcPr>
            <w:tcW w:w="121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пожарной опасности </w:t>
            </w:r>
          </w:p>
          <w:p>
            <w:pPr>
              <w:pStyle w:val="Normal"/>
              <w:rPr/>
            </w:pPr>
            <w:r>
              <w:rPr/>
            </w:r>
          </w:p>
        </w:tc>
        <w:tc>
          <w:tcPr>
            <w:tcW w:w="78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до 50 </w:t>
            </w:r>
          </w:p>
          <w:p>
            <w:pPr>
              <w:pStyle w:val="Normal"/>
              <w:rPr/>
            </w:pPr>
            <w:r>
              <w:rPr/>
            </w:r>
          </w:p>
        </w:tc>
        <w:tc>
          <w:tcPr>
            <w:tcW w:w="85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св. 50 до 100 </w:t>
            </w:r>
          </w:p>
          <w:p>
            <w:pPr>
              <w:pStyle w:val="Normal"/>
              <w:rPr/>
            </w:pPr>
            <w:r>
              <w:rPr/>
            </w:r>
          </w:p>
        </w:tc>
        <w:tc>
          <w:tcPr>
            <w:tcW w:w="87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св. 100 до 200 </w:t>
            </w:r>
          </w:p>
          <w:p>
            <w:pPr>
              <w:pStyle w:val="Normal"/>
              <w:rPr/>
            </w:pPr>
            <w:r>
              <w:rPr/>
            </w:r>
          </w:p>
        </w:tc>
        <w:tc>
          <w:tcPr>
            <w:tcW w:w="93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св. 200 до 300 </w:t>
            </w:r>
          </w:p>
          <w:p>
            <w:pPr>
              <w:pStyle w:val="Normal"/>
              <w:rPr/>
            </w:pPr>
            <w:r>
              <w:rPr/>
            </w:r>
          </w:p>
        </w:tc>
        <w:tc>
          <w:tcPr>
            <w:tcW w:w="88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св. 300 до 400 </w:t>
            </w:r>
          </w:p>
          <w:p>
            <w:pPr>
              <w:pStyle w:val="Normal"/>
              <w:rPr/>
            </w:pPr>
            <w:r>
              <w:rPr/>
            </w:r>
          </w:p>
        </w:tc>
        <w:tc>
          <w:tcPr>
            <w:tcW w:w="94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св.400</w:t>
            </w:r>
          </w:p>
          <w:p>
            <w:pPr>
              <w:pStyle w:val="Normal"/>
              <w:rPr/>
            </w:pPr>
            <w:r>
              <w:rPr/>
              <w:t xml:space="preserve"> </w:t>
            </w:r>
            <w:r>
              <w:rPr/>
              <w:t xml:space="preserve">до 500 </w:t>
            </w:r>
          </w:p>
          <w:p>
            <w:pPr>
              <w:pStyle w:val="Normal"/>
              <w:rPr/>
            </w:pPr>
            <w:r>
              <w:rPr/>
            </w:r>
          </w:p>
        </w:tc>
        <w:tc>
          <w:tcPr>
            <w:tcW w:w="94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r>
              <w:rPr/>
              <w:t>св.500</w:t>
            </w:r>
          </w:p>
          <w:p>
            <w:pPr>
              <w:pStyle w:val="Normal"/>
              <w:rPr/>
            </w:pPr>
            <w:r>
              <w:rPr/>
              <w:t xml:space="preserve">  </w:t>
            </w:r>
            <w:r>
              <w:rPr/>
              <w:t xml:space="preserve">до 600 </w:t>
            </w:r>
          </w:p>
          <w:p>
            <w:pPr>
              <w:pStyle w:val="Normal"/>
              <w:rPr/>
            </w:pPr>
            <w:r>
              <w:rPr/>
            </w:r>
          </w:p>
        </w:tc>
        <w:tc>
          <w:tcPr>
            <w:tcW w:w="85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св. 600 </w:t>
            </w:r>
          </w:p>
          <w:p>
            <w:pPr>
              <w:pStyle w:val="Normal"/>
              <w:jc w:val="center"/>
              <w:rPr/>
            </w:pPr>
            <w:r>
              <w:rPr/>
              <w:t xml:space="preserve">до 700 </w:t>
            </w:r>
          </w:p>
          <w:p>
            <w:pPr>
              <w:pStyle w:val="Normal"/>
              <w:jc w:val="center"/>
              <w:rPr/>
            </w:pPr>
            <w:r>
              <w:rPr/>
            </w:r>
          </w:p>
        </w:tc>
        <w:tc>
          <w:tcPr>
            <w:tcW w:w="83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св.700  до 800 </w:t>
            </w:r>
          </w:p>
          <w:p>
            <w:pPr>
              <w:pStyle w:val="Normal"/>
              <w:rPr/>
            </w:pPr>
            <w:r>
              <w:rPr/>
            </w:r>
          </w:p>
        </w:tc>
      </w:tr>
      <w:tr>
        <w:trPr/>
        <w:tc>
          <w:tcPr>
            <w:tcW w:w="1425" w:type="dxa"/>
            <w:tcBorders>
              <w:top w:val="single" w:sz="2" w:space="0" w:color="000000"/>
              <w:start w:val="single" w:sz="2" w:space="0" w:color="000000"/>
            </w:tcBorders>
            <w:shd w:fill="auto" w:val="clear"/>
            <w:tcMar>
              <w:start w:w="102" w:type="dxa"/>
            </w:tcMar>
          </w:tcPr>
          <w:p>
            <w:pPr>
              <w:pStyle w:val="Normal"/>
              <w:jc w:val="center"/>
              <w:rPr/>
            </w:pPr>
            <w:r>
              <w:rPr/>
              <w:t xml:space="preserve">I и II </w:t>
            </w:r>
          </w:p>
          <w:p>
            <w:pPr>
              <w:pStyle w:val="Normal"/>
              <w:jc w:val="center"/>
              <w:rPr/>
            </w:pPr>
            <w:r>
              <w:rPr/>
            </w:r>
          </w:p>
        </w:tc>
        <w:tc>
          <w:tcPr>
            <w:tcW w:w="1215" w:type="dxa"/>
            <w:tcBorders>
              <w:start w:val="single" w:sz="2" w:space="0" w:color="000000"/>
            </w:tcBorders>
            <w:shd w:fill="auto" w:val="clear"/>
            <w:tcMar>
              <w:start w:w="102" w:type="dxa"/>
            </w:tcMar>
          </w:tcPr>
          <w:p>
            <w:pPr>
              <w:pStyle w:val="Normal"/>
              <w:rPr/>
            </w:pPr>
            <w:r>
              <w:rPr/>
              <w:t xml:space="preserve">А, Б, В </w:t>
            </w:r>
          </w:p>
          <w:p>
            <w:pPr>
              <w:pStyle w:val="Normal"/>
              <w:rPr/>
            </w:pPr>
            <w:r>
              <w:rPr/>
            </w:r>
          </w:p>
        </w:tc>
        <w:tc>
          <w:tcPr>
            <w:tcW w:w="780" w:type="dxa"/>
            <w:tcBorders>
              <w:start w:val="single" w:sz="2" w:space="0" w:color="000000"/>
            </w:tcBorders>
            <w:shd w:fill="auto" w:val="clear"/>
            <w:tcMar>
              <w:start w:w="102" w:type="dxa"/>
            </w:tcMar>
          </w:tcPr>
          <w:p>
            <w:pPr>
              <w:pStyle w:val="Normal"/>
              <w:rPr/>
            </w:pPr>
            <w:r>
              <w:rPr/>
              <w:t xml:space="preserve">20 </w:t>
            </w:r>
          </w:p>
          <w:p>
            <w:pPr>
              <w:pStyle w:val="Normal"/>
              <w:rPr/>
            </w:pPr>
            <w:r>
              <w:rPr/>
            </w:r>
          </w:p>
        </w:tc>
        <w:tc>
          <w:tcPr>
            <w:tcW w:w="855" w:type="dxa"/>
            <w:tcBorders>
              <w:start w:val="single" w:sz="2" w:space="0" w:color="000000"/>
            </w:tcBorders>
            <w:shd w:fill="auto" w:val="clear"/>
            <w:tcMar>
              <w:start w:w="102" w:type="dxa"/>
            </w:tcMar>
          </w:tcPr>
          <w:p>
            <w:pPr>
              <w:pStyle w:val="Normal"/>
              <w:rPr/>
            </w:pPr>
            <w:r>
              <w:rPr/>
              <w:t xml:space="preserve">30 </w:t>
            </w:r>
          </w:p>
          <w:p>
            <w:pPr>
              <w:pStyle w:val="Normal"/>
              <w:rPr/>
            </w:pPr>
            <w:r>
              <w:rPr/>
            </w:r>
          </w:p>
        </w:tc>
        <w:tc>
          <w:tcPr>
            <w:tcW w:w="870" w:type="dxa"/>
            <w:tcBorders>
              <w:top w:val="single" w:sz="2" w:space="0" w:color="000000"/>
              <w:start w:val="single" w:sz="2" w:space="0" w:color="000000"/>
            </w:tcBorders>
            <w:shd w:fill="auto" w:val="clear"/>
            <w:tcMar>
              <w:start w:w="102" w:type="dxa"/>
            </w:tcMar>
          </w:tcPr>
          <w:p>
            <w:pPr>
              <w:pStyle w:val="Normal"/>
              <w:rPr/>
            </w:pPr>
            <w:r>
              <w:rPr/>
              <w:t xml:space="preserve">40 </w:t>
            </w:r>
          </w:p>
          <w:p>
            <w:pPr>
              <w:pStyle w:val="Normal"/>
              <w:rPr/>
            </w:pPr>
            <w:r>
              <w:rPr/>
            </w:r>
          </w:p>
        </w:tc>
        <w:tc>
          <w:tcPr>
            <w:tcW w:w="930" w:type="dxa"/>
            <w:tcBorders>
              <w:start w:val="single" w:sz="2" w:space="0" w:color="000000"/>
            </w:tcBorders>
            <w:shd w:fill="auto" w:val="clear"/>
            <w:tcMar>
              <w:start w:w="102" w:type="dxa"/>
            </w:tcMar>
          </w:tcPr>
          <w:p>
            <w:pPr>
              <w:pStyle w:val="Normal"/>
              <w:rPr/>
            </w:pPr>
            <w:r>
              <w:rPr/>
              <w:t xml:space="preserve">50 </w:t>
            </w:r>
          </w:p>
          <w:p>
            <w:pPr>
              <w:pStyle w:val="Normal"/>
              <w:rPr/>
            </w:pPr>
            <w:r>
              <w:rPr/>
            </w:r>
          </w:p>
        </w:tc>
        <w:tc>
          <w:tcPr>
            <w:tcW w:w="885" w:type="dxa"/>
            <w:tcBorders>
              <w:start w:val="single" w:sz="2" w:space="0" w:color="000000"/>
            </w:tcBorders>
            <w:shd w:fill="auto" w:val="clear"/>
            <w:tcMar>
              <w:start w:w="102" w:type="dxa"/>
            </w:tcMar>
          </w:tcPr>
          <w:p>
            <w:pPr>
              <w:pStyle w:val="Normal"/>
              <w:rPr/>
            </w:pPr>
            <w:r>
              <w:rPr/>
              <w:t xml:space="preserve">60 </w:t>
            </w:r>
          </w:p>
          <w:p>
            <w:pPr>
              <w:pStyle w:val="Normal"/>
              <w:rPr/>
            </w:pPr>
            <w:r>
              <w:rPr/>
            </w:r>
          </w:p>
        </w:tc>
        <w:tc>
          <w:tcPr>
            <w:tcW w:w="945" w:type="dxa"/>
            <w:tcBorders>
              <w:start w:val="single" w:sz="2" w:space="0" w:color="000000"/>
            </w:tcBorders>
            <w:shd w:fill="auto" w:val="clear"/>
            <w:tcMar>
              <w:start w:w="102" w:type="dxa"/>
            </w:tcMar>
          </w:tcPr>
          <w:p>
            <w:pPr>
              <w:pStyle w:val="Normal"/>
              <w:rPr/>
            </w:pPr>
            <w:r>
              <w:rPr/>
              <w:t xml:space="preserve">70 </w:t>
            </w:r>
          </w:p>
          <w:p>
            <w:pPr>
              <w:pStyle w:val="Normal"/>
              <w:rPr/>
            </w:pPr>
            <w:r>
              <w:rPr/>
            </w:r>
          </w:p>
        </w:tc>
        <w:tc>
          <w:tcPr>
            <w:tcW w:w="945" w:type="dxa"/>
            <w:tcBorders>
              <w:start w:val="single" w:sz="2" w:space="0" w:color="000000"/>
            </w:tcBorders>
            <w:shd w:fill="auto" w:val="clear"/>
            <w:tcMar>
              <w:start w:w="102" w:type="dxa"/>
            </w:tcMar>
          </w:tcPr>
          <w:p>
            <w:pPr>
              <w:pStyle w:val="Normal"/>
              <w:rPr/>
            </w:pPr>
            <w:r>
              <w:rPr/>
              <w:t xml:space="preserve">80 </w:t>
            </w:r>
          </w:p>
          <w:p>
            <w:pPr>
              <w:pStyle w:val="Normal"/>
              <w:rPr/>
            </w:pPr>
            <w:r>
              <w:rPr/>
            </w:r>
          </w:p>
        </w:tc>
        <w:tc>
          <w:tcPr>
            <w:tcW w:w="855" w:type="dxa"/>
            <w:tcBorders>
              <w:start w:val="single" w:sz="2" w:space="0" w:color="000000"/>
            </w:tcBorders>
            <w:shd w:fill="auto" w:val="clear"/>
            <w:tcMar>
              <w:start w:w="102" w:type="dxa"/>
            </w:tcMar>
          </w:tcPr>
          <w:p>
            <w:pPr>
              <w:pStyle w:val="Normal"/>
              <w:rPr/>
            </w:pPr>
            <w:r>
              <w:rPr/>
              <w:t xml:space="preserve">90 </w:t>
            </w:r>
          </w:p>
          <w:p>
            <w:pPr>
              <w:pStyle w:val="Normal"/>
              <w:rPr/>
            </w:pPr>
            <w:r>
              <w:rPr/>
            </w:r>
          </w:p>
        </w:tc>
        <w:tc>
          <w:tcPr>
            <w:tcW w:w="83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 </w:t>
            </w:r>
            <w:r>
              <w:rPr/>
              <w:t xml:space="preserve">100 </w:t>
            </w:r>
          </w:p>
          <w:p>
            <w:pPr>
              <w:pStyle w:val="Normal"/>
              <w:rPr/>
            </w:pPr>
            <w:r>
              <w:rPr/>
            </w:r>
          </w:p>
        </w:tc>
      </w:tr>
      <w:tr>
        <w:trPr/>
        <w:tc>
          <w:tcPr>
            <w:tcW w:w="142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I и II </w:t>
            </w:r>
          </w:p>
          <w:p>
            <w:pPr>
              <w:pStyle w:val="Normal"/>
              <w:jc w:val="center"/>
              <w:rPr/>
            </w:pPr>
            <w:r>
              <w:rPr/>
            </w:r>
          </w:p>
        </w:tc>
        <w:tc>
          <w:tcPr>
            <w:tcW w:w="121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Г, Д, Е </w:t>
            </w:r>
          </w:p>
          <w:p>
            <w:pPr>
              <w:pStyle w:val="Normal"/>
              <w:rPr/>
            </w:pPr>
            <w:r>
              <w:rPr/>
            </w:r>
          </w:p>
        </w:tc>
        <w:tc>
          <w:tcPr>
            <w:tcW w:w="78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10 </w:t>
            </w:r>
          </w:p>
          <w:p>
            <w:pPr>
              <w:pStyle w:val="Normal"/>
              <w:rPr/>
            </w:pPr>
            <w:r>
              <w:rPr/>
            </w:r>
          </w:p>
        </w:tc>
        <w:tc>
          <w:tcPr>
            <w:tcW w:w="85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15 </w:t>
            </w:r>
          </w:p>
          <w:p>
            <w:pPr>
              <w:pStyle w:val="Normal"/>
              <w:rPr/>
            </w:pPr>
            <w:r>
              <w:rPr/>
            </w:r>
          </w:p>
        </w:tc>
        <w:tc>
          <w:tcPr>
            <w:tcW w:w="87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20 </w:t>
            </w:r>
          </w:p>
          <w:p>
            <w:pPr>
              <w:pStyle w:val="Normal"/>
              <w:rPr/>
            </w:pPr>
            <w:r>
              <w:rPr/>
            </w:r>
          </w:p>
        </w:tc>
        <w:tc>
          <w:tcPr>
            <w:tcW w:w="93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25 </w:t>
            </w:r>
          </w:p>
          <w:p>
            <w:pPr>
              <w:pStyle w:val="Normal"/>
              <w:rPr/>
            </w:pPr>
            <w:r>
              <w:rPr/>
            </w:r>
          </w:p>
        </w:tc>
        <w:tc>
          <w:tcPr>
            <w:tcW w:w="88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30 </w:t>
            </w:r>
          </w:p>
          <w:p>
            <w:pPr>
              <w:pStyle w:val="Normal"/>
              <w:rPr/>
            </w:pPr>
            <w:r>
              <w:rPr/>
            </w:r>
          </w:p>
        </w:tc>
        <w:tc>
          <w:tcPr>
            <w:tcW w:w="94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35 </w:t>
            </w:r>
          </w:p>
          <w:p>
            <w:pPr>
              <w:pStyle w:val="Normal"/>
              <w:rPr/>
            </w:pPr>
            <w:r>
              <w:rPr/>
            </w:r>
          </w:p>
        </w:tc>
        <w:tc>
          <w:tcPr>
            <w:tcW w:w="94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40 </w:t>
            </w:r>
          </w:p>
          <w:p>
            <w:pPr>
              <w:pStyle w:val="Normal"/>
              <w:rPr/>
            </w:pPr>
            <w:r>
              <w:rPr/>
            </w:r>
          </w:p>
        </w:tc>
        <w:tc>
          <w:tcPr>
            <w:tcW w:w="85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45 </w:t>
            </w:r>
          </w:p>
          <w:p>
            <w:pPr>
              <w:pStyle w:val="Normal"/>
              <w:rPr/>
            </w:pPr>
            <w:r>
              <w:rPr/>
            </w:r>
          </w:p>
        </w:tc>
        <w:tc>
          <w:tcPr>
            <w:tcW w:w="83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  </w:t>
            </w:r>
            <w:r>
              <w:rPr/>
              <w:t xml:space="preserve">50 </w:t>
            </w:r>
          </w:p>
          <w:p>
            <w:pPr>
              <w:pStyle w:val="Normal"/>
              <w:rPr/>
            </w:pPr>
            <w:r>
              <w:rPr/>
            </w:r>
          </w:p>
        </w:tc>
      </w:tr>
    </w:tbl>
    <w:p>
      <w:pPr>
        <w:pStyle w:val="Normal"/>
        <w:jc w:val="end"/>
        <w:rPr/>
      </w:pPr>
      <w:r>
        <w:rPr/>
      </w:r>
    </w:p>
    <w:p>
      <w:pPr>
        <w:pStyle w:val="Normal"/>
        <w:jc w:val="end"/>
        <w:rPr/>
      </w:pPr>
      <w:r>
        <w:rPr/>
        <w:t xml:space="preserve">    </w:t>
      </w:r>
    </w:p>
    <w:p>
      <w:pPr>
        <w:pStyle w:val="Normal"/>
        <w:ind w:firstLine="270"/>
        <w:jc w:val="both"/>
        <w:rPr/>
      </w:pPr>
      <w:r>
        <w:rPr/>
        <w:t>Примечания к табл. 7 и 8: 1. При двух расчетных пожарах на предприятии расчетный расход воды на пожаротушение следует принимать по двум зданиям, требующим наибольшего расхода воды.</w:t>
      </w:r>
    </w:p>
    <w:p>
      <w:pPr>
        <w:pStyle w:val="Normal"/>
        <w:ind w:firstLine="270"/>
        <w:jc w:val="both"/>
        <w:rPr/>
      </w:pPr>
      <w:r>
        <w:rPr/>
      </w:r>
    </w:p>
    <w:p>
      <w:pPr>
        <w:pStyle w:val="Normal"/>
        <w:ind w:firstLine="225"/>
        <w:jc w:val="both"/>
        <w:rPr/>
      </w:pPr>
      <w:r>
        <w:rPr/>
        <w:t>2. Расход воды на наружное пожаротушение отдельно стоящих вспомогательных зданий промышленных предприятий следует определять по табл. 6 как для общественных зданий, а встроенных в производственные здания - по общему объему здания по табл. 7.</w:t>
      </w:r>
    </w:p>
    <w:p>
      <w:pPr>
        <w:pStyle w:val="Normal"/>
        <w:ind w:firstLine="225"/>
        <w:jc w:val="both"/>
        <w:rPr/>
      </w:pPr>
      <w:r>
        <w:rPr/>
      </w:r>
    </w:p>
    <w:p>
      <w:pPr>
        <w:pStyle w:val="Normal"/>
        <w:ind w:firstLine="225"/>
        <w:jc w:val="both"/>
        <w:rPr/>
      </w:pPr>
      <w:r>
        <w:rPr/>
        <w:t>3. Расход воды на наружное пожаротушение зданий сельскохозяйственных предприятий I и II степеней огнестойкости объемом не более 5 тыс. куб.м с производствами категорий Г и Д следует принимать 5 л/с.</w:t>
      </w:r>
    </w:p>
    <w:p>
      <w:pPr>
        <w:pStyle w:val="Normal"/>
        <w:ind w:firstLine="225"/>
        <w:jc w:val="both"/>
        <w:rPr/>
      </w:pPr>
      <w:r>
        <w:rPr/>
      </w:r>
    </w:p>
    <w:p>
      <w:pPr>
        <w:pStyle w:val="Normal"/>
        <w:ind w:firstLine="225"/>
        <w:jc w:val="both"/>
        <w:rPr/>
      </w:pPr>
      <w:r>
        <w:rPr/>
        <w:t>4. Расход воды на наружное пожаротушение складов лесных материалов вместимостью до 10 тыс. куб.м следует принимать по табл. 7, относя их к зданиям V степени огнестойкости с производством категории В. При большей вместимости складов следует руководствоваться требованиями соответствующих нормативных документов.</w:t>
      </w:r>
    </w:p>
    <w:p>
      <w:pPr>
        <w:pStyle w:val="Normal"/>
        <w:ind w:firstLine="225"/>
        <w:jc w:val="both"/>
        <w:rPr/>
      </w:pPr>
      <w:r>
        <w:rPr/>
      </w:r>
    </w:p>
    <w:p>
      <w:pPr>
        <w:pStyle w:val="Normal"/>
        <w:ind w:firstLine="270"/>
        <w:jc w:val="both"/>
        <w:rPr/>
      </w:pPr>
      <w:r>
        <w:rPr/>
        <w:t>5. Расход воды на наружное пожаротушение зданий радиотелевизионных передающих станций независимо от объема зданий и числа проживающих в поселке людей надлежит принимать не менее 15 л/с, если по табл. 7 и 8 не требуется больший расход воды. Указанные требования не распространяются на радиотелевизионные ретрансляторы, устанавливаемые на существующих и проектируемых объектах связи.</w:t>
      </w:r>
    </w:p>
    <w:p>
      <w:pPr>
        <w:pStyle w:val="Normal"/>
        <w:ind w:firstLine="225"/>
        <w:jc w:val="both"/>
        <w:rPr/>
      </w:pPr>
      <w:r>
        <w:rPr/>
      </w:r>
    </w:p>
    <w:p>
      <w:pPr>
        <w:pStyle w:val="Normal"/>
        <w:ind w:firstLine="270"/>
        <w:jc w:val="both"/>
        <w:rPr/>
      </w:pPr>
      <w:r>
        <w:rPr/>
        <w:t>6. Расход воды на наружное пожаротушение зданий объемами, более указанных в табл. 7 и 8, надлежит устанавливать по согласованию с территориальными органами Государственного пожарного надзора.</w:t>
      </w:r>
    </w:p>
    <w:p>
      <w:pPr>
        <w:pStyle w:val="Normal"/>
        <w:ind w:firstLine="225"/>
        <w:jc w:val="both"/>
        <w:rPr/>
      </w:pPr>
      <w:r>
        <w:rPr/>
      </w:r>
    </w:p>
    <w:p>
      <w:pPr>
        <w:pStyle w:val="Normal"/>
        <w:ind w:firstLine="270"/>
        <w:jc w:val="both"/>
        <w:rPr/>
      </w:pPr>
      <w:r>
        <w:rPr/>
        <w:t xml:space="preserve">7. Степень огнестойкости зданий или сооружений надлежит определять в соответствии с требованиями </w:t>
      </w:r>
      <w:r>
        <w:rPr>
          <w:vanish/>
        </w:rPr>
        <w:t>#M12293 0 871001017 3704477087 78 23941 2496674701 2685059051 3363248087 4294967268 584910322</w:t>
      </w:r>
      <w:r>
        <w:rPr/>
        <w:t>СНиП 2.01.02-85</w:t>
      </w:r>
      <w:r>
        <w:rPr>
          <w:vanish/>
        </w:rPr>
        <w:t>#S</w:t>
      </w:r>
      <w:r>
        <w:rPr/>
        <w:t>.</w:t>
      </w:r>
    </w:p>
    <w:p>
      <w:pPr>
        <w:pStyle w:val="Normal"/>
        <w:ind w:firstLine="225"/>
        <w:jc w:val="both"/>
        <w:rPr/>
      </w:pPr>
      <w:r>
        <w:rPr/>
      </w:r>
    </w:p>
    <w:p>
      <w:pPr>
        <w:pStyle w:val="Normal"/>
        <w:ind w:firstLine="270"/>
        <w:jc w:val="both"/>
        <w:rPr/>
      </w:pPr>
      <w:r>
        <w:rPr/>
        <w:t>8. Для зданий II степени огнестойкости с деревянными конструкциями расход воды на наружное пожаротушение следует принимать на 5 л/с больше указанного в табл. 7 или 8.</w:t>
      </w:r>
    </w:p>
    <w:p>
      <w:pPr>
        <w:pStyle w:val="Normal"/>
        <w:ind w:firstLine="225"/>
        <w:jc w:val="both"/>
        <w:rPr/>
      </w:pPr>
      <w:r>
        <w:rPr/>
      </w:r>
    </w:p>
    <w:p>
      <w:pPr>
        <w:pStyle w:val="Normal"/>
        <w:ind w:firstLine="225"/>
        <w:jc w:val="both"/>
        <w:rPr/>
      </w:pPr>
      <w:r>
        <w:rPr/>
      </w:r>
    </w:p>
    <w:p>
      <w:pPr>
        <w:pStyle w:val="Normal"/>
        <w:ind w:firstLine="270"/>
        <w:jc w:val="both"/>
        <w:rPr/>
      </w:pPr>
      <w:r>
        <w:rPr/>
        <w:t>Для этих зданий в местах размещения наружных пожарных лестниц должны предусматриваться стояки-сухотрубы диаметром 80 мм, оборудованные пожарными соединительными головками на верхнем и нижнем концах стояка.</w:t>
      </w:r>
    </w:p>
    <w:p>
      <w:pPr>
        <w:pStyle w:val="Normal"/>
        <w:ind w:firstLine="270"/>
        <w:jc w:val="both"/>
        <w:rPr/>
      </w:pPr>
      <w:r>
        <w:rPr/>
      </w:r>
    </w:p>
    <w:p>
      <w:pPr>
        <w:pStyle w:val="Normal"/>
        <w:ind w:firstLine="270"/>
        <w:jc w:val="both"/>
        <w:rPr/>
      </w:pPr>
      <w:r>
        <w:rPr/>
        <w:t>Примечание. Для зданий шириной не более 24 м и высотой до карниза не более 10 м стояки-сухотрубы допускается не предусматривать.</w:t>
      </w:r>
    </w:p>
    <w:p>
      <w:pPr>
        <w:pStyle w:val="Normal"/>
        <w:ind w:firstLine="225"/>
        <w:jc w:val="both"/>
        <w:rPr/>
      </w:pPr>
      <w:r>
        <w:rPr/>
      </w:r>
    </w:p>
    <w:p>
      <w:pPr>
        <w:pStyle w:val="Normal"/>
        <w:ind w:firstLine="270"/>
        <w:jc w:val="both"/>
        <w:rPr/>
      </w:pPr>
      <w:r>
        <w:rPr/>
      </w:r>
    </w:p>
    <w:p>
      <w:pPr>
        <w:pStyle w:val="Normal"/>
        <w:ind w:firstLine="225"/>
        <w:jc w:val="both"/>
        <w:rPr/>
      </w:pPr>
      <w:r>
        <w:rPr/>
        <w:t xml:space="preserve">2.17. Расход воды на наружное пожаротушение открытых площадок хранения контейнеров с грузом до 5 т следует принимать при количестве контейнеров: </w:t>
      </w:r>
    </w:p>
    <w:p>
      <w:pPr>
        <w:pStyle w:val="Normal"/>
        <w:ind w:firstLine="225"/>
        <w:jc w:val="both"/>
        <w:rPr/>
      </w:pPr>
      <w:r>
        <w:rPr/>
      </w:r>
    </w:p>
    <w:p>
      <w:pPr>
        <w:pStyle w:val="Preformat"/>
        <w:rPr/>
      </w:pPr>
      <w:r>
        <w:rPr>
          <w:vanish/>
        </w:rPr>
        <w:t>#G1</w:t>
      </w:r>
      <w:r>
        <w:rPr/>
        <w:t xml:space="preserve">от 30   до  50 шт - 15 л/с; </w:t>
      </w:r>
    </w:p>
    <w:p>
      <w:pPr>
        <w:pStyle w:val="Preformat"/>
        <w:rPr/>
      </w:pPr>
      <w:r>
        <w:rPr/>
      </w:r>
    </w:p>
    <w:p>
      <w:pPr>
        <w:pStyle w:val="Preformat"/>
        <w:rPr/>
      </w:pPr>
      <w:r>
        <w:rPr/>
        <w:t xml:space="preserve">св.50   «  100 «  - 20 л/с; </w:t>
      </w:r>
    </w:p>
    <w:p>
      <w:pPr>
        <w:pStyle w:val="Preformat"/>
        <w:rPr/>
      </w:pPr>
      <w:r>
        <w:rPr/>
      </w:r>
    </w:p>
    <w:p>
      <w:pPr>
        <w:pStyle w:val="Preformat"/>
        <w:rPr/>
      </w:pPr>
      <w:r>
        <w:rPr/>
        <w:t xml:space="preserve">« 100   «  300 «  - 25 л/с; </w:t>
      </w:r>
    </w:p>
    <w:p>
      <w:pPr>
        <w:pStyle w:val="Preformat"/>
        <w:rPr/>
      </w:pPr>
      <w:r>
        <w:rPr/>
      </w:r>
    </w:p>
    <w:p>
      <w:pPr>
        <w:pStyle w:val="Preformat"/>
        <w:rPr/>
      </w:pPr>
      <w:r>
        <w:rPr/>
        <w:t>« 300   « 1000 «  - 40 л/с.</w:t>
      </w:r>
    </w:p>
    <w:p>
      <w:pPr>
        <w:pStyle w:val="Normal"/>
        <w:jc w:val="both"/>
        <w:rPr>
          <w:rFonts w:ascii="Courier New" w:hAnsi="Courier New" w:eastAsia="Courier New" w:cs="Courier New"/>
        </w:rPr>
      </w:pPr>
      <w:r>
        <w:rPr>
          <w:rFonts w:eastAsia="Courier New" w:cs="Courier New" w:ascii="Courier New" w:hAnsi="Courier New"/>
        </w:rPr>
        <w:t xml:space="preserve">     </w:t>
      </w:r>
    </w:p>
    <w:p>
      <w:pPr>
        <w:pStyle w:val="Normal"/>
        <w:ind w:firstLine="270"/>
        <w:jc w:val="both"/>
        <w:rPr/>
      </w:pPr>
      <w:r>
        <w:rPr>
          <w:vanish/>
        </w:rPr>
        <w:t>#G0</w:t>
      </w:r>
      <w:r>
        <w:rPr/>
        <w:t xml:space="preserve">2.18. Расход воды на тушение пожара при объединенном водопроводе для спринклерных или дренчерных установок, внутренних пожарных кранов и наружных гидрантов в течение 1 ч с момента начала пожаротушения следует принимать как сумму наибольших расходов, определенных в соответствии с требованиями «Инструкции по проектированию установок автоматического пожаротушения», </w:t>
      </w:r>
      <w:r>
        <w:rPr>
          <w:vanish/>
        </w:rPr>
        <w:t>#M12293 0 5200243 3704477087 78 23944 2465715557 2685059051 3363248087 4294967268 584910322</w:t>
      </w:r>
      <w:r>
        <w:rPr/>
        <w:t>СНиП 2.04.01-85</w:t>
      </w:r>
      <w:r>
        <w:rPr>
          <w:vanish/>
        </w:rPr>
        <w:t>#S</w:t>
      </w:r>
      <w:r>
        <w:rPr/>
        <w:t xml:space="preserve"> и настоящего раздела.</w:t>
      </w:r>
    </w:p>
    <w:p>
      <w:pPr>
        <w:pStyle w:val="Normal"/>
        <w:ind w:firstLine="270"/>
        <w:jc w:val="both"/>
        <w:rPr/>
      </w:pPr>
      <w:r>
        <w:rPr/>
      </w:r>
    </w:p>
    <w:p>
      <w:pPr>
        <w:pStyle w:val="Normal"/>
        <w:ind w:firstLine="225"/>
        <w:jc w:val="both"/>
        <w:rPr/>
      </w:pPr>
      <w:r>
        <w:rPr/>
        <w:t>Расход воды, необходимый на время тушения пожара после отключения спринклерных или дренчерных установок, следует принимать согласно пп. 2.14, 2.16, 2.20 и 2.21.</w:t>
      </w:r>
    </w:p>
    <w:p>
      <w:pPr>
        <w:pStyle w:val="Normal"/>
        <w:ind w:firstLine="270"/>
        <w:jc w:val="both"/>
        <w:rPr/>
      </w:pPr>
      <w:r>
        <w:rPr/>
      </w:r>
    </w:p>
    <w:p>
      <w:pPr>
        <w:pStyle w:val="Normal"/>
        <w:ind w:firstLine="270"/>
        <w:jc w:val="both"/>
        <w:rPr/>
      </w:pPr>
      <w:r>
        <w:rPr/>
        <w:t>Примечание. Одновременность действия спринклерных и дренчерных установок надлежит учитывать в зависимости от условий пожаротушения.</w:t>
      </w:r>
    </w:p>
    <w:p>
      <w:pPr>
        <w:pStyle w:val="Normal"/>
        <w:ind w:firstLine="270"/>
        <w:jc w:val="both"/>
        <w:rPr/>
      </w:pPr>
      <w:r>
        <w:rPr/>
      </w:r>
    </w:p>
    <w:p>
      <w:pPr>
        <w:pStyle w:val="Normal"/>
        <w:ind w:firstLine="270"/>
        <w:jc w:val="both"/>
        <w:rPr/>
      </w:pPr>
      <w:r>
        <w:rPr/>
        <w:t>2.19. Расход воды на наружное пожаротушение пенными установками, установками с лафетными стволами или путем подачи распыленной воды должен определяться в соответствии с требованиями противопожарной безопасности, предусмотренными нормами строительного проектирования предприятий, зданий и сооружений соответствующих отраслей промышленности с учетом дополнительного расхода воды в размере 25 % из гидрантов согласно п. 2.14. При этом суммарный расход воды должен быть не менее расхода, определенного по табл. 7 или 8.</w:t>
      </w:r>
    </w:p>
    <w:p>
      <w:pPr>
        <w:pStyle w:val="Normal"/>
        <w:ind w:firstLine="270"/>
        <w:jc w:val="both"/>
        <w:rPr/>
      </w:pPr>
      <w:r>
        <w:rPr/>
      </w:r>
    </w:p>
    <w:p>
      <w:pPr>
        <w:pStyle w:val="Normal"/>
        <w:ind w:firstLine="225"/>
        <w:jc w:val="both"/>
        <w:rPr/>
      </w:pPr>
      <w:r>
        <w:rPr/>
        <w:t xml:space="preserve">2.20. На пожаротушение зданий, оборудованных внутренними пожарными кранами, должен учитываться дополнительный расход воды к расходам, указанным в табл. 5-8, который следует принимать для зданий, требующих наибольшего расхода воды в соответствии с требованиями </w:t>
      </w:r>
      <w:r>
        <w:rPr>
          <w:vanish/>
        </w:rPr>
        <w:t>#M12293 0 5200243 3704477087 78 23944 2465715557 2685059051 3363248087 4294967268 584910322</w:t>
      </w:r>
      <w:r>
        <w:rPr/>
        <w:t>СНиП 2.04.01-85</w:t>
      </w:r>
      <w:r>
        <w:rPr>
          <w:vanish/>
        </w:rPr>
        <w:t>#S</w:t>
      </w:r>
      <w:r>
        <w:rPr/>
        <w:t>.</w:t>
      </w:r>
    </w:p>
    <w:p>
      <w:pPr>
        <w:pStyle w:val="Normal"/>
        <w:ind w:firstLine="225"/>
        <w:jc w:val="both"/>
        <w:rPr/>
      </w:pPr>
      <w:r>
        <w:rPr/>
      </w:r>
    </w:p>
    <w:p>
      <w:pPr>
        <w:pStyle w:val="Normal"/>
        <w:ind w:firstLine="270"/>
        <w:jc w:val="both"/>
        <w:rPr/>
      </w:pPr>
      <w:r>
        <w:rPr/>
        <w:t>2.21. Расчетный расход воды на тушение пожара должен быть обеспечен при наибольшем расходе воды на другие нужды, предусмотренные п. 4.3, при этом на промышленном предприятии расходы воды на поливку территории, прием душа, мытье полов и мойку технологического оборудования, а также на полив растений в теплицах не учитываются.</w:t>
      </w:r>
    </w:p>
    <w:p>
      <w:pPr>
        <w:pStyle w:val="Normal"/>
        <w:ind w:firstLine="270"/>
        <w:jc w:val="both"/>
        <w:rPr/>
      </w:pPr>
      <w:r>
        <w:rPr/>
      </w:r>
    </w:p>
    <w:p>
      <w:pPr>
        <w:pStyle w:val="Normal"/>
        <w:ind w:firstLine="225"/>
        <w:jc w:val="both"/>
        <w:rPr/>
      </w:pPr>
      <w:r>
        <w:rPr/>
        <w:t>В случаях когда по условиям технологического процесса возможно частичное использование производственной воды на пожаротушение, следует предусматривать установку гидрантов на сети производственного водопровода дополнительно к гидрантам, установленным на сети противопожарного водопровода, обеспечивающего требуемый расход воды на пожаротушение.</w:t>
      </w:r>
    </w:p>
    <w:p>
      <w:pPr>
        <w:pStyle w:val="Normal"/>
        <w:ind w:firstLine="225"/>
        <w:jc w:val="both"/>
        <w:rPr/>
      </w:pPr>
      <w:r>
        <w:rPr/>
      </w:r>
    </w:p>
    <w:p>
      <w:pPr>
        <w:pStyle w:val="Normal"/>
        <w:ind w:firstLine="270"/>
        <w:jc w:val="both"/>
        <w:rPr/>
      </w:pPr>
      <w:r>
        <w:rPr/>
        <w:t>2.22. Расчетное количество одновременных пожаров на промышленном или сельскохозяйственном предприятии надлежит принимать в зависимости от занимаемой ими площади; один пожар при площади до 150 га, два пожара -  более 150 га.</w:t>
      </w:r>
    </w:p>
    <w:p>
      <w:pPr>
        <w:pStyle w:val="Normal"/>
        <w:ind w:firstLine="270"/>
        <w:jc w:val="both"/>
        <w:rPr/>
      </w:pPr>
      <w:r>
        <w:rPr/>
      </w:r>
    </w:p>
    <w:p>
      <w:pPr>
        <w:pStyle w:val="Normal"/>
        <w:ind w:firstLine="225"/>
        <w:jc w:val="both"/>
        <w:rPr/>
      </w:pPr>
      <w:r>
        <w:rPr/>
        <w:t>2.23. При объединенном противопожарном водопроводе населенного пункта и промышленного или сельскохозяйственного предприятия, расположенных вне населенного пункта, расчетное количество одновременных пожаров должно приниматься:</w:t>
      </w:r>
    </w:p>
    <w:p>
      <w:pPr>
        <w:pStyle w:val="Normal"/>
        <w:ind w:firstLine="225"/>
        <w:jc w:val="both"/>
        <w:rPr/>
      </w:pPr>
      <w:r>
        <w:rPr/>
      </w:r>
    </w:p>
    <w:p>
      <w:pPr>
        <w:pStyle w:val="Normal"/>
        <w:ind w:firstLine="270"/>
        <w:jc w:val="both"/>
        <w:rPr/>
      </w:pPr>
      <w:r>
        <w:rPr/>
        <w:t>при площади территории предприятия до 150 га при числе жителей в населенном пункте до 10 тыс. чел. - один пожар (на предприятии или в населенном пункте по наибольшему расходу воды); то же, при числе жителей в населенном пункте свыше 10 до 25 тыс. чел. - два пожара (один на предприятии и один в населенном пункте);</w:t>
      </w:r>
    </w:p>
    <w:p>
      <w:pPr>
        <w:pStyle w:val="Normal"/>
        <w:ind w:firstLine="225"/>
        <w:jc w:val="both"/>
        <w:rPr/>
      </w:pPr>
      <w:r>
        <w:rPr/>
      </w:r>
    </w:p>
    <w:p>
      <w:pPr>
        <w:pStyle w:val="Normal"/>
        <w:ind w:firstLine="270"/>
        <w:jc w:val="both"/>
        <w:rPr/>
      </w:pPr>
      <w:r>
        <w:rPr/>
        <w:t>при площади территории предприятия свыше 150 га и при числе жителей в населенном пункте до 25 тыс. чел. - два пожара (два на предприятии или два в населенном пункте по наибольшему расходу);</w:t>
      </w:r>
    </w:p>
    <w:p>
      <w:pPr>
        <w:pStyle w:val="Normal"/>
        <w:ind w:firstLine="225"/>
        <w:jc w:val="both"/>
        <w:rPr/>
      </w:pPr>
      <w:r>
        <w:rPr/>
      </w:r>
    </w:p>
    <w:p>
      <w:pPr>
        <w:pStyle w:val="Normal"/>
        <w:ind w:firstLine="270"/>
        <w:jc w:val="both"/>
        <w:rPr/>
      </w:pPr>
      <w:r>
        <w:rPr/>
        <w:t>при числе жителей в населенном пункте более 25 тыс. чел.  - согласно п. 2.22 и табл. 5, при этом расход воды следует определять как сумму потребного большего расхода (на предприятии или в населенном пункте) и 50 % потребного меньшего расхода (на предприятии или в населенном пункте);</w:t>
      </w:r>
    </w:p>
    <w:p>
      <w:pPr>
        <w:pStyle w:val="Normal"/>
        <w:ind w:firstLine="225"/>
        <w:jc w:val="both"/>
        <w:rPr/>
      </w:pPr>
      <w:r>
        <w:rPr/>
      </w:r>
    </w:p>
    <w:p>
      <w:pPr>
        <w:pStyle w:val="Normal"/>
        <w:ind w:firstLine="270"/>
        <w:jc w:val="both"/>
        <w:rPr/>
      </w:pPr>
      <w:r>
        <w:rPr/>
        <w:t>при нескольких промышленных предприятиях и одном населенном пункте  - согласно требованиям органов Государственного пожарного надзора.</w:t>
      </w:r>
    </w:p>
    <w:p>
      <w:pPr>
        <w:pStyle w:val="Normal"/>
        <w:ind w:firstLine="270"/>
        <w:jc w:val="both"/>
        <w:rPr/>
      </w:pPr>
      <w:r>
        <w:rPr/>
      </w:r>
    </w:p>
    <w:p>
      <w:pPr>
        <w:pStyle w:val="Normal"/>
        <w:ind w:firstLine="225"/>
        <w:jc w:val="both"/>
        <w:rPr/>
      </w:pPr>
      <w:r>
        <w:rPr/>
        <w:t>2.24. Продолжительность тушения пожара должна приниматься 3 ч; для зданий I и II степеней огнестойкости с несгораемыми несущими конструкциями и утеплителем с помещениями категорий Г и Д - 2 ч.</w:t>
      </w:r>
    </w:p>
    <w:p>
      <w:pPr>
        <w:pStyle w:val="Normal"/>
        <w:ind w:firstLine="180"/>
        <w:jc w:val="both"/>
        <w:rPr/>
      </w:pPr>
      <w:r>
        <w:rPr/>
      </w:r>
    </w:p>
    <w:p>
      <w:pPr>
        <w:pStyle w:val="Normal"/>
        <w:ind w:firstLine="225"/>
        <w:jc w:val="both"/>
        <w:rPr/>
      </w:pPr>
      <w:r>
        <w:rPr/>
        <w:t>2.25. Максимальный срок восстановления пожарного объема воды должен быть не более:</w:t>
      </w:r>
    </w:p>
    <w:p>
      <w:pPr>
        <w:pStyle w:val="Normal"/>
        <w:ind w:firstLine="225"/>
        <w:jc w:val="both"/>
        <w:rPr/>
      </w:pPr>
      <w:r>
        <w:rPr/>
      </w:r>
    </w:p>
    <w:p>
      <w:pPr>
        <w:pStyle w:val="Normal"/>
        <w:ind w:firstLine="225"/>
        <w:jc w:val="both"/>
        <w:rPr/>
      </w:pPr>
      <w:r>
        <w:rPr/>
        <w:t>24 ч - в населенных пунктах и на промышленных предприятиях с помещениями по пожарной опасности категорий А, Б, В;</w:t>
      </w:r>
    </w:p>
    <w:p>
      <w:pPr>
        <w:pStyle w:val="Normal"/>
        <w:ind w:firstLine="225"/>
        <w:jc w:val="both"/>
        <w:rPr/>
      </w:pPr>
      <w:r>
        <w:rPr/>
      </w:r>
    </w:p>
    <w:p>
      <w:pPr>
        <w:pStyle w:val="Normal"/>
        <w:ind w:firstLine="225"/>
        <w:jc w:val="both"/>
        <w:rPr/>
      </w:pPr>
      <w:r>
        <w:rPr/>
        <w:t>36 ч - на промышленных предприятиях с помещениями по пожарной опасности категорий Г и Д;</w:t>
      </w:r>
    </w:p>
    <w:p>
      <w:pPr>
        <w:pStyle w:val="Normal"/>
        <w:ind w:firstLine="225"/>
        <w:jc w:val="both"/>
        <w:rPr/>
      </w:pPr>
      <w:r>
        <w:rPr/>
      </w:r>
    </w:p>
    <w:p>
      <w:pPr>
        <w:pStyle w:val="Normal"/>
        <w:ind w:firstLine="225"/>
        <w:jc w:val="both"/>
        <w:rPr/>
      </w:pPr>
      <w:r>
        <w:rPr/>
        <w:t>72 ч -  в сельских населенных пунктах и на сельскохозяйственных предприятиях.</w:t>
      </w:r>
    </w:p>
    <w:p>
      <w:pPr>
        <w:pStyle w:val="Normal"/>
        <w:ind w:firstLine="270"/>
        <w:jc w:val="both"/>
        <w:rPr/>
      </w:pPr>
      <w:r>
        <w:rPr/>
      </w:r>
    </w:p>
    <w:p>
      <w:pPr>
        <w:pStyle w:val="Normal"/>
        <w:ind w:firstLine="225"/>
        <w:jc w:val="both"/>
        <w:rPr/>
      </w:pPr>
      <w:r>
        <w:rPr/>
        <w:t xml:space="preserve">Примечания: 1. Для промышленных предприятий с расходами воды на наружное пожаротушение 20 л/с и менее допускается увеличивать время восстановления пожарного объема воды: </w:t>
      </w:r>
    </w:p>
    <w:p>
      <w:pPr>
        <w:pStyle w:val="Normal"/>
        <w:ind w:firstLine="225"/>
        <w:jc w:val="both"/>
        <w:rPr/>
      </w:pPr>
      <w:r>
        <w:rPr/>
      </w:r>
    </w:p>
    <w:p>
      <w:pPr>
        <w:pStyle w:val="Preformat"/>
        <w:rPr/>
      </w:pPr>
      <w:r>
        <w:rPr>
          <w:vanish/>
        </w:rPr>
        <w:t>#G1</w:t>
      </w:r>
      <w:r>
        <w:rPr/>
        <w:t xml:space="preserve">   до 48 ч - для помещений категорий Г и Д; </w:t>
      </w:r>
    </w:p>
    <w:p>
      <w:pPr>
        <w:pStyle w:val="Preformat"/>
        <w:rPr/>
      </w:pPr>
      <w:r>
        <w:rPr/>
      </w:r>
    </w:p>
    <w:p>
      <w:pPr>
        <w:pStyle w:val="Preformat"/>
        <w:rPr/>
      </w:pPr>
      <w:r>
        <w:rPr>
          <w:rFonts w:eastAsia="Courier New"/>
        </w:rPr>
        <w:t xml:space="preserve">   </w:t>
      </w:r>
      <w:r>
        <w:rPr/>
        <w:t xml:space="preserve">до 36 ч  - «      «     категории В. </w:t>
      </w:r>
    </w:p>
    <w:p>
      <w:pPr>
        <w:pStyle w:val="Normal"/>
        <w:jc w:val="both"/>
        <w:rPr>
          <w:rFonts w:ascii="Courier New" w:hAnsi="Courier New" w:eastAsia="Courier New" w:cs="Courier New"/>
        </w:rPr>
      </w:pPr>
      <w:r>
        <w:rPr>
          <w:rFonts w:eastAsia="Courier New" w:cs="Courier New" w:ascii="Courier New" w:hAnsi="Courier New"/>
        </w:rPr>
        <w:t xml:space="preserve">     </w:t>
      </w:r>
    </w:p>
    <w:p>
      <w:pPr>
        <w:pStyle w:val="Normal"/>
        <w:ind w:firstLine="270"/>
        <w:jc w:val="both"/>
        <w:rPr/>
      </w:pPr>
      <w:r>
        <w:rPr>
          <w:vanish/>
        </w:rPr>
        <w:t>#G0</w:t>
      </w:r>
      <w:r>
        <w:rPr/>
        <w:t>2. На период восстановления пожарного объема воды допускается снижение подачи воды на хозяйственно-питьевые нужды системами водоснабжения I и II категорий до 70 %, III категории до 50 % расчетного расхода и подачи воды на производственные нужды по аварийному графику.</w:t>
      </w:r>
    </w:p>
    <w:p>
      <w:pPr>
        <w:pStyle w:val="Normal"/>
        <w:ind w:firstLine="270"/>
        <w:jc w:val="both"/>
        <w:rPr/>
      </w:pPr>
      <w:r>
        <w:rPr/>
      </w:r>
    </w:p>
    <w:p>
      <w:pPr>
        <w:pStyle w:val="Normal"/>
        <w:ind w:firstLine="225"/>
        <w:jc w:val="both"/>
        <w:rPr/>
      </w:pPr>
      <w:r>
        <w:rPr/>
      </w:r>
    </w:p>
    <w:p>
      <w:pPr>
        <w:pStyle w:val="Heading"/>
        <w:jc w:val="center"/>
        <w:rPr/>
      </w:pPr>
      <w:r>
        <w:rPr/>
        <w:t>СВОБОДНЫЕ НАПОРЫ</w:t>
      </w:r>
    </w:p>
    <w:p>
      <w:pPr>
        <w:pStyle w:val="Heading"/>
        <w:jc w:val="center"/>
        <w:rPr/>
      </w:pPr>
      <w:r>
        <w:rPr/>
      </w:r>
    </w:p>
    <w:p>
      <w:pPr>
        <w:pStyle w:val="Normal"/>
        <w:ind w:firstLine="270"/>
        <w:jc w:val="both"/>
        <w:rPr/>
      </w:pPr>
      <w:r>
        <w:rPr/>
      </w:r>
    </w:p>
    <w:p>
      <w:pPr>
        <w:pStyle w:val="Normal"/>
        <w:ind w:firstLine="270"/>
        <w:jc w:val="both"/>
        <w:rPr/>
      </w:pPr>
      <w:r>
        <w:rPr/>
        <w:t>2.26. Минимальный свободный напор в сети водопровода населенного пункта при максимальном хозяйственно-питьевом водопотреблении на вводе в здание над поверхностью земли должен приниматься при одноэтажной застройке не менее 10 м, при большей этажности на каждый этаж следует добавлять 4 м.</w:t>
      </w:r>
    </w:p>
    <w:p>
      <w:pPr>
        <w:pStyle w:val="Normal"/>
        <w:ind w:firstLine="270"/>
        <w:jc w:val="both"/>
        <w:rPr/>
      </w:pPr>
      <w:r>
        <w:rPr/>
      </w:r>
    </w:p>
    <w:p>
      <w:pPr>
        <w:pStyle w:val="Normal"/>
        <w:ind w:firstLine="270"/>
        <w:jc w:val="both"/>
        <w:rPr/>
      </w:pPr>
      <w:r>
        <w:rPr/>
        <w:t>Примечания: 1. В часы минимального водопотребления напор на каждый этаж, кроме первого, допускается принимать равным 3 м, при этом должна обеспечиваться подача воды в емкости для хранения.</w:t>
      </w:r>
    </w:p>
    <w:p>
      <w:pPr>
        <w:pStyle w:val="Normal"/>
        <w:ind w:firstLine="270"/>
        <w:jc w:val="both"/>
        <w:rPr/>
      </w:pPr>
      <w:r>
        <w:rPr/>
      </w:r>
    </w:p>
    <w:p>
      <w:pPr>
        <w:pStyle w:val="Normal"/>
        <w:ind w:firstLine="270"/>
        <w:jc w:val="both"/>
        <w:rPr/>
      </w:pPr>
      <w:r>
        <w:rPr/>
        <w:t>2. Для отдельных многоэтажных зданий или группы их, расположенных в районах с меньшей этажностью застройки или на повышенных местах, допускается предусматривать местные насосные установки для повышения напора.</w:t>
      </w:r>
    </w:p>
    <w:p>
      <w:pPr>
        <w:pStyle w:val="Normal"/>
        <w:ind w:firstLine="225"/>
        <w:jc w:val="both"/>
        <w:rPr/>
      </w:pPr>
      <w:r>
        <w:rPr/>
      </w:r>
    </w:p>
    <w:p>
      <w:pPr>
        <w:pStyle w:val="Normal"/>
        <w:ind w:firstLine="270"/>
        <w:jc w:val="both"/>
        <w:rPr/>
      </w:pPr>
      <w:r>
        <w:rPr/>
        <w:t>3. Свободный напор в сети у водоразборных колонок должен быть не менее 10 м.</w:t>
      </w:r>
    </w:p>
    <w:p>
      <w:pPr>
        <w:pStyle w:val="Normal"/>
        <w:ind w:firstLine="225"/>
        <w:jc w:val="both"/>
        <w:rPr/>
      </w:pPr>
      <w:r>
        <w:rPr/>
      </w:r>
    </w:p>
    <w:p>
      <w:pPr>
        <w:pStyle w:val="Normal"/>
        <w:ind w:firstLine="270"/>
        <w:jc w:val="both"/>
        <w:rPr/>
      </w:pPr>
      <w:r>
        <w:rPr/>
      </w:r>
    </w:p>
    <w:p>
      <w:pPr>
        <w:pStyle w:val="Normal"/>
        <w:ind w:firstLine="270"/>
        <w:jc w:val="both"/>
        <w:rPr/>
      </w:pPr>
      <w:r>
        <w:rPr/>
        <w:t>2.27. Свободный напор в наружной сети производственного водопровода должен приниматься по технологическим данным.</w:t>
      </w:r>
    </w:p>
    <w:p>
      <w:pPr>
        <w:pStyle w:val="Normal"/>
        <w:ind w:firstLine="270"/>
        <w:jc w:val="both"/>
        <w:rPr/>
      </w:pPr>
      <w:r>
        <w:rPr/>
      </w:r>
    </w:p>
    <w:p>
      <w:pPr>
        <w:pStyle w:val="Normal"/>
        <w:ind w:firstLine="225"/>
        <w:jc w:val="both"/>
        <w:rPr/>
      </w:pPr>
      <w:r>
        <w:rPr/>
        <w:t>2.28. Свободный напор в наружной сети хозяйственно-питьевого водопровода у потребителей не должен превышать 60 м.</w:t>
      </w:r>
    </w:p>
    <w:p>
      <w:pPr>
        <w:pStyle w:val="Normal"/>
        <w:ind w:firstLine="180"/>
        <w:jc w:val="both"/>
        <w:rPr/>
      </w:pPr>
      <w:r>
        <w:rPr/>
      </w:r>
    </w:p>
    <w:p>
      <w:pPr>
        <w:pStyle w:val="Normal"/>
        <w:ind w:firstLine="315"/>
        <w:jc w:val="both"/>
        <w:rPr/>
      </w:pPr>
      <w:r>
        <w:rPr/>
        <w:t>При напорах в сети более 60 м для отдельных зданий или районов следует предусматривать установку регуляторов давления или зонирование системы водоснабжения.</w:t>
      </w:r>
    </w:p>
    <w:p>
      <w:pPr>
        <w:pStyle w:val="Normal"/>
        <w:ind w:firstLine="315"/>
        <w:jc w:val="both"/>
        <w:rPr/>
      </w:pPr>
      <w:r>
        <w:rPr/>
      </w:r>
    </w:p>
    <w:p>
      <w:pPr>
        <w:pStyle w:val="Normal"/>
        <w:ind w:firstLine="225"/>
        <w:jc w:val="both"/>
        <w:rPr/>
      </w:pPr>
      <w:r>
        <w:rPr/>
        <w:t xml:space="preserve">2.29. Противопожарный водопровод следует принимать низкого давления, противопожарный водопровод высокого давления допускается принимать только при соответствующем обосновании. </w:t>
      </w:r>
    </w:p>
    <w:p>
      <w:pPr>
        <w:pStyle w:val="Normal"/>
        <w:ind w:firstLine="225"/>
        <w:jc w:val="both"/>
        <w:rPr/>
      </w:pPr>
      <w:r>
        <w:rPr/>
      </w:r>
    </w:p>
    <w:p>
      <w:pPr>
        <w:pStyle w:val="Normal"/>
        <w:ind w:firstLine="270"/>
        <w:jc w:val="both"/>
        <w:rPr/>
      </w:pPr>
      <w:r>
        <w:rPr/>
        <w:t>В водопроводе высокого давления стационарные пожарные насосы должны быть оборудованы устройствами, обеспечивающими пуск насосов не позднее чем через 5 мин после подачи сигнала о возникновении пожара.</w:t>
      </w:r>
    </w:p>
    <w:p>
      <w:pPr>
        <w:pStyle w:val="Normal"/>
        <w:ind w:firstLine="270"/>
        <w:jc w:val="both"/>
        <w:rPr/>
      </w:pPr>
      <w:r>
        <w:rPr/>
      </w:r>
    </w:p>
    <w:p>
      <w:pPr>
        <w:pStyle w:val="Normal"/>
        <w:ind w:firstLine="270"/>
        <w:jc w:val="both"/>
        <w:rPr/>
      </w:pPr>
      <w:r>
        <w:rPr/>
        <w:t>Примечание. Для населенных пунктов с числом жителей до 5 тыс. чел., в которых не предусматривается профессиональная пожарная охрана, противопожарный водопровод должен приниматься высокого давления.</w:t>
      </w:r>
    </w:p>
    <w:p>
      <w:pPr>
        <w:pStyle w:val="Normal"/>
        <w:ind w:firstLine="270"/>
        <w:jc w:val="both"/>
        <w:rPr/>
      </w:pPr>
      <w:r>
        <w:rPr/>
      </w:r>
    </w:p>
    <w:p>
      <w:pPr>
        <w:pStyle w:val="Normal"/>
        <w:ind w:firstLine="270"/>
        <w:jc w:val="both"/>
        <w:rPr/>
      </w:pPr>
      <w:r>
        <w:rPr/>
        <w:t>2.30. Свободный напор в сети противопожарного водопровода низкого давления (на уровне поверхности земли) при пожаротушении должен быть не менее 10 м.</w:t>
      </w:r>
    </w:p>
    <w:p>
      <w:pPr>
        <w:pStyle w:val="Normal"/>
        <w:ind w:firstLine="225"/>
        <w:jc w:val="both"/>
        <w:rPr/>
      </w:pPr>
      <w:r>
        <w:rPr/>
      </w:r>
    </w:p>
    <w:p>
      <w:pPr>
        <w:pStyle w:val="Normal"/>
        <w:ind w:firstLine="270"/>
        <w:jc w:val="both"/>
        <w:rPr/>
      </w:pPr>
      <w:r>
        <w:rPr/>
        <w:t>Свободный напор в сети противопожарного водопровода высокого давления должен обеспечивать высоту компактной струи не менее 10 м при полном расходе воды на пожаротушение и расположении пожарного ствола на уровне наивысшей точки самого высокого здания.</w:t>
      </w:r>
    </w:p>
    <w:p>
      <w:pPr>
        <w:pStyle w:val="Normal"/>
        <w:ind w:firstLine="270"/>
        <w:jc w:val="both"/>
        <w:rPr/>
      </w:pPr>
      <w:r>
        <w:rPr/>
      </w:r>
    </w:p>
    <w:p>
      <w:pPr>
        <w:pStyle w:val="Normal"/>
        <w:ind w:firstLine="225"/>
        <w:jc w:val="both"/>
        <w:rPr/>
      </w:pPr>
      <w:r>
        <w:rPr/>
        <w:t>Максимальный свободный напор в сети объединенного водопровода не должен превышать 60 м.</w:t>
      </w:r>
    </w:p>
    <w:p>
      <w:pPr>
        <w:pStyle w:val="Normal"/>
        <w:ind w:firstLine="270"/>
        <w:jc w:val="both"/>
        <w:rPr/>
      </w:pPr>
      <w:r>
        <w:rPr/>
      </w:r>
    </w:p>
    <w:p>
      <w:pPr>
        <w:pStyle w:val="Normal"/>
        <w:ind w:firstLine="225"/>
        <w:jc w:val="both"/>
        <w:rPr/>
      </w:pPr>
      <w:r>
        <w:rPr/>
      </w:r>
    </w:p>
    <w:p>
      <w:pPr>
        <w:pStyle w:val="Heading"/>
        <w:jc w:val="center"/>
        <w:rPr/>
      </w:pPr>
      <w:r>
        <w:rPr/>
        <w:t xml:space="preserve">3. ИСТОЧНИКИ ВОДОСНАБЖЕНИЯ </w:t>
      </w:r>
    </w:p>
    <w:p>
      <w:pPr>
        <w:pStyle w:val="Normal"/>
        <w:ind w:firstLine="270"/>
        <w:jc w:val="both"/>
        <w:rPr/>
      </w:pPr>
      <w:r>
        <w:rPr/>
      </w:r>
    </w:p>
    <w:p>
      <w:pPr>
        <w:pStyle w:val="Normal"/>
        <w:ind w:firstLine="270"/>
        <w:jc w:val="both"/>
        <w:rPr/>
      </w:pPr>
      <w:r>
        <w:rPr/>
      </w:r>
    </w:p>
    <w:p>
      <w:pPr>
        <w:pStyle w:val="Normal"/>
        <w:ind w:firstLine="270"/>
        <w:jc w:val="both"/>
        <w:rPr/>
      </w:pPr>
      <w:r>
        <w:rPr/>
        <w:t>3.1.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pPr>
        <w:pStyle w:val="Normal"/>
        <w:ind w:firstLine="270"/>
        <w:jc w:val="both"/>
        <w:rPr/>
      </w:pPr>
      <w:r>
        <w:rPr/>
      </w:r>
    </w:p>
    <w:p>
      <w:pPr>
        <w:pStyle w:val="Normal"/>
        <w:ind w:firstLine="225"/>
        <w:jc w:val="both"/>
        <w:rPr/>
      </w:pPr>
      <w:r>
        <w:rPr/>
        <w:t>3.2. В качестве источника водоснабжения следует рассматривать водотоки (реки, каналы), водоемы (озера, водохранилища, пруды), моря, подземные воды (водоносные пласты, подрусловые, шахтные и другие воды).</w:t>
      </w:r>
    </w:p>
    <w:p>
      <w:pPr>
        <w:pStyle w:val="Normal"/>
        <w:ind w:firstLine="225"/>
        <w:jc w:val="both"/>
        <w:rPr/>
      </w:pPr>
      <w:r>
        <w:rPr/>
      </w:r>
    </w:p>
    <w:p>
      <w:pPr>
        <w:pStyle w:val="Normal"/>
        <w:ind w:firstLine="270"/>
        <w:jc w:val="both"/>
        <w:rPr/>
      </w:pPr>
      <w:r>
        <w:rPr/>
        <w:t>Для производственного водоснабжения промышленных предприятий надлежит рассматривать возможность использования очищенных сточных вод.</w:t>
      </w:r>
    </w:p>
    <w:p>
      <w:pPr>
        <w:pStyle w:val="Normal"/>
        <w:ind w:firstLine="270"/>
        <w:jc w:val="both"/>
        <w:rPr/>
      </w:pPr>
      <w:r>
        <w:rPr/>
      </w:r>
    </w:p>
    <w:p>
      <w:pPr>
        <w:pStyle w:val="Normal"/>
        <w:ind w:firstLine="225"/>
        <w:jc w:val="both"/>
        <w:rPr/>
      </w:pPr>
      <w:r>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pPr>
        <w:pStyle w:val="Normal"/>
        <w:ind w:firstLine="270"/>
        <w:jc w:val="both"/>
        <w:rPr/>
      </w:pPr>
      <w:r>
        <w:rPr/>
      </w:r>
    </w:p>
    <w:p>
      <w:pPr>
        <w:pStyle w:val="Normal"/>
        <w:ind w:firstLine="270"/>
        <w:jc w:val="both"/>
        <w:rPr/>
      </w:pPr>
      <w:r>
        <w:rPr/>
        <w:t>Примечание.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pPr>
        <w:pStyle w:val="Normal"/>
        <w:ind w:firstLine="270"/>
        <w:jc w:val="both"/>
        <w:rPr/>
      </w:pPr>
      <w:r>
        <w:rPr/>
      </w:r>
    </w:p>
    <w:p>
      <w:pPr>
        <w:pStyle w:val="Normal"/>
        <w:ind w:firstLine="270"/>
        <w:jc w:val="both"/>
        <w:rPr/>
      </w:pPr>
      <w:r>
        <w:rPr/>
        <w:t>3.3. Выбор источника хозяйственно-питьевого водоснабжения должен производиться в соответствии с требованиями ГОСТ 17.1.1.04-80.</w:t>
      </w:r>
    </w:p>
    <w:p>
      <w:pPr>
        <w:pStyle w:val="Normal"/>
        <w:ind w:firstLine="270"/>
        <w:jc w:val="both"/>
        <w:rPr/>
      </w:pPr>
      <w:r>
        <w:rPr/>
      </w:r>
    </w:p>
    <w:p>
      <w:pPr>
        <w:pStyle w:val="Normal"/>
        <w:ind w:firstLine="225"/>
        <w:jc w:val="both"/>
        <w:rPr/>
      </w:pPr>
      <w:r>
        <w:rPr/>
        <w:t>Выбор источника производственного водоснабжения следует производить с учетом требований, предъявляемых потребителями к качеству воды.</w:t>
      </w:r>
    </w:p>
    <w:p>
      <w:pPr>
        <w:pStyle w:val="Normal"/>
        <w:ind w:firstLine="225"/>
        <w:jc w:val="both"/>
        <w:rPr/>
      </w:pPr>
      <w:r>
        <w:rPr/>
      </w:r>
    </w:p>
    <w:p>
      <w:pPr>
        <w:pStyle w:val="Normal"/>
        <w:ind w:firstLine="225"/>
        <w:jc w:val="both"/>
        <w:rPr/>
      </w:pPr>
      <w:r>
        <w:rPr/>
        <w:t>Принятые к использованию источники водоснабжения подлежат согласованию в соответствии с «Инструкцией о порядке согласования и выдачи разрешения на специальное водопользование».</w:t>
      </w:r>
    </w:p>
    <w:p>
      <w:pPr>
        <w:pStyle w:val="Normal"/>
        <w:ind w:firstLine="225"/>
        <w:jc w:val="both"/>
        <w:rPr/>
      </w:pPr>
      <w:r>
        <w:rPr/>
      </w:r>
    </w:p>
    <w:p>
      <w:pPr>
        <w:pStyle w:val="Normal"/>
        <w:ind w:firstLine="225"/>
        <w:jc w:val="both"/>
        <w:rPr/>
      </w:pPr>
      <w:r>
        <w:rPr/>
        <w:t>3.4. Для хозяйственно-питьевых водопроводов должны максимально использоваться имеющиеся ресурсы подземных вод, удовлетворяющих санитарно-гигиеническим требованиям.</w:t>
      </w:r>
    </w:p>
    <w:p>
      <w:pPr>
        <w:pStyle w:val="Normal"/>
        <w:ind w:firstLine="225"/>
        <w:jc w:val="both"/>
        <w:rPr/>
      </w:pPr>
      <w:r>
        <w:rPr/>
      </w:r>
    </w:p>
    <w:p>
      <w:pPr>
        <w:pStyle w:val="Normal"/>
        <w:ind w:firstLine="225"/>
        <w:jc w:val="both"/>
        <w:rPr/>
      </w:pPr>
      <w:r>
        <w:rPr/>
        <w:t>При недостаточных эксплуатационных запасах естественных подземных вод следует рассматривать возможность их увеличения за счет искусственного пополнения.</w:t>
      </w:r>
    </w:p>
    <w:p>
      <w:pPr>
        <w:pStyle w:val="Normal"/>
        <w:ind w:firstLine="225"/>
        <w:jc w:val="both"/>
        <w:rPr/>
      </w:pPr>
      <w:r>
        <w:rPr/>
      </w:r>
    </w:p>
    <w:p>
      <w:pPr>
        <w:pStyle w:val="Normal"/>
        <w:ind w:firstLine="270"/>
        <w:jc w:val="both"/>
        <w:rPr/>
      </w:pPr>
      <w:r>
        <w:rPr/>
        <w:t>3.5. Использование подземных вод питьевого качества для нужд, не связанных с хозяйственно-питьевым водоснабжением, как правило, не допускается. В районах, где отсутствуют необходимые поверхностные водоисточники и имеются достаточные запасы подземных вод питьевого качества, допускается использование этих вод на производственные и поливочные нужды с разрешения органов по регулированию использования и охране вод.</w:t>
      </w:r>
    </w:p>
    <w:p>
      <w:pPr>
        <w:pStyle w:val="Normal"/>
        <w:ind w:firstLine="225"/>
        <w:jc w:val="both"/>
        <w:rPr/>
      </w:pPr>
      <w:r>
        <w:rPr/>
      </w:r>
    </w:p>
    <w:p>
      <w:pPr>
        <w:pStyle w:val="Normal"/>
        <w:ind w:firstLine="270"/>
        <w:jc w:val="both"/>
        <w:rPr/>
      </w:pPr>
      <w:r>
        <w:rPr/>
        <w:t>3.6. Для производственного и хозяйственно-питьевого водоснабжения при соответствующей обработке воды и соблюдении санитарных требований допускается использование минерализованных и геотермальных вод.</w:t>
      </w:r>
    </w:p>
    <w:p>
      <w:pPr>
        <w:pStyle w:val="Normal"/>
        <w:ind w:firstLine="225"/>
        <w:jc w:val="both"/>
        <w:rPr/>
      </w:pPr>
      <w:r>
        <w:rPr/>
      </w:r>
    </w:p>
    <w:p>
      <w:pPr>
        <w:pStyle w:val="Normal"/>
        <w:ind w:firstLine="270"/>
        <w:jc w:val="both"/>
        <w:rPr/>
      </w:pPr>
      <w:r>
        <w:rPr/>
        <w:t xml:space="preserve">3.7. Обеспеченность среднемесячных расходов воды поверхностных источников должна приниматься по табл. 9 в зависимости от категории системы водоснабжения, определяемой согласно п. 4.4. </w:t>
      </w:r>
    </w:p>
    <w:p>
      <w:pPr>
        <w:pStyle w:val="Normal"/>
        <w:ind w:firstLine="270"/>
        <w:jc w:val="both"/>
        <w:rPr/>
      </w:pPr>
      <w:r>
        <w:rPr/>
      </w:r>
    </w:p>
    <w:p>
      <w:pPr>
        <w:pStyle w:val="Normal"/>
        <w:jc w:val="end"/>
        <w:rPr/>
      </w:pPr>
      <w:r>
        <w:rPr/>
        <w:t xml:space="preserve">Таблица 9 </w:t>
      </w:r>
    </w:p>
    <w:p>
      <w:pPr>
        <w:pStyle w:val="Normal"/>
        <w:ind w:firstLine="270"/>
        <w:jc w:val="both"/>
        <w:rPr/>
      </w:pPr>
      <w:r>
        <w:rPr/>
      </w:r>
    </w:p>
    <w:p>
      <w:pPr>
        <w:pStyle w:val="Normal"/>
        <w:ind w:firstLine="270"/>
        <w:jc w:val="both"/>
        <w:rPr/>
      </w:pPr>
      <w:r>
        <w:rPr/>
      </w:r>
    </w:p>
    <w:tbl>
      <w:tblPr>
        <w:tblW w:w="8945"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2520"/>
        <w:gridCol w:w="6425"/>
      </w:tblGrid>
      <w:tr>
        <w:trPr/>
        <w:tc>
          <w:tcPr>
            <w:tcW w:w="2520" w:type="dxa"/>
            <w:tcBorders>
              <w:top w:val="single" w:sz="2" w:space="0" w:color="000000"/>
              <w:start w:val="single" w:sz="2" w:space="0" w:color="000000"/>
            </w:tcBorders>
            <w:shd w:fill="auto" w:val="clear"/>
            <w:tcMar>
              <w:start w:w="42" w:type="dxa"/>
            </w:tcMar>
          </w:tcPr>
          <w:p>
            <w:pPr>
              <w:pStyle w:val="Normal"/>
              <w:jc w:val="center"/>
              <w:rPr/>
            </w:pPr>
            <w:r>
              <w:rPr>
                <w:vanish/>
              </w:rPr>
              <w:t>#G0</w:t>
            </w:r>
            <w:r>
              <w:rPr/>
              <w:t xml:space="preserve">Категория системы водоснабжения </w:t>
            </w:r>
          </w:p>
          <w:p>
            <w:pPr>
              <w:pStyle w:val="Normal"/>
              <w:jc w:val="center"/>
              <w:rPr/>
            </w:pPr>
            <w:r>
              <w:rPr/>
            </w:r>
          </w:p>
        </w:tc>
        <w:tc>
          <w:tcPr>
            <w:tcW w:w="6425" w:type="dxa"/>
            <w:tcBorders>
              <w:top w:val="single" w:sz="2" w:space="0" w:color="000000"/>
              <w:start w:val="single" w:sz="2" w:space="0" w:color="000000"/>
              <w:end w:val="single" w:sz="2" w:space="0" w:color="000000"/>
              <w:insideV w:val="single" w:sz="2" w:space="0" w:color="000000"/>
            </w:tcBorders>
            <w:shd w:fill="auto" w:val="clear"/>
            <w:tcMar>
              <w:start w:w="42" w:type="dxa"/>
            </w:tcMar>
          </w:tcPr>
          <w:p>
            <w:pPr>
              <w:pStyle w:val="Normal"/>
              <w:rPr/>
            </w:pPr>
            <w:r>
              <w:rPr/>
              <w:t>Обеспеченность минимальных среднемесячных расходов воды</w:t>
            </w:r>
          </w:p>
          <w:p>
            <w:pPr>
              <w:pStyle w:val="Normal"/>
              <w:rPr/>
            </w:pPr>
            <w:r>
              <w:rPr/>
              <w:t xml:space="preserve"> </w:t>
            </w:r>
            <w:r>
              <w:rPr/>
              <w:t>поверхностных источников, %</w:t>
            </w:r>
          </w:p>
          <w:p>
            <w:pPr>
              <w:pStyle w:val="Normal"/>
              <w:rPr/>
            </w:pPr>
            <w:r>
              <w:rPr/>
            </w:r>
          </w:p>
        </w:tc>
      </w:tr>
      <w:tr>
        <w:trPr/>
        <w:tc>
          <w:tcPr>
            <w:tcW w:w="2520" w:type="dxa"/>
            <w:tcBorders>
              <w:top w:val="single" w:sz="2" w:space="0" w:color="000000"/>
              <w:start w:val="single" w:sz="2" w:space="0" w:color="000000"/>
            </w:tcBorders>
            <w:shd w:fill="auto" w:val="clear"/>
            <w:tcMar>
              <w:start w:w="42" w:type="dxa"/>
            </w:tcMar>
          </w:tcPr>
          <w:p>
            <w:pPr>
              <w:pStyle w:val="Normal"/>
              <w:rPr/>
            </w:pPr>
            <w:r>
              <w:rPr/>
              <w:t xml:space="preserve">I </w:t>
            </w:r>
          </w:p>
          <w:p>
            <w:pPr>
              <w:pStyle w:val="Normal"/>
              <w:rPr/>
            </w:pPr>
            <w:r>
              <w:rPr/>
            </w:r>
          </w:p>
        </w:tc>
        <w:tc>
          <w:tcPr>
            <w:tcW w:w="6425" w:type="dxa"/>
            <w:tcBorders>
              <w:top w:val="single" w:sz="2" w:space="0" w:color="000000"/>
              <w:start w:val="single" w:sz="2" w:space="0" w:color="000000"/>
              <w:end w:val="single" w:sz="2" w:space="0" w:color="000000"/>
              <w:insideV w:val="single" w:sz="2" w:space="0" w:color="000000"/>
            </w:tcBorders>
            <w:shd w:fill="auto" w:val="clear"/>
            <w:tcMar>
              <w:start w:w="42" w:type="dxa"/>
            </w:tcMar>
          </w:tcPr>
          <w:p>
            <w:pPr>
              <w:pStyle w:val="Normal"/>
              <w:rPr/>
            </w:pPr>
            <w:r>
              <w:rPr/>
              <w:t xml:space="preserve">95 </w:t>
            </w:r>
          </w:p>
          <w:p>
            <w:pPr>
              <w:pStyle w:val="Normal"/>
              <w:rPr/>
            </w:pPr>
            <w:r>
              <w:rPr/>
            </w:r>
          </w:p>
        </w:tc>
      </w:tr>
      <w:tr>
        <w:trPr/>
        <w:tc>
          <w:tcPr>
            <w:tcW w:w="2520" w:type="dxa"/>
            <w:tcBorders>
              <w:start w:val="single" w:sz="2" w:space="0" w:color="000000"/>
            </w:tcBorders>
            <w:shd w:fill="auto" w:val="clear"/>
            <w:tcMar>
              <w:start w:w="42" w:type="dxa"/>
            </w:tcMar>
          </w:tcPr>
          <w:p>
            <w:pPr>
              <w:pStyle w:val="Normal"/>
              <w:rPr/>
            </w:pPr>
            <w:r>
              <w:rPr/>
              <w:t xml:space="preserve"> </w:t>
            </w:r>
            <w:r>
              <w:rPr/>
              <w:t xml:space="preserve">II </w:t>
            </w:r>
          </w:p>
          <w:p>
            <w:pPr>
              <w:pStyle w:val="Normal"/>
              <w:rPr/>
            </w:pPr>
            <w:r>
              <w:rPr/>
            </w:r>
          </w:p>
        </w:tc>
        <w:tc>
          <w:tcPr>
            <w:tcW w:w="6425"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90 </w:t>
            </w:r>
          </w:p>
          <w:p>
            <w:pPr>
              <w:pStyle w:val="Normal"/>
              <w:rPr/>
            </w:pPr>
            <w:r>
              <w:rPr/>
            </w:r>
          </w:p>
        </w:tc>
      </w:tr>
      <w:tr>
        <w:trPr/>
        <w:tc>
          <w:tcPr>
            <w:tcW w:w="252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III </w:t>
            </w:r>
          </w:p>
          <w:p>
            <w:pPr>
              <w:pStyle w:val="Normal"/>
              <w:rPr/>
            </w:pPr>
            <w:r>
              <w:rPr/>
            </w:r>
          </w:p>
        </w:tc>
        <w:tc>
          <w:tcPr>
            <w:tcW w:w="642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85 </w:t>
            </w:r>
          </w:p>
          <w:p>
            <w:pPr>
              <w:pStyle w:val="Normal"/>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 xml:space="preserve">3.8. При оценке использования водных ресурсов для целей водоснабжения надлежит учитывать: </w:t>
      </w:r>
    </w:p>
    <w:p>
      <w:pPr>
        <w:pStyle w:val="Normal"/>
        <w:ind w:firstLine="225"/>
        <w:jc w:val="both"/>
        <w:rPr/>
      </w:pPr>
      <w:r>
        <w:rPr/>
      </w:r>
    </w:p>
    <w:p>
      <w:pPr>
        <w:pStyle w:val="Normal"/>
        <w:ind w:firstLine="225"/>
        <w:jc w:val="both"/>
        <w:rPr/>
      </w:pPr>
      <w:r>
        <w:rPr/>
        <w:t>расходный режим и водохозяйственный баланс по источнику с прогнозом на 15-20 лет:</w:t>
      </w:r>
    </w:p>
    <w:p>
      <w:pPr>
        <w:pStyle w:val="Normal"/>
        <w:ind w:firstLine="180"/>
        <w:jc w:val="both"/>
        <w:rPr/>
      </w:pPr>
      <w:r>
        <w:rPr/>
      </w:r>
    </w:p>
    <w:p>
      <w:pPr>
        <w:pStyle w:val="Normal"/>
        <w:ind w:firstLine="225"/>
        <w:jc w:val="both"/>
        <w:rPr/>
      </w:pPr>
      <w:r>
        <w:rPr/>
        <w:t>требования к качеству воды, предъявляемые потребителями;</w:t>
      </w:r>
    </w:p>
    <w:p>
      <w:pPr>
        <w:pStyle w:val="Normal"/>
        <w:ind w:firstLine="225"/>
        <w:jc w:val="both"/>
        <w:rPr/>
      </w:pPr>
      <w:r>
        <w:rPr/>
      </w:r>
    </w:p>
    <w:p>
      <w:pPr>
        <w:pStyle w:val="Normal"/>
        <w:ind w:firstLine="225"/>
        <w:jc w:val="both"/>
        <w:rPr/>
      </w:pPr>
      <w:r>
        <w:rPr/>
        <w:t>качественную характеристику воды в источнике с указанием агрессивности воды и прогноз возможного изменения ее качества с учетом поступления сточных вод;</w:t>
      </w:r>
    </w:p>
    <w:p>
      <w:pPr>
        <w:pStyle w:val="Normal"/>
        <w:ind w:firstLine="225"/>
        <w:jc w:val="both"/>
        <w:rPr/>
      </w:pPr>
      <w:r>
        <w:rPr/>
      </w:r>
    </w:p>
    <w:p>
      <w:pPr>
        <w:pStyle w:val="Normal"/>
        <w:ind w:firstLine="225"/>
        <w:jc w:val="both"/>
        <w:rPr/>
      </w:pPr>
      <w:r>
        <w:rPr/>
        <w:t>качественные и количественные характеристики наносов и сора, их режим, перемещение донных отложений, устойчивость берегов;</w:t>
      </w:r>
    </w:p>
    <w:p>
      <w:pPr>
        <w:pStyle w:val="Normal"/>
        <w:ind w:firstLine="225"/>
        <w:jc w:val="both"/>
        <w:rPr/>
      </w:pPr>
      <w:r>
        <w:rPr/>
      </w:r>
    </w:p>
    <w:p>
      <w:pPr>
        <w:pStyle w:val="Normal"/>
        <w:ind w:firstLine="225"/>
        <w:jc w:val="both"/>
        <w:rPr/>
      </w:pPr>
      <w:r>
        <w:rPr/>
        <w:t>наличие вечномерзлых грунтов, возможность промерзания и пересыхания источника, наличие снежных лавин и селевых явлений (на горных водотоках), а также других стихийных природных явлений в водосборном бассейне источника;</w:t>
      </w:r>
    </w:p>
    <w:p>
      <w:pPr>
        <w:pStyle w:val="Normal"/>
        <w:ind w:firstLine="225"/>
        <w:jc w:val="both"/>
        <w:rPr/>
      </w:pPr>
      <w:r>
        <w:rPr/>
      </w:r>
    </w:p>
    <w:p>
      <w:pPr>
        <w:pStyle w:val="Normal"/>
        <w:ind w:firstLine="225"/>
        <w:jc w:val="both"/>
        <w:rPr/>
      </w:pPr>
      <w:r>
        <w:rPr/>
        <w:t>осенне-зимний режим источника и характер льдошуговых явлений в нем;</w:t>
      </w:r>
    </w:p>
    <w:p>
      <w:pPr>
        <w:pStyle w:val="Normal"/>
        <w:ind w:firstLine="225"/>
        <w:jc w:val="both"/>
        <w:rPr/>
      </w:pPr>
      <w:r>
        <w:rPr/>
      </w:r>
    </w:p>
    <w:p>
      <w:pPr>
        <w:pStyle w:val="Normal"/>
        <w:ind w:firstLine="225"/>
        <w:jc w:val="both"/>
        <w:rPr/>
      </w:pPr>
      <w:r>
        <w:rPr/>
        <w:t>температуру воды по месяцам года и развитие фитопланктона на различной глубине;</w:t>
      </w:r>
    </w:p>
    <w:p>
      <w:pPr>
        <w:pStyle w:val="Normal"/>
        <w:ind w:firstLine="225"/>
        <w:jc w:val="both"/>
        <w:rPr/>
      </w:pPr>
      <w:r>
        <w:rPr/>
      </w:r>
    </w:p>
    <w:p>
      <w:pPr>
        <w:pStyle w:val="Normal"/>
        <w:ind w:firstLine="270"/>
        <w:jc w:val="both"/>
        <w:rPr/>
      </w:pPr>
      <w:r>
        <w:rPr/>
        <w:t>характерные особенности весеннего вскрытия источника и половодья (для равнинных водотоков), прохождения весенне-летних паводков (для горных водотоков);</w:t>
      </w:r>
    </w:p>
    <w:p>
      <w:pPr>
        <w:pStyle w:val="Normal"/>
        <w:ind w:firstLine="270"/>
        <w:jc w:val="both"/>
        <w:rPr/>
      </w:pPr>
      <w:r>
        <w:rPr/>
      </w:r>
    </w:p>
    <w:p>
      <w:pPr>
        <w:pStyle w:val="Normal"/>
        <w:ind w:firstLine="225"/>
        <w:jc w:val="both"/>
        <w:rPr/>
      </w:pPr>
      <w:r>
        <w:rPr/>
        <w:t>запасы и условия питания подземных вод, а также возможное их нарушение в результате изменения природных условий, устройства водохранилищ или дренажа, искусственной откачки воды и т.п.;</w:t>
      </w:r>
    </w:p>
    <w:p>
      <w:pPr>
        <w:pStyle w:val="Normal"/>
        <w:ind w:firstLine="225"/>
        <w:jc w:val="both"/>
        <w:rPr/>
      </w:pPr>
      <w:r>
        <w:rPr/>
      </w:r>
    </w:p>
    <w:p>
      <w:pPr>
        <w:pStyle w:val="Normal"/>
        <w:ind w:firstLine="270"/>
        <w:jc w:val="both"/>
        <w:rPr/>
      </w:pPr>
      <w:r>
        <w:rPr/>
        <w:t>качество и температуру подземных вод;</w:t>
      </w:r>
    </w:p>
    <w:p>
      <w:pPr>
        <w:pStyle w:val="Normal"/>
        <w:ind w:firstLine="225"/>
        <w:jc w:val="both"/>
        <w:rPr/>
      </w:pPr>
      <w:r>
        <w:rPr/>
      </w:r>
    </w:p>
    <w:p>
      <w:pPr>
        <w:pStyle w:val="Normal"/>
        <w:ind w:firstLine="270"/>
        <w:jc w:val="both"/>
        <w:rPr/>
      </w:pPr>
      <w:r>
        <w:rPr/>
        <w:t>возможность искусственного пополнения и образования запасов подземных вод;</w:t>
      </w:r>
    </w:p>
    <w:p>
      <w:pPr>
        <w:pStyle w:val="Normal"/>
        <w:ind w:firstLine="270"/>
        <w:jc w:val="both"/>
        <w:rPr/>
      </w:pPr>
      <w:r>
        <w:rPr/>
      </w:r>
    </w:p>
    <w:p>
      <w:pPr>
        <w:pStyle w:val="Normal"/>
        <w:ind w:firstLine="270"/>
        <w:jc w:val="both"/>
        <w:rPr/>
      </w:pPr>
      <w:r>
        <w:rPr/>
        <w:t>требования органов по регулированию использования и охране вод, санитарно-эпидемиологической службы, рыбоохраны и др.</w:t>
      </w:r>
    </w:p>
    <w:p>
      <w:pPr>
        <w:pStyle w:val="Normal"/>
        <w:ind w:firstLine="225"/>
        <w:jc w:val="both"/>
        <w:rPr/>
      </w:pPr>
      <w:r>
        <w:rPr/>
      </w:r>
    </w:p>
    <w:p>
      <w:pPr>
        <w:pStyle w:val="Normal"/>
        <w:ind w:firstLine="270"/>
        <w:jc w:val="both"/>
        <w:rPr/>
      </w:pPr>
      <w:r>
        <w:rPr/>
        <w:t>3.9. При оценке достаточности водных ресурсов поверхностных источников водоснабжения необходимо обеспечивать ниже места водоотбора гарантированный расход воды, необходимый в каждом сезоне года для удовлетворения потребностей в воде расположенных ниже по течению населенных пунктов, промышленных предприятий, сельского хозяйства, рыбного хозяйства, судоходства и других видов водопользования, а также для обеспечения санитарных требований по охране источников водоснабжения.</w:t>
      </w:r>
    </w:p>
    <w:p>
      <w:pPr>
        <w:pStyle w:val="Normal"/>
        <w:ind w:firstLine="225"/>
        <w:jc w:val="both"/>
        <w:rPr/>
      </w:pPr>
      <w:r>
        <w:rPr/>
      </w:r>
    </w:p>
    <w:p>
      <w:pPr>
        <w:pStyle w:val="Normal"/>
        <w:ind w:firstLine="270"/>
        <w:jc w:val="both"/>
        <w:rPr/>
      </w:pPr>
      <w:r>
        <w:rPr/>
        <w:t>3.10. В случае недостаточного расхода воды в поверхностном источнике надлежит предусматривать регулирование естественного стока воды в пределах одного гидрологического года (сезонное регулирование) или многолетнего периода (многолетнее регулирование), а также переброску воды из других, более многоводных поверхностных источников.</w:t>
      </w:r>
    </w:p>
    <w:p>
      <w:pPr>
        <w:pStyle w:val="Normal"/>
        <w:ind w:firstLine="270"/>
        <w:jc w:val="both"/>
        <w:rPr/>
      </w:pPr>
      <w:r>
        <w:rPr/>
      </w:r>
    </w:p>
    <w:p>
      <w:pPr>
        <w:pStyle w:val="Normal"/>
        <w:ind w:firstLine="270"/>
        <w:jc w:val="both"/>
        <w:rPr/>
      </w:pPr>
      <w:r>
        <w:rPr/>
        <w:t>Примечание. Степень обеспечения отдельных водопотребителей при недостаточности имеющихся расходов воды в источнике и затруднительности или высокой стоимости их увеличения определяется по согласованию с органами Министерства мелиорации и водного хозяйства республики, а также органами санитарно-эпидемиологической службы.</w:t>
      </w:r>
    </w:p>
    <w:p>
      <w:pPr>
        <w:pStyle w:val="Normal"/>
        <w:ind w:firstLine="270"/>
        <w:jc w:val="both"/>
        <w:rPr/>
      </w:pPr>
      <w:r>
        <w:rPr/>
      </w:r>
    </w:p>
    <w:p>
      <w:pPr>
        <w:pStyle w:val="Normal"/>
        <w:ind w:firstLine="270"/>
        <w:jc w:val="both"/>
        <w:rPr/>
      </w:pPr>
      <w:r>
        <w:rPr/>
        <w:t>3.11. Оценку ресурсов подземных вод надлежит производить на основании материалов гидрогеологических поисков, разведки и исследований в соответствии с «Классификацией эксплуатационных запасов и прогнозных ресурсов подземных вод» и «Инструкцией по применению классификационных запасов подземных вод к месторождениям пресных вод» Государственной комиссии по запасам полезных ископаемых.</w:t>
      </w:r>
    </w:p>
    <w:p>
      <w:pPr>
        <w:pStyle w:val="Normal"/>
        <w:ind w:firstLine="270"/>
        <w:jc w:val="both"/>
        <w:rPr/>
      </w:pPr>
      <w:r>
        <w:rPr/>
      </w:r>
    </w:p>
    <w:p>
      <w:pPr>
        <w:pStyle w:val="Normal"/>
        <w:ind w:firstLine="270"/>
        <w:jc w:val="both"/>
        <w:rPr/>
      </w:pPr>
      <w:r>
        <w:rPr/>
        <w:t>Запасы подземных вод должны быть утверждены Государственной или территориальными комиссиями по запасам полезных ископаемых.</w:t>
      </w:r>
    </w:p>
    <w:p>
      <w:pPr>
        <w:pStyle w:val="Normal"/>
        <w:ind w:firstLine="225"/>
        <w:jc w:val="both"/>
        <w:rPr/>
      </w:pPr>
      <w:r>
        <w:rPr/>
      </w:r>
    </w:p>
    <w:p>
      <w:pPr>
        <w:pStyle w:val="Normal"/>
        <w:ind w:firstLine="270"/>
        <w:jc w:val="both"/>
        <w:rPr/>
      </w:pPr>
      <w:r>
        <w:rPr/>
        <w:t>Утверждение эксплуатационных запасов подземных вод не требуется, если капитальные вложения на устройство водозаборных сооружений не превышают 500 тыс. руб., а по объектам железнодорожного транспорта - 1 млн. руб.</w:t>
      </w:r>
    </w:p>
    <w:p>
      <w:pPr>
        <w:pStyle w:val="Normal"/>
        <w:ind w:firstLine="225"/>
        <w:jc w:val="both"/>
        <w:rPr/>
      </w:pPr>
      <w:r>
        <w:rPr/>
      </w:r>
    </w:p>
    <w:p>
      <w:pPr>
        <w:pStyle w:val="Normal"/>
        <w:ind w:firstLine="270"/>
        <w:jc w:val="both"/>
        <w:rPr/>
      </w:pPr>
      <w:r>
        <w:rPr/>
        <w:t>При этом в стоимости водозаборных сооружений учитываются затраты на водоприемные устройства, насосные станции, сооружения водоподготовки, резервуары, а также водоводы до потребителя.</w:t>
      </w:r>
    </w:p>
    <w:p>
      <w:pPr>
        <w:pStyle w:val="Normal"/>
        <w:ind w:firstLine="270"/>
        <w:jc w:val="both"/>
        <w:rPr/>
      </w:pPr>
      <w:r>
        <w:rPr/>
      </w:r>
    </w:p>
    <w:p>
      <w:pPr>
        <w:pStyle w:val="Heading"/>
        <w:jc w:val="center"/>
        <w:rPr/>
      </w:pPr>
      <w:r>
        <w:rPr/>
      </w:r>
    </w:p>
    <w:p>
      <w:pPr>
        <w:pStyle w:val="Heading"/>
        <w:jc w:val="center"/>
        <w:rPr/>
      </w:pPr>
      <w:r>
        <w:rPr/>
        <w:t>4. СХЕМЫ И СИСТЕМЫ ВОДОСНАБЖЕНИЯ</w:t>
      </w:r>
    </w:p>
    <w:p>
      <w:pPr>
        <w:pStyle w:val="Heading"/>
        <w:jc w:val="center"/>
        <w:rPr/>
      </w:pPr>
      <w:r>
        <w:rPr/>
      </w:r>
    </w:p>
    <w:p>
      <w:pPr>
        <w:pStyle w:val="Normal"/>
        <w:ind w:firstLine="270"/>
        <w:jc w:val="both"/>
        <w:rPr/>
      </w:pPr>
      <w:r>
        <w:rPr/>
      </w:r>
    </w:p>
    <w:p>
      <w:pPr>
        <w:pStyle w:val="Normal"/>
        <w:ind w:firstLine="270"/>
        <w:jc w:val="both"/>
        <w:rPr/>
      </w:pPr>
      <w:r>
        <w:rPr/>
        <w:t>4.1. Выбор схемы и системы водоснабжения следует производить на основании сопоставления возможных вариантов ее осуществления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pPr>
        <w:pStyle w:val="Normal"/>
        <w:ind w:firstLine="270"/>
        <w:jc w:val="both"/>
        <w:rPr/>
      </w:pPr>
      <w:r>
        <w:rPr/>
      </w:r>
    </w:p>
    <w:p>
      <w:pPr>
        <w:pStyle w:val="Normal"/>
        <w:ind w:firstLine="270"/>
        <w:jc w:val="both"/>
        <w:rPr/>
      </w:pPr>
      <w:r>
        <w:rPr/>
        <w:t>4.2. Сопоставлением вариантов должны быть обоснованы:</w:t>
      </w:r>
    </w:p>
    <w:p>
      <w:pPr>
        <w:pStyle w:val="Normal"/>
        <w:ind w:firstLine="225"/>
        <w:jc w:val="both"/>
        <w:rPr/>
      </w:pPr>
      <w:r>
        <w:rPr/>
      </w:r>
    </w:p>
    <w:p>
      <w:pPr>
        <w:pStyle w:val="Normal"/>
        <w:ind w:firstLine="270"/>
        <w:jc w:val="both"/>
        <w:rPr/>
      </w:pPr>
      <w:r>
        <w:rPr/>
        <w:t>источники водоснабжения и использование их для тех или иных потребителей;</w:t>
      </w:r>
    </w:p>
    <w:p>
      <w:pPr>
        <w:pStyle w:val="Normal"/>
        <w:ind w:firstLine="270"/>
        <w:jc w:val="both"/>
        <w:rPr/>
      </w:pPr>
      <w:r>
        <w:rPr/>
      </w:r>
    </w:p>
    <w:p>
      <w:pPr>
        <w:pStyle w:val="Normal"/>
        <w:ind w:firstLine="225"/>
        <w:jc w:val="both"/>
        <w:rPr/>
      </w:pPr>
      <w:r>
        <w:rPr/>
        <w:t>степень централизации системы и целесообразность выделения локальных систем водоснабжения;</w:t>
      </w:r>
    </w:p>
    <w:p>
      <w:pPr>
        <w:pStyle w:val="Normal"/>
        <w:ind w:firstLine="225"/>
        <w:jc w:val="both"/>
        <w:rPr/>
      </w:pPr>
      <w:r>
        <w:rPr/>
      </w:r>
    </w:p>
    <w:p>
      <w:pPr>
        <w:pStyle w:val="Normal"/>
        <w:ind w:firstLine="225"/>
        <w:jc w:val="both"/>
        <w:rPr/>
      </w:pPr>
      <w:r>
        <w:rPr/>
        <w:t>объединение или разделение сооружений, водоводов и сетей различного назначения;</w:t>
      </w:r>
    </w:p>
    <w:p>
      <w:pPr>
        <w:pStyle w:val="Normal"/>
        <w:ind w:firstLine="225"/>
        <w:jc w:val="both"/>
        <w:rPr/>
      </w:pPr>
      <w:r>
        <w:rPr/>
      </w:r>
    </w:p>
    <w:p>
      <w:pPr>
        <w:pStyle w:val="Normal"/>
        <w:ind w:firstLine="270"/>
        <w:jc w:val="both"/>
        <w:rPr/>
      </w:pPr>
      <w:r>
        <w:rPr/>
        <w:t>зонирование системы водоснабжения, использование регулирующих емкостей, применение станций регулирования и насосных станций подкачки;</w:t>
      </w:r>
    </w:p>
    <w:p>
      <w:pPr>
        <w:pStyle w:val="Normal"/>
        <w:ind w:firstLine="225"/>
        <w:jc w:val="both"/>
        <w:rPr/>
      </w:pPr>
      <w:r>
        <w:rPr/>
      </w:r>
    </w:p>
    <w:p>
      <w:pPr>
        <w:pStyle w:val="Normal"/>
        <w:ind w:firstLine="270"/>
        <w:jc w:val="both"/>
        <w:rPr/>
      </w:pPr>
      <w:r>
        <w:rPr/>
        <w:t>применение объединенных или локальных систем оборотного водоснабжения;</w:t>
      </w:r>
    </w:p>
    <w:p>
      <w:pPr>
        <w:pStyle w:val="Normal"/>
        <w:ind w:firstLine="225"/>
        <w:jc w:val="both"/>
        <w:rPr/>
      </w:pPr>
      <w:r>
        <w:rPr/>
      </w:r>
    </w:p>
    <w:p>
      <w:pPr>
        <w:pStyle w:val="Normal"/>
        <w:ind w:firstLine="270"/>
        <w:jc w:val="both"/>
        <w:rPr/>
      </w:pPr>
      <w:r>
        <w:rPr/>
        <w:t>использование отработанных вод одних предприятий (цехов, установок, технологических линий) для производственных нужд других предприятий (цехов, установок, технологических линий), а также для поливки территории и зеленых насаждений;</w:t>
      </w:r>
    </w:p>
    <w:p>
      <w:pPr>
        <w:pStyle w:val="Normal"/>
        <w:ind w:firstLine="225"/>
        <w:jc w:val="both"/>
        <w:rPr/>
      </w:pPr>
      <w:r>
        <w:rPr/>
      </w:r>
    </w:p>
    <w:p>
      <w:pPr>
        <w:pStyle w:val="Normal"/>
        <w:ind w:firstLine="270"/>
        <w:jc w:val="both"/>
        <w:rPr/>
      </w:pPr>
      <w:r>
        <w:rPr/>
        <w:t>использование очищенных производственных и бытовых сточных вод, а также аккумулированного поверхностного стока для производственного водоснабжения, орошения и обводнения водоемов;</w:t>
      </w:r>
    </w:p>
    <w:p>
      <w:pPr>
        <w:pStyle w:val="Normal"/>
        <w:ind w:firstLine="225"/>
        <w:jc w:val="both"/>
        <w:rPr/>
      </w:pPr>
      <w:r>
        <w:rPr/>
      </w:r>
    </w:p>
    <w:p>
      <w:pPr>
        <w:pStyle w:val="Normal"/>
        <w:ind w:firstLine="270"/>
        <w:jc w:val="both"/>
        <w:rPr/>
      </w:pPr>
      <w:r>
        <w:rPr/>
        <w:t>целесообразность организации замкнутых циклов или создания замкнутых систем водопользования;</w:t>
      </w:r>
    </w:p>
    <w:p>
      <w:pPr>
        <w:pStyle w:val="Normal"/>
        <w:ind w:firstLine="270"/>
        <w:jc w:val="both"/>
        <w:rPr/>
      </w:pPr>
      <w:r>
        <w:rPr/>
      </w:r>
    </w:p>
    <w:p>
      <w:pPr>
        <w:pStyle w:val="Normal"/>
        <w:ind w:firstLine="225"/>
        <w:jc w:val="both"/>
        <w:rPr/>
      </w:pPr>
      <w:r>
        <w:rPr/>
        <w:t>очередность строительства и ввода в действие элементов системы по пусковым комплексам.</w:t>
      </w:r>
    </w:p>
    <w:p>
      <w:pPr>
        <w:pStyle w:val="Normal"/>
        <w:ind w:firstLine="225"/>
        <w:jc w:val="both"/>
        <w:rPr/>
      </w:pPr>
      <w:r>
        <w:rPr/>
      </w:r>
    </w:p>
    <w:p>
      <w:pPr>
        <w:pStyle w:val="Normal"/>
        <w:ind w:firstLine="270"/>
        <w:jc w:val="both"/>
        <w:rPr/>
      </w:pPr>
      <w:r>
        <w:rPr/>
        <w:t>4.3. Централизованная система водоснабжения населенных пунктов в зависимости от местных условий и принятой схемы водоснабжения должна обеспечивать:</w:t>
      </w:r>
    </w:p>
    <w:p>
      <w:pPr>
        <w:pStyle w:val="Normal"/>
        <w:ind w:firstLine="225"/>
        <w:jc w:val="both"/>
        <w:rPr/>
      </w:pPr>
      <w:r>
        <w:rPr/>
      </w:r>
    </w:p>
    <w:p>
      <w:pPr>
        <w:pStyle w:val="Normal"/>
        <w:ind w:firstLine="270"/>
        <w:jc w:val="both"/>
        <w:rPr/>
      </w:pPr>
      <w:r>
        <w:rPr/>
        <w:t>хозяйственно-питьевое водопотребление в жилых и общественных зданиях, нужды коммунально-бытовых предприятий;</w:t>
      </w:r>
    </w:p>
    <w:p>
      <w:pPr>
        <w:pStyle w:val="Normal"/>
        <w:ind w:firstLine="225"/>
        <w:jc w:val="both"/>
        <w:rPr/>
      </w:pPr>
      <w:r>
        <w:rPr/>
      </w:r>
    </w:p>
    <w:p>
      <w:pPr>
        <w:pStyle w:val="Normal"/>
        <w:ind w:firstLine="270"/>
        <w:jc w:val="both"/>
        <w:rPr/>
      </w:pPr>
      <w:r>
        <w:rPr/>
        <w:t>хозяйственно-питьевое водопотребление на предприятиях;</w:t>
      </w:r>
    </w:p>
    <w:p>
      <w:pPr>
        <w:pStyle w:val="Normal"/>
        <w:ind w:firstLine="225"/>
        <w:jc w:val="both"/>
        <w:rPr/>
      </w:pPr>
      <w:r>
        <w:rPr/>
      </w:r>
    </w:p>
    <w:p>
      <w:pPr>
        <w:pStyle w:val="Normal"/>
        <w:ind w:firstLine="270"/>
        <w:jc w:val="both"/>
        <w:rPr/>
      </w:pPr>
      <w:r>
        <w:rPr/>
        <w:t xml:space="preserve">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pPr>
        <w:pStyle w:val="Normal"/>
        <w:ind w:firstLine="225"/>
        <w:jc w:val="both"/>
        <w:rPr/>
      </w:pPr>
      <w:r>
        <w:rPr/>
      </w:r>
    </w:p>
    <w:p>
      <w:pPr>
        <w:pStyle w:val="Normal"/>
        <w:ind w:firstLine="270"/>
        <w:jc w:val="both"/>
        <w:rPr/>
      </w:pPr>
      <w:r>
        <w:rPr/>
        <w:t>тушение пожаров;</w:t>
      </w:r>
    </w:p>
    <w:p>
      <w:pPr>
        <w:pStyle w:val="Normal"/>
        <w:ind w:firstLine="225"/>
        <w:jc w:val="both"/>
        <w:rPr/>
      </w:pPr>
      <w:r>
        <w:rPr/>
      </w:r>
    </w:p>
    <w:p>
      <w:pPr>
        <w:pStyle w:val="Normal"/>
        <w:ind w:firstLine="270"/>
        <w:jc w:val="both"/>
        <w:rPr/>
      </w:pPr>
      <w:r>
        <w:rPr/>
        <w:t>собственные нужды станций водоподготовки, промывку водопроводных и канализационных сетей и т.п.</w:t>
      </w:r>
    </w:p>
    <w:p>
      <w:pPr>
        <w:pStyle w:val="Normal"/>
        <w:ind w:firstLine="270"/>
        <w:jc w:val="both"/>
        <w:rPr/>
      </w:pPr>
      <w:r>
        <w:rPr/>
      </w:r>
    </w:p>
    <w:p>
      <w:pPr>
        <w:pStyle w:val="Normal"/>
        <w:ind w:firstLine="225"/>
        <w:jc w:val="both"/>
        <w:rPr/>
      </w:pPr>
      <w:r>
        <w:rPr/>
        <w:t>При обосновании допускается устройство самостоятельного водопровода для:</w:t>
      </w:r>
    </w:p>
    <w:p>
      <w:pPr>
        <w:pStyle w:val="Normal"/>
        <w:ind w:firstLine="225"/>
        <w:jc w:val="both"/>
        <w:rPr/>
      </w:pPr>
      <w:r>
        <w:rPr/>
      </w:r>
    </w:p>
    <w:p>
      <w:pPr>
        <w:pStyle w:val="Normal"/>
        <w:ind w:firstLine="225"/>
        <w:jc w:val="both"/>
        <w:rPr/>
      </w:pPr>
      <w:r>
        <w:rPr/>
        <w:t>поливки и мойки территорий (улиц, проездов, площадей, зеленых насаждений), работы фонтанов и т.п.;</w:t>
      </w:r>
    </w:p>
    <w:p>
      <w:pPr>
        <w:pStyle w:val="Normal"/>
        <w:ind w:firstLine="225"/>
        <w:jc w:val="both"/>
        <w:rPr/>
      </w:pPr>
      <w:r>
        <w:rPr/>
      </w:r>
    </w:p>
    <w:p>
      <w:pPr>
        <w:pStyle w:val="Normal"/>
        <w:ind w:firstLine="225"/>
        <w:jc w:val="both"/>
        <w:rPr/>
      </w:pPr>
      <w:r>
        <w:rPr/>
        <w:t>поливки посадок в теплицах, парниках и на открытых участках, а также приусадебных участков.</w:t>
      </w:r>
    </w:p>
    <w:p>
      <w:pPr>
        <w:pStyle w:val="Normal"/>
        <w:ind w:firstLine="225"/>
        <w:jc w:val="both"/>
        <w:rPr/>
      </w:pPr>
      <w:r>
        <w:rPr/>
      </w:r>
    </w:p>
    <w:p>
      <w:pPr>
        <w:pStyle w:val="Normal"/>
        <w:ind w:firstLine="225"/>
        <w:jc w:val="both"/>
        <w:rPr/>
      </w:pPr>
      <w:r>
        <w:rPr/>
        <w:t>4.4. Централизованные системы водоснабжения по степени обеспеченности подачи воды подразделяются на три категории:</w:t>
      </w:r>
    </w:p>
    <w:p>
      <w:pPr>
        <w:pStyle w:val="Normal"/>
        <w:ind w:firstLine="225"/>
        <w:jc w:val="both"/>
        <w:rPr/>
      </w:pPr>
      <w:r>
        <w:rPr/>
      </w:r>
    </w:p>
    <w:p>
      <w:pPr>
        <w:pStyle w:val="Normal"/>
        <w:ind w:firstLine="270"/>
        <w:jc w:val="both"/>
        <w:rPr/>
      </w:pPr>
      <w:r>
        <w:rPr/>
        <w:t>I -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pPr>
        <w:pStyle w:val="Normal"/>
        <w:ind w:firstLine="225"/>
        <w:jc w:val="both"/>
        <w:rPr/>
      </w:pPr>
      <w:r>
        <w:rPr/>
      </w:r>
    </w:p>
    <w:p>
      <w:pPr>
        <w:pStyle w:val="Normal"/>
        <w:ind w:firstLine="270"/>
        <w:jc w:val="both"/>
        <w:rPr/>
      </w:pPr>
      <w:r>
        <w:rPr/>
        <w:t xml:space="preserve">II - величина допускаемого снижения подачи воды та же, что при I категории; длительность снижения подачи не должна превышать 10 сут.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 но не более чем на 6 ч; </w:t>
      </w:r>
    </w:p>
    <w:p>
      <w:pPr>
        <w:pStyle w:val="Normal"/>
        <w:ind w:firstLine="225"/>
        <w:jc w:val="both"/>
        <w:rPr/>
      </w:pPr>
      <w:r>
        <w:rPr/>
      </w:r>
    </w:p>
    <w:p>
      <w:pPr>
        <w:pStyle w:val="Normal"/>
        <w:ind w:firstLine="270"/>
        <w:jc w:val="both"/>
        <w:rPr/>
      </w:pPr>
      <w:r>
        <w:rPr/>
        <w:t>III  -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w:t>
      </w:r>
    </w:p>
    <w:p>
      <w:pPr>
        <w:pStyle w:val="Normal"/>
        <w:ind w:firstLine="270"/>
        <w:jc w:val="both"/>
        <w:rPr/>
      </w:pPr>
      <w:r>
        <w:rPr/>
      </w:r>
    </w:p>
    <w:p>
      <w:pPr>
        <w:pStyle w:val="Normal"/>
        <w:ind w:firstLine="225"/>
        <w:jc w:val="both"/>
        <w:rPr/>
      </w:pPr>
      <w:r>
        <w:rPr/>
        <w:t>Объединенные хозяйственно-питьевые и производственные водопроводы населенных пунктов при числе жителей в них более 50 тыс. чел. следует относить к I категории; от 5 до 50 тыс. чел. - ко II категории; менее 5 тыс. чел. - к III категории.</w:t>
      </w:r>
    </w:p>
    <w:p>
      <w:pPr>
        <w:pStyle w:val="Normal"/>
        <w:ind w:firstLine="225"/>
        <w:jc w:val="both"/>
        <w:rPr/>
      </w:pPr>
      <w:r>
        <w:rPr/>
      </w:r>
    </w:p>
    <w:p>
      <w:pPr>
        <w:pStyle w:val="Normal"/>
        <w:ind w:firstLine="270"/>
        <w:jc w:val="both"/>
        <w:rPr/>
      </w:pPr>
      <w:r>
        <w:rPr/>
        <w:t>Категорию сельскохозяйственных групповых водопроводов следует принимать по населенному пункту с наибольшим числом жителей.</w:t>
      </w:r>
    </w:p>
    <w:p>
      <w:pPr>
        <w:pStyle w:val="Normal"/>
        <w:ind w:firstLine="225"/>
        <w:jc w:val="both"/>
        <w:rPr/>
      </w:pPr>
      <w:r>
        <w:rPr/>
      </w:r>
    </w:p>
    <w:p>
      <w:pPr>
        <w:pStyle w:val="Normal"/>
        <w:ind w:firstLine="270"/>
        <w:jc w:val="both"/>
        <w:rPr/>
      </w:pPr>
      <w:r>
        <w:rPr/>
        <w:t>При необходимости повышения обеспеченности подачи воды на производственные нужды промышленных и сельскохозяйственных предприятий (производств, цехов, установок) следует предусматривать локальные системы водоснабжения.</w:t>
      </w:r>
    </w:p>
    <w:p>
      <w:pPr>
        <w:pStyle w:val="Normal"/>
        <w:ind w:firstLine="225"/>
        <w:jc w:val="both"/>
        <w:rPr/>
      </w:pPr>
      <w:r>
        <w:rPr/>
      </w:r>
    </w:p>
    <w:p>
      <w:pPr>
        <w:pStyle w:val="Normal"/>
        <w:ind w:firstLine="270"/>
        <w:jc w:val="both"/>
        <w:rPr/>
      </w:pPr>
      <w:r>
        <w:rPr/>
        <w:t>Проекты локальных систем, обеспечивающих технологические требования объектов, должны рассматриваться и утверждаться совместно с проектами этих объектов.</w:t>
      </w:r>
    </w:p>
    <w:p>
      <w:pPr>
        <w:pStyle w:val="Normal"/>
        <w:ind w:firstLine="270"/>
        <w:jc w:val="both"/>
        <w:rPr/>
      </w:pPr>
      <w:r>
        <w:rPr/>
      </w:r>
    </w:p>
    <w:p>
      <w:pPr>
        <w:pStyle w:val="Normal"/>
        <w:ind w:firstLine="225"/>
        <w:jc w:val="both"/>
        <w:rPr/>
      </w:pPr>
      <w:r>
        <w:rPr/>
        <w:t>Категорию отдельных элементов систем водоснабжения необходимо устанавливать в зависимости от их функционального значения в общей системе водоснабжения.</w:t>
      </w:r>
    </w:p>
    <w:p>
      <w:pPr>
        <w:pStyle w:val="Normal"/>
        <w:ind w:firstLine="225"/>
        <w:jc w:val="both"/>
        <w:rPr/>
      </w:pPr>
      <w:r>
        <w:rPr/>
      </w:r>
    </w:p>
    <w:p>
      <w:pPr>
        <w:pStyle w:val="Normal"/>
        <w:ind w:firstLine="225"/>
        <w:jc w:val="both"/>
        <w:rPr/>
      </w:pPr>
      <w:r>
        <w:rPr/>
        <w:t>Элементы систем водоснабжения II категории, повреждения которых могут нарушить подачу воды на пожаротушение, должны относиться к I категории.</w:t>
      </w:r>
    </w:p>
    <w:p>
      <w:pPr>
        <w:pStyle w:val="Normal"/>
        <w:ind w:firstLine="225"/>
        <w:jc w:val="both"/>
        <w:rPr/>
      </w:pPr>
      <w:r>
        <w:rPr/>
      </w:r>
    </w:p>
    <w:p>
      <w:pPr>
        <w:pStyle w:val="Normal"/>
        <w:ind w:firstLine="270"/>
        <w:jc w:val="both"/>
        <w:rPr/>
      </w:pPr>
      <w:r>
        <w:rPr/>
        <w:t>4.5. При разработке схемы и системы водоснабжения следует давать техническую, экономическую и санитарную оценки существующих сооружений, водоводов и сетей и обосновывать степень их дальнейшего использования с учетом затрат по реконструкции и интенсификации их работы.</w:t>
      </w:r>
    </w:p>
    <w:p>
      <w:pPr>
        <w:pStyle w:val="Normal"/>
        <w:ind w:firstLine="225"/>
        <w:jc w:val="both"/>
        <w:rPr/>
      </w:pPr>
      <w:r>
        <w:rPr/>
      </w:r>
    </w:p>
    <w:p>
      <w:pPr>
        <w:pStyle w:val="Normal"/>
        <w:ind w:firstLine="270"/>
        <w:jc w:val="both"/>
        <w:rPr/>
      </w:pPr>
      <w:r>
        <w:rPr/>
        <w:t>4.6. Системы водоснабжения, обеспечивающие противопожарные нужды, следует проектировать в соответствии с указаниями разд. 2.</w:t>
      </w:r>
    </w:p>
    <w:p>
      <w:pPr>
        <w:pStyle w:val="Normal"/>
        <w:ind w:firstLine="270"/>
        <w:jc w:val="both"/>
        <w:rPr/>
      </w:pPr>
      <w:r>
        <w:rPr/>
      </w:r>
    </w:p>
    <w:p>
      <w:pPr>
        <w:pStyle w:val="Normal"/>
        <w:ind w:firstLine="225"/>
        <w:jc w:val="both"/>
        <w:rPr/>
      </w:pPr>
      <w:r>
        <w:rPr/>
        <w:t>4.7. Системы оборотного водоснабжения надлежит проектировать в соответствии с указаниями разд. 11.</w:t>
      </w:r>
    </w:p>
    <w:p>
      <w:pPr>
        <w:pStyle w:val="Normal"/>
        <w:ind w:firstLine="225"/>
        <w:jc w:val="both"/>
        <w:rPr/>
      </w:pPr>
      <w:r>
        <w:rPr/>
      </w:r>
    </w:p>
    <w:p>
      <w:pPr>
        <w:pStyle w:val="Normal"/>
        <w:ind w:firstLine="270"/>
        <w:jc w:val="both"/>
        <w:rPr/>
      </w:pPr>
      <w:r>
        <w:rPr/>
        <w:t>4.8. При выборе оптимального варианта систем производственного водоснабжения при необходимости следует рассматривать возможность и целесообразность изменений технологических процессов, при которых возрастание издержек основного производства оказывается меньше снижения приведенной стоимости систем водоснабжения и канализации.</w:t>
      </w:r>
    </w:p>
    <w:p>
      <w:pPr>
        <w:pStyle w:val="Normal"/>
        <w:ind w:firstLine="225"/>
        <w:jc w:val="both"/>
        <w:rPr/>
      </w:pPr>
      <w:r>
        <w:rPr/>
      </w:r>
    </w:p>
    <w:p>
      <w:pPr>
        <w:pStyle w:val="Normal"/>
        <w:ind w:firstLine="270"/>
        <w:jc w:val="both"/>
        <w:rPr/>
      </w:pPr>
      <w:r>
        <w:rPr/>
        <w:t>4.9. Водозаборные сооружения, водоводы, станции водоподготовки должны, как правило, рассчитываться на средний часовой расход в сутки максимального водопотребления.</w:t>
      </w:r>
    </w:p>
    <w:p>
      <w:pPr>
        <w:pStyle w:val="Normal"/>
        <w:ind w:firstLine="225"/>
        <w:jc w:val="both"/>
        <w:rPr/>
      </w:pPr>
      <w:r>
        <w:rPr/>
      </w:r>
    </w:p>
    <w:p>
      <w:pPr>
        <w:pStyle w:val="Normal"/>
        <w:ind w:firstLine="270"/>
        <w:jc w:val="both"/>
        <w:rPr/>
      </w:pPr>
      <w:r>
        <w:rPr/>
        <w:t>4.10. Расчеты совместной работы водоводов, водопроводных сетей, насосных станций и регулирующих емкостей надлежит производить в объеме, необходимом для обоснования системы подачи и распределения воды на расчетный срок, установления очередности ее осуществления, подбора насосного оборудования и определения требуемых объемов регулирующих емкостей и их расположения для каждой очереди строительства.</w:t>
      </w:r>
    </w:p>
    <w:p>
      <w:pPr>
        <w:pStyle w:val="Normal"/>
        <w:ind w:firstLine="225"/>
        <w:jc w:val="both"/>
        <w:rPr/>
      </w:pPr>
      <w:r>
        <w:rPr/>
      </w:r>
    </w:p>
    <w:p>
      <w:pPr>
        <w:pStyle w:val="Normal"/>
        <w:ind w:firstLine="270"/>
        <w:jc w:val="both"/>
        <w:rPr/>
      </w:pPr>
      <w:r>
        <w:rPr/>
        <w:t>4.11. Для систем водоснабжения населенных пунктов расчеты совместной работы водоводов, водопроводных сетей, насосных станций и регулирующих емкостей следует, как правило, выполнять для следующих характерных режимов подачи воды:</w:t>
      </w:r>
    </w:p>
    <w:p>
      <w:pPr>
        <w:pStyle w:val="Normal"/>
        <w:ind w:firstLine="225"/>
        <w:jc w:val="both"/>
        <w:rPr/>
      </w:pPr>
      <w:r>
        <w:rPr/>
      </w:r>
    </w:p>
    <w:p>
      <w:pPr>
        <w:pStyle w:val="Normal"/>
        <w:ind w:firstLine="270"/>
        <w:jc w:val="both"/>
        <w:rPr/>
      </w:pPr>
      <w:r>
        <w:rPr/>
        <w:t>в сутки максимального водопотребления - максимального, среднего и минимального часовых расходов, а также максимального часового расхода и расчетного расхода воды на пожаротушение;</w:t>
      </w:r>
    </w:p>
    <w:p>
      <w:pPr>
        <w:pStyle w:val="Normal"/>
        <w:ind w:firstLine="225"/>
        <w:jc w:val="both"/>
        <w:rPr/>
      </w:pPr>
      <w:r>
        <w:rPr/>
      </w:r>
    </w:p>
    <w:p>
      <w:pPr>
        <w:pStyle w:val="Normal"/>
        <w:ind w:firstLine="270"/>
        <w:jc w:val="both"/>
        <w:rPr/>
      </w:pPr>
      <w:r>
        <w:rPr/>
        <w:t>в сутки среднего водопотребления - среднего часового расхода;</w:t>
      </w:r>
    </w:p>
    <w:p>
      <w:pPr>
        <w:pStyle w:val="Normal"/>
        <w:ind w:firstLine="225"/>
        <w:jc w:val="both"/>
        <w:rPr/>
      </w:pPr>
      <w:r>
        <w:rPr/>
      </w:r>
    </w:p>
    <w:p>
      <w:pPr>
        <w:pStyle w:val="Normal"/>
        <w:ind w:firstLine="270"/>
        <w:jc w:val="both"/>
        <w:rPr/>
      </w:pPr>
      <w:r>
        <w:rPr/>
        <w:t>в сутки минимального водопотребления - минимального часового расхода.</w:t>
      </w:r>
    </w:p>
    <w:p>
      <w:pPr>
        <w:pStyle w:val="Normal"/>
        <w:ind w:firstLine="225"/>
        <w:jc w:val="both"/>
        <w:rPr/>
      </w:pPr>
      <w:r>
        <w:rPr/>
      </w:r>
    </w:p>
    <w:p>
      <w:pPr>
        <w:pStyle w:val="Normal"/>
        <w:ind w:firstLine="270"/>
        <w:jc w:val="both"/>
        <w:rPr/>
      </w:pPr>
      <w:r>
        <w:rPr/>
        <w:t>Проведение расчетов для других режимов водопотребления, а также отказ от проведения расчетов для одного или нескольких из указанных режимов допускается при обосновании достаточности проведенных расчетов для выявления условий совместной работы водоводов, насосных станций, регулирующих емкостей и распределительных сетей при всех характерных режимах водопотребления.</w:t>
      </w:r>
    </w:p>
    <w:p>
      <w:pPr>
        <w:pStyle w:val="Normal"/>
        <w:ind w:firstLine="225"/>
        <w:jc w:val="both"/>
        <w:rPr/>
      </w:pPr>
      <w:r>
        <w:rPr/>
      </w:r>
    </w:p>
    <w:p>
      <w:pPr>
        <w:pStyle w:val="Normal"/>
        <w:ind w:firstLine="270"/>
        <w:jc w:val="both"/>
        <w:rPr/>
      </w:pPr>
      <w:r>
        <w:rPr/>
        <w:t>Для систем производственного водоснабжения характерные условия их работы устанавливаются в соответствии с особенностями технологии производства и обеспечения противопожарной безопасности.</w:t>
      </w:r>
    </w:p>
    <w:p>
      <w:pPr>
        <w:pStyle w:val="Normal"/>
        <w:ind w:firstLine="270"/>
        <w:jc w:val="both"/>
        <w:rPr/>
      </w:pPr>
      <w:r>
        <w:rPr/>
      </w:r>
    </w:p>
    <w:p>
      <w:pPr>
        <w:pStyle w:val="Normal"/>
        <w:ind w:firstLine="270"/>
        <w:jc w:val="both"/>
        <w:rPr/>
      </w:pPr>
      <w:r>
        <w:rPr/>
        <w:t>Примечание. При расчете сооружений, водоводов и сетей на период пожаротушения аварийное выключение проводов и линий кольцевых сетей, а также секций и блоков сооружений не учитывается.</w:t>
      </w:r>
    </w:p>
    <w:p>
      <w:pPr>
        <w:pStyle w:val="Normal"/>
        <w:ind w:firstLine="270"/>
        <w:jc w:val="both"/>
        <w:rPr/>
      </w:pPr>
      <w:r>
        <w:rPr/>
      </w:r>
    </w:p>
    <w:p>
      <w:pPr>
        <w:pStyle w:val="Normal"/>
        <w:ind w:firstLine="270"/>
        <w:jc w:val="both"/>
        <w:rPr/>
      </w:pPr>
      <w:r>
        <w:rPr/>
        <w:t>4.12. При разработке схемы водоснабжения должен быть установлен перечень параметров, контроль которых необходим для последующей систематической проверки силами эксплуатационного персонала соответствия проекту фактических расходов воды и коэффициентов неравномерности водопотребления, а также фактических характеристик оборудования, сооружений и устройств. Для осуществления контроля в соответствующих разделах проекта должна быть предусмотрена установка необходимых для этого приборов и аппаратуры.</w:t>
      </w:r>
    </w:p>
    <w:p>
      <w:pPr>
        <w:pStyle w:val="Normal"/>
        <w:ind w:firstLine="270"/>
        <w:jc w:val="both"/>
        <w:rPr/>
      </w:pPr>
      <w:r>
        <w:rPr/>
      </w:r>
    </w:p>
    <w:p>
      <w:pPr>
        <w:pStyle w:val="Normal"/>
        <w:ind w:firstLine="270"/>
        <w:jc w:val="both"/>
        <w:rPr/>
      </w:pPr>
      <w:r>
        <w:rPr/>
        <w:t>4.13. При разработке схем и систем сельскохозяйственного водоснабжения надлежит:</w:t>
      </w:r>
    </w:p>
    <w:p>
      <w:pPr>
        <w:pStyle w:val="Normal"/>
        <w:ind w:firstLine="225"/>
        <w:jc w:val="both"/>
        <w:rPr/>
      </w:pPr>
      <w:r>
        <w:rPr/>
      </w:r>
    </w:p>
    <w:p>
      <w:pPr>
        <w:pStyle w:val="Normal"/>
        <w:ind w:firstLine="270"/>
        <w:jc w:val="both"/>
        <w:rPr/>
      </w:pPr>
      <w:r>
        <w:rPr/>
        <w:t>централизованные системы водоснабжения проектировать лишь для перспективных населенных пунктов и объектов сельскохозяйственного производства;</w:t>
      </w:r>
    </w:p>
    <w:p>
      <w:pPr>
        <w:pStyle w:val="Normal"/>
        <w:ind w:firstLine="225"/>
        <w:jc w:val="both"/>
        <w:rPr/>
      </w:pPr>
      <w:r>
        <w:rPr/>
      </w:r>
    </w:p>
    <w:p>
      <w:pPr>
        <w:pStyle w:val="Normal"/>
        <w:ind w:firstLine="270"/>
        <w:jc w:val="both"/>
        <w:rPr/>
      </w:pPr>
      <w:r>
        <w:rPr/>
        <w:t>для сохраняемых на расчетный период сельских населенных пунктов предусматривать реконструкцию существующих водозаборных сооружений (водозаборных скважин, шахтных колодцев, каптажа родников и т.п.) с оборудованием их механизированными водоподъемниками и устройство внутренних водопроводов в отдельных культурно-бытовых и производственных зданиях;</w:t>
      </w:r>
    </w:p>
    <w:p>
      <w:pPr>
        <w:pStyle w:val="Normal"/>
        <w:ind w:firstLine="225"/>
        <w:jc w:val="both"/>
        <w:rPr/>
      </w:pPr>
      <w:r>
        <w:rPr/>
      </w:r>
    </w:p>
    <w:p>
      <w:pPr>
        <w:pStyle w:val="Normal"/>
        <w:ind w:firstLine="270"/>
        <w:jc w:val="both"/>
        <w:rPr/>
      </w:pPr>
      <w:r>
        <w:rPr/>
        <w:t>при устройстве групповых водопроводов предусматривать меры по сохранению качества воды при ее транспортировании на большие расстояния, особенно в начальный период работы этих систем, когда скорости движения воды в водоводах значительно ниже расчетных;</w:t>
      </w:r>
    </w:p>
    <w:p>
      <w:pPr>
        <w:pStyle w:val="Normal"/>
        <w:ind w:firstLine="225"/>
        <w:jc w:val="both"/>
        <w:rPr/>
      </w:pPr>
      <w:r>
        <w:rPr/>
      </w:r>
    </w:p>
    <w:p>
      <w:pPr>
        <w:pStyle w:val="Normal"/>
        <w:ind w:firstLine="270"/>
        <w:jc w:val="both"/>
        <w:rPr/>
      </w:pPr>
      <w:r>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pPr>
        <w:pStyle w:val="Normal"/>
        <w:ind w:firstLine="225"/>
        <w:jc w:val="both"/>
        <w:rPr/>
      </w:pPr>
      <w:r>
        <w:rPr/>
      </w:r>
    </w:p>
    <w:p>
      <w:pPr>
        <w:pStyle w:val="Normal"/>
        <w:ind w:firstLine="270"/>
        <w:jc w:val="both"/>
        <w:rPr/>
      </w:pPr>
      <w:r>
        <w:rPr/>
        <w:t>при проектировании систем водоснабжения для районов распространения засоленных вод при отсутствии местных источников пресной воды рассматривать целесообразность использования для питьевых нужд опресненной воды и для непитьевых нужд минерализованной воды. При этом для поселков с одноэтажной застройкой внутренние водопроводы рекомендуется проектировать только для подачи минерализованной воды, предусматривая подачу опресненной воды на питьевые нужды через водоразборные колонки.</w:t>
      </w:r>
    </w:p>
    <w:p>
      <w:pPr>
        <w:pStyle w:val="Normal"/>
        <w:ind w:firstLine="270"/>
        <w:jc w:val="both"/>
        <w:rPr/>
      </w:pPr>
      <w:r>
        <w:rPr/>
      </w:r>
    </w:p>
    <w:p>
      <w:pPr>
        <w:pStyle w:val="Normal"/>
        <w:jc w:val="center"/>
        <w:rPr/>
      </w:pPr>
      <w:r>
        <w:rPr/>
      </w:r>
    </w:p>
    <w:p>
      <w:pPr>
        <w:pStyle w:val="Heading"/>
        <w:jc w:val="center"/>
        <w:rPr/>
      </w:pPr>
      <w:r>
        <w:rPr/>
        <w:t>5. ВОДОЗАБОРНЫЕ СООРУЖЕНИЯ</w:t>
      </w:r>
    </w:p>
    <w:p>
      <w:pPr>
        <w:pStyle w:val="Heading"/>
        <w:jc w:val="center"/>
        <w:rPr/>
      </w:pPr>
      <w:r>
        <w:rPr/>
      </w:r>
    </w:p>
    <w:p>
      <w:pPr>
        <w:pStyle w:val="Heading"/>
        <w:jc w:val="center"/>
        <w:rPr/>
      </w:pPr>
      <w:r>
        <w:rPr/>
        <w:t>СООРУЖЕНИЯ ДЛЯ ЗАБОРА ПОДЗЕМНЫХ ВОД</w:t>
      </w:r>
    </w:p>
    <w:p>
      <w:pPr>
        <w:pStyle w:val="Heading"/>
        <w:jc w:val="center"/>
        <w:rPr/>
      </w:pPr>
      <w:r>
        <w:rPr/>
      </w:r>
    </w:p>
    <w:p>
      <w:pPr>
        <w:pStyle w:val="Heading"/>
        <w:jc w:val="center"/>
        <w:rPr/>
      </w:pPr>
      <w:r>
        <w:rPr/>
        <w:t xml:space="preserve">Общие указания </w:t>
      </w:r>
    </w:p>
    <w:p>
      <w:pPr>
        <w:pStyle w:val="Normal"/>
        <w:jc w:val="center"/>
        <w:rPr/>
      </w:pPr>
      <w:r>
        <w:rPr/>
      </w:r>
    </w:p>
    <w:p>
      <w:pPr>
        <w:pStyle w:val="Normal"/>
        <w:ind w:firstLine="270"/>
        <w:jc w:val="both"/>
        <w:rPr/>
      </w:pPr>
      <w:r>
        <w:rPr/>
      </w:r>
    </w:p>
    <w:p>
      <w:pPr>
        <w:pStyle w:val="Normal"/>
        <w:ind w:firstLine="270"/>
        <w:jc w:val="both"/>
        <w:rPr/>
      </w:pPr>
      <w:r>
        <w:rPr/>
        <w:t>5.1. Выбор типа и схемы размещения водозаборных сооружений следует производить исходя из геологических, гидрогеологических и санитарных условий района.</w:t>
      </w:r>
    </w:p>
    <w:p>
      <w:pPr>
        <w:pStyle w:val="Normal"/>
        <w:ind w:firstLine="180"/>
        <w:jc w:val="both"/>
        <w:rPr/>
      </w:pPr>
      <w:r>
        <w:rPr/>
      </w:r>
    </w:p>
    <w:p>
      <w:pPr>
        <w:pStyle w:val="Normal"/>
        <w:ind w:firstLine="315"/>
        <w:jc w:val="both"/>
        <w:rPr/>
      </w:pPr>
      <w:r>
        <w:rPr/>
        <w:t>5.2.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w:t>
      </w:r>
    </w:p>
    <w:p>
      <w:pPr>
        <w:pStyle w:val="Normal"/>
        <w:ind w:firstLine="225"/>
        <w:jc w:val="both"/>
        <w:rPr/>
      </w:pPr>
      <w:r>
        <w:rPr/>
      </w:r>
    </w:p>
    <w:p>
      <w:pPr>
        <w:pStyle w:val="Normal"/>
        <w:ind w:firstLine="270"/>
        <w:jc w:val="both"/>
        <w:rPr/>
      </w:pPr>
      <w:r>
        <w:rPr/>
        <w:t>5.3. В водозаборах подземных вод применяются следующие водоприемные сооружения: водозаборные скважины, шахтные колодцы, горизонтальные водозаборы, комбинированные водозаборы, лучевые водозаборы, каптажи родников.</w:t>
      </w:r>
    </w:p>
    <w:p>
      <w:pPr>
        <w:pStyle w:val="Normal"/>
        <w:ind w:firstLine="225"/>
        <w:jc w:val="both"/>
        <w:rPr/>
      </w:pPr>
      <w:r>
        <w:rPr/>
      </w:r>
    </w:p>
    <w:p>
      <w:pPr>
        <w:pStyle w:val="Normal"/>
        <w:ind w:firstLine="270"/>
        <w:jc w:val="both"/>
        <w:rPr/>
      </w:pPr>
      <w:r>
        <w:rPr/>
      </w:r>
    </w:p>
    <w:p>
      <w:pPr>
        <w:pStyle w:val="Heading"/>
        <w:jc w:val="center"/>
        <w:rPr/>
      </w:pPr>
      <w:r>
        <w:rPr/>
        <w:t>Водозаборные скважины</w:t>
      </w:r>
    </w:p>
    <w:p>
      <w:pPr>
        <w:pStyle w:val="Heading"/>
        <w:jc w:val="center"/>
        <w:rPr/>
      </w:pPr>
      <w:r>
        <w:rPr/>
      </w:r>
    </w:p>
    <w:p>
      <w:pPr>
        <w:pStyle w:val="Normal"/>
        <w:ind w:firstLine="270"/>
        <w:jc w:val="both"/>
        <w:rPr/>
      </w:pPr>
      <w:r>
        <w:rPr/>
      </w:r>
    </w:p>
    <w:p>
      <w:pPr>
        <w:pStyle w:val="Normal"/>
        <w:ind w:firstLine="270"/>
        <w:jc w:val="both"/>
        <w:rPr/>
      </w:pPr>
      <w:r>
        <w:rPr/>
        <w:t>5.4. В проектах скважин должен быть указан способ бурения и определены конструкции скважины, ее глубина, диаметры колонн труб, тип водоприемной части, водоподъемника и оголовка скважины, а также порядок их опробования.</w:t>
      </w:r>
    </w:p>
    <w:p>
      <w:pPr>
        <w:pStyle w:val="Normal"/>
        <w:ind w:firstLine="270"/>
        <w:jc w:val="both"/>
        <w:rPr/>
      </w:pPr>
      <w:r>
        <w:rPr/>
      </w:r>
    </w:p>
    <w:p>
      <w:pPr>
        <w:pStyle w:val="Normal"/>
        <w:ind w:firstLine="270"/>
        <w:jc w:val="both"/>
        <w:rPr/>
      </w:pPr>
      <w:r>
        <w:rPr/>
        <w:t>5.5. Способы бурения скважин приведены в рекомендуемом прил. 1.</w:t>
      </w:r>
    </w:p>
    <w:p>
      <w:pPr>
        <w:pStyle w:val="Normal"/>
        <w:ind w:firstLine="225"/>
        <w:jc w:val="both"/>
        <w:rPr/>
      </w:pPr>
      <w:r>
        <w:rPr/>
      </w:r>
    </w:p>
    <w:p>
      <w:pPr>
        <w:pStyle w:val="Normal"/>
        <w:ind w:firstLine="270"/>
        <w:jc w:val="both"/>
        <w:rPr/>
      </w:pPr>
      <w:r>
        <w:rPr/>
        <w:t>5.6. В конструкции скважины необходимо предусматривать возможность проведения замеров дебита, уровня и отбора проб воды, а также производства ремонтно-восстановительных работ при применении импульсных, реагентных и комбинированных методов регенерации при эксплуатации скважин.</w:t>
      </w:r>
    </w:p>
    <w:p>
      <w:pPr>
        <w:pStyle w:val="Normal"/>
        <w:ind w:firstLine="225"/>
        <w:jc w:val="both"/>
        <w:rPr/>
      </w:pPr>
      <w:r>
        <w:rPr/>
      </w:r>
    </w:p>
    <w:p>
      <w:pPr>
        <w:pStyle w:val="Normal"/>
        <w:ind w:firstLine="270"/>
        <w:jc w:val="both"/>
        <w:rPr/>
      </w:pPr>
      <w:r>
        <w:rPr/>
        <w:t>5.7. Диаметр эксплуатационной колонны труб в скважинах следует принимать при установке насосов: с электродвигателем над скважиной - на 50 мм больше номинального диаметра насоса; с погружным электродвигателем - равным номинальному диаметру насоса.</w:t>
      </w:r>
    </w:p>
    <w:p>
      <w:pPr>
        <w:pStyle w:val="Normal"/>
        <w:ind w:firstLine="225"/>
        <w:jc w:val="both"/>
        <w:rPr/>
      </w:pPr>
      <w:r>
        <w:rPr/>
      </w:r>
    </w:p>
    <w:p>
      <w:pPr>
        <w:pStyle w:val="Normal"/>
        <w:ind w:firstLine="270"/>
        <w:jc w:val="both"/>
        <w:rPr/>
      </w:pPr>
      <w:r>
        <w:rPr/>
        <w:t>5.8. В зависимости от местных условий и оборудования устье скважины следует, как правило, располагать в наземном павильоне или подземной камере.</w:t>
      </w:r>
    </w:p>
    <w:p>
      <w:pPr>
        <w:pStyle w:val="Normal"/>
        <w:ind w:firstLine="270"/>
        <w:jc w:val="both"/>
        <w:rPr/>
      </w:pPr>
      <w:r>
        <w:rPr/>
      </w:r>
    </w:p>
    <w:p>
      <w:pPr>
        <w:pStyle w:val="Normal"/>
        <w:ind w:firstLine="225"/>
        <w:jc w:val="both"/>
        <w:rPr/>
      </w:pPr>
      <w:r>
        <w:rPr/>
        <w:t>5.9. Габариты павильона и подземной камеры в плане следует принимать из условия размещения в нем электродвигателя, электрооборудования и контрольно-измерительных приборов (КИП).</w:t>
      </w:r>
    </w:p>
    <w:p>
      <w:pPr>
        <w:pStyle w:val="Normal"/>
        <w:ind w:firstLine="225"/>
        <w:jc w:val="both"/>
        <w:rPr/>
      </w:pPr>
      <w:r>
        <w:rPr/>
      </w:r>
    </w:p>
    <w:p>
      <w:pPr>
        <w:pStyle w:val="Normal"/>
        <w:ind w:firstLine="225"/>
        <w:jc w:val="both"/>
        <w:rPr/>
      </w:pPr>
      <w:r>
        <w:rPr/>
        <w:t>Высоту наземного павильона и подземной камеры надлежит принимать в зависимости от габаритов оборудования, но не менее 2,4 м.</w:t>
      </w:r>
    </w:p>
    <w:p>
      <w:pPr>
        <w:pStyle w:val="Normal"/>
        <w:ind w:firstLine="225"/>
        <w:jc w:val="both"/>
        <w:rPr/>
      </w:pPr>
      <w:r>
        <w:rPr/>
      </w:r>
    </w:p>
    <w:p>
      <w:pPr>
        <w:pStyle w:val="Normal"/>
        <w:ind w:firstLine="270"/>
        <w:jc w:val="both"/>
        <w:rPr/>
      </w:pPr>
      <w:r>
        <w:rPr/>
        <w:t>5.10. Верхняя часть эксплуатационной колонны труб должна выступать над полом не менее чем на 0,5 м.</w:t>
      </w:r>
    </w:p>
    <w:p>
      <w:pPr>
        <w:pStyle w:val="Normal"/>
        <w:ind w:firstLine="225"/>
        <w:jc w:val="both"/>
        <w:rPr/>
      </w:pPr>
      <w:r>
        <w:rPr/>
      </w:r>
    </w:p>
    <w:p>
      <w:pPr>
        <w:pStyle w:val="Normal"/>
        <w:ind w:firstLine="270"/>
        <w:jc w:val="both"/>
        <w:rPr/>
      </w:pPr>
      <w:r>
        <w:rPr/>
        <w:t>5.11. Конструкция оголовка скважины должна обеспечивать полную герметизацию, исключающую проникание в межтрубное и затрубное пространства скважины поверхностной воды и загрязнений.</w:t>
      </w:r>
    </w:p>
    <w:p>
      <w:pPr>
        <w:pStyle w:val="Normal"/>
        <w:ind w:firstLine="270"/>
        <w:jc w:val="both"/>
        <w:rPr/>
      </w:pPr>
      <w:r>
        <w:rPr/>
      </w:r>
    </w:p>
    <w:p>
      <w:pPr>
        <w:pStyle w:val="Normal"/>
        <w:ind w:firstLine="225"/>
        <w:jc w:val="both"/>
        <w:rPr/>
      </w:pPr>
      <w:r>
        <w:rPr/>
        <w:t>5.12. Монтаж и демонтаж секций скважинных насосов следует предусматривать через люки, располагаемые над устьем скважины, с применением средств механизации.</w:t>
      </w:r>
    </w:p>
    <w:p>
      <w:pPr>
        <w:pStyle w:val="Normal"/>
        <w:ind w:firstLine="225"/>
        <w:jc w:val="both"/>
        <w:rPr/>
      </w:pPr>
      <w:r>
        <w:rPr/>
      </w:r>
    </w:p>
    <w:p>
      <w:pPr>
        <w:pStyle w:val="Normal"/>
        <w:ind w:firstLine="225"/>
        <w:jc w:val="both"/>
        <w:rPr/>
      </w:pPr>
      <w:r>
        <w:rPr/>
        <w:t>5.13. Количество резервных скважин следует принимать по табл. 10.</w:t>
      </w:r>
    </w:p>
    <w:p>
      <w:pPr>
        <w:pStyle w:val="Normal"/>
        <w:ind w:firstLine="225"/>
        <w:jc w:val="both"/>
        <w:rPr/>
      </w:pPr>
      <w:r>
        <w:rPr/>
      </w:r>
    </w:p>
    <w:p>
      <w:pPr>
        <w:pStyle w:val="Normal"/>
        <w:jc w:val="end"/>
        <w:rPr/>
      </w:pPr>
      <w:r>
        <w:rPr/>
        <w:t xml:space="preserve">Таблица 10 </w:t>
      </w:r>
    </w:p>
    <w:p>
      <w:pPr>
        <w:pStyle w:val="Normal"/>
        <w:ind w:firstLine="270"/>
        <w:jc w:val="both"/>
        <w:rPr/>
      </w:pPr>
      <w:r>
        <w:rPr/>
      </w:r>
    </w:p>
    <w:p>
      <w:pPr>
        <w:pStyle w:val="Normal"/>
        <w:ind w:firstLine="270"/>
        <w:jc w:val="both"/>
        <w:rPr/>
      </w:pPr>
      <w:r>
        <w:rPr/>
      </w:r>
    </w:p>
    <w:tbl>
      <w:tblPr>
        <w:tblW w:w="6350"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1950"/>
        <w:gridCol w:w="1500"/>
        <w:gridCol w:w="1500"/>
        <w:gridCol w:w="1400"/>
      </w:tblGrid>
      <w:tr>
        <w:trPr/>
        <w:tc>
          <w:tcPr>
            <w:tcW w:w="1950" w:type="dxa"/>
            <w:tcBorders>
              <w:top w:val="single" w:sz="2" w:space="0" w:color="000000"/>
              <w:start w:val="single" w:sz="2" w:space="0" w:color="000000"/>
            </w:tcBorders>
            <w:shd w:fill="auto" w:val="clear"/>
            <w:tcMar>
              <w:start w:w="102" w:type="dxa"/>
            </w:tcMar>
          </w:tcPr>
          <w:p>
            <w:pPr>
              <w:pStyle w:val="Normal"/>
              <w:jc w:val="center"/>
              <w:rPr/>
            </w:pPr>
            <w:r>
              <w:rPr>
                <w:vanish/>
              </w:rPr>
              <w:t>#G0</w:t>
            </w:r>
            <w:r>
              <w:rPr/>
              <w:t>Количество</w:t>
            </w:r>
          </w:p>
          <w:p>
            <w:pPr>
              <w:pStyle w:val="Normal"/>
              <w:jc w:val="center"/>
              <w:rPr/>
            </w:pPr>
            <w:r>
              <w:rPr/>
              <w:t xml:space="preserve">рабочих скважин </w:t>
            </w:r>
          </w:p>
          <w:p>
            <w:pPr>
              <w:pStyle w:val="Normal"/>
              <w:jc w:val="center"/>
              <w:rPr/>
            </w:pPr>
            <w:r>
              <w:rPr/>
            </w:r>
          </w:p>
        </w:tc>
        <w:tc>
          <w:tcPr>
            <w:tcW w:w="4400" w:type="dxa"/>
            <w:gridSpan w:val="3"/>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Количество резервных скважин</w:t>
            </w:r>
          </w:p>
          <w:p>
            <w:pPr>
              <w:pStyle w:val="Normal"/>
              <w:rPr/>
            </w:pPr>
            <w:r>
              <w:rPr/>
              <w:t xml:space="preserve">на водозаборе при категории </w:t>
            </w:r>
          </w:p>
          <w:p>
            <w:pPr>
              <w:pStyle w:val="Normal"/>
              <w:rPr/>
            </w:pPr>
            <w:r>
              <w:rPr/>
            </w:r>
          </w:p>
        </w:tc>
      </w:tr>
      <w:tr>
        <w:trPr/>
        <w:tc>
          <w:tcPr>
            <w:tcW w:w="195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150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I </w:t>
            </w:r>
          </w:p>
          <w:p>
            <w:pPr>
              <w:pStyle w:val="Normal"/>
              <w:jc w:val="center"/>
              <w:rPr/>
            </w:pPr>
            <w:r>
              <w:rPr/>
            </w:r>
          </w:p>
        </w:tc>
        <w:tc>
          <w:tcPr>
            <w:tcW w:w="15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II </w:t>
            </w:r>
          </w:p>
          <w:p>
            <w:pPr>
              <w:pStyle w:val="Normal"/>
              <w:rPr/>
            </w:pPr>
            <w:r>
              <w:rPr/>
            </w:r>
          </w:p>
        </w:tc>
        <w:tc>
          <w:tcPr>
            <w:tcW w:w="140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III </w:t>
            </w:r>
          </w:p>
          <w:p>
            <w:pPr>
              <w:pStyle w:val="Normal"/>
              <w:rPr/>
            </w:pPr>
            <w:r>
              <w:rPr/>
            </w:r>
          </w:p>
        </w:tc>
      </w:tr>
      <w:tr>
        <w:trPr/>
        <w:tc>
          <w:tcPr>
            <w:tcW w:w="1950" w:type="dxa"/>
            <w:tcBorders>
              <w:start w:val="single" w:sz="2" w:space="0" w:color="000000"/>
            </w:tcBorders>
            <w:shd w:fill="auto" w:val="clear"/>
            <w:tcMar>
              <w:start w:w="102" w:type="dxa"/>
            </w:tcMar>
          </w:tcPr>
          <w:p>
            <w:pPr>
              <w:pStyle w:val="Normal"/>
              <w:rPr/>
            </w:pPr>
            <w:r>
              <w:rPr/>
              <w:t xml:space="preserve">От  1  до   4 </w:t>
            </w:r>
          </w:p>
          <w:p>
            <w:pPr>
              <w:pStyle w:val="Normal"/>
              <w:rPr/>
            </w:pPr>
            <w:r>
              <w:rPr/>
            </w:r>
          </w:p>
        </w:tc>
        <w:tc>
          <w:tcPr>
            <w:tcW w:w="1500" w:type="dxa"/>
            <w:tcBorders>
              <w:start w:val="single" w:sz="2" w:space="0" w:color="000000"/>
            </w:tcBorders>
            <w:shd w:fill="auto" w:val="clear"/>
            <w:tcMar>
              <w:start w:w="102" w:type="dxa"/>
            </w:tcMar>
          </w:tcPr>
          <w:p>
            <w:pPr>
              <w:pStyle w:val="Normal"/>
              <w:rPr/>
            </w:pPr>
            <w:r>
              <w:rPr/>
              <w:t xml:space="preserve">1 </w:t>
            </w:r>
          </w:p>
          <w:p>
            <w:pPr>
              <w:pStyle w:val="Normal"/>
              <w:rPr/>
            </w:pPr>
            <w:r>
              <w:rPr/>
            </w:r>
          </w:p>
        </w:tc>
        <w:tc>
          <w:tcPr>
            <w:tcW w:w="1500" w:type="dxa"/>
            <w:tcBorders>
              <w:start w:val="single" w:sz="2" w:space="0" w:color="000000"/>
            </w:tcBorders>
            <w:shd w:fill="auto" w:val="clear"/>
            <w:tcMar>
              <w:start w:w="102" w:type="dxa"/>
            </w:tcMar>
          </w:tcPr>
          <w:p>
            <w:pPr>
              <w:pStyle w:val="Normal"/>
              <w:rPr/>
            </w:pPr>
            <w:r>
              <w:rPr/>
              <w:t xml:space="preserve">1 </w:t>
            </w:r>
          </w:p>
          <w:p>
            <w:pPr>
              <w:pStyle w:val="Normal"/>
              <w:rPr/>
            </w:pPr>
            <w:r>
              <w:rPr/>
            </w:r>
          </w:p>
        </w:tc>
        <w:tc>
          <w:tcPr>
            <w:tcW w:w="140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1 </w:t>
            </w:r>
          </w:p>
          <w:p>
            <w:pPr>
              <w:pStyle w:val="Normal"/>
              <w:rPr/>
            </w:pPr>
            <w:r>
              <w:rPr/>
            </w:r>
          </w:p>
        </w:tc>
      </w:tr>
      <w:tr>
        <w:trPr/>
        <w:tc>
          <w:tcPr>
            <w:tcW w:w="1950" w:type="dxa"/>
            <w:tcBorders>
              <w:start w:val="single" w:sz="2" w:space="0" w:color="000000"/>
            </w:tcBorders>
            <w:shd w:fill="auto" w:val="clear"/>
            <w:tcMar>
              <w:start w:w="102" w:type="dxa"/>
            </w:tcMar>
          </w:tcPr>
          <w:p>
            <w:pPr>
              <w:pStyle w:val="Normal"/>
              <w:ind w:firstLine="495"/>
              <w:jc w:val="both"/>
              <w:rPr/>
            </w:pPr>
            <w:r>
              <w:rPr/>
              <w:t xml:space="preserve">«   5 « 12 </w:t>
            </w:r>
          </w:p>
          <w:p>
            <w:pPr>
              <w:pStyle w:val="Normal"/>
              <w:ind w:firstLine="495"/>
              <w:jc w:val="both"/>
              <w:rPr/>
            </w:pPr>
            <w:r>
              <w:rPr/>
            </w:r>
          </w:p>
        </w:tc>
        <w:tc>
          <w:tcPr>
            <w:tcW w:w="1500" w:type="dxa"/>
            <w:tcBorders>
              <w:start w:val="single" w:sz="2" w:space="0" w:color="000000"/>
            </w:tcBorders>
            <w:shd w:fill="auto" w:val="clear"/>
            <w:tcMar>
              <w:start w:w="102" w:type="dxa"/>
            </w:tcMar>
          </w:tcPr>
          <w:p>
            <w:pPr>
              <w:pStyle w:val="Normal"/>
              <w:jc w:val="center"/>
              <w:rPr/>
            </w:pPr>
            <w:r>
              <w:rPr/>
              <w:t xml:space="preserve">2 </w:t>
            </w:r>
          </w:p>
          <w:p>
            <w:pPr>
              <w:pStyle w:val="Normal"/>
              <w:jc w:val="center"/>
              <w:rPr/>
            </w:pPr>
            <w:r>
              <w:rPr/>
            </w:r>
          </w:p>
        </w:tc>
        <w:tc>
          <w:tcPr>
            <w:tcW w:w="1500" w:type="dxa"/>
            <w:tcBorders>
              <w:start w:val="single" w:sz="2" w:space="0" w:color="000000"/>
            </w:tcBorders>
            <w:shd w:fill="auto" w:val="clear"/>
            <w:tcMar>
              <w:start w:w="102" w:type="dxa"/>
            </w:tcMar>
          </w:tcPr>
          <w:p>
            <w:pPr>
              <w:pStyle w:val="Normal"/>
              <w:rPr/>
            </w:pPr>
            <w:r>
              <w:rPr/>
              <w:t xml:space="preserve">1 </w:t>
            </w:r>
          </w:p>
          <w:p>
            <w:pPr>
              <w:pStyle w:val="Normal"/>
              <w:rPr/>
            </w:pPr>
            <w:r>
              <w:rPr/>
            </w:r>
          </w:p>
        </w:tc>
        <w:tc>
          <w:tcPr>
            <w:tcW w:w="140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            </w:t>
            </w:r>
            <w:r>
              <w:rPr/>
              <w:t>-</w:t>
            </w:r>
          </w:p>
          <w:p>
            <w:pPr>
              <w:pStyle w:val="Normal"/>
              <w:rPr/>
            </w:pPr>
            <w:r>
              <w:rPr/>
            </w:r>
          </w:p>
        </w:tc>
      </w:tr>
      <w:tr>
        <w:trPr/>
        <w:tc>
          <w:tcPr>
            <w:tcW w:w="195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 </w:t>
            </w:r>
            <w:r>
              <w:rPr/>
              <w:t xml:space="preserve">13 и более </w:t>
            </w:r>
          </w:p>
          <w:p>
            <w:pPr>
              <w:pStyle w:val="Normal"/>
              <w:jc w:val="center"/>
              <w:rPr/>
            </w:pPr>
            <w:r>
              <w:rPr/>
            </w:r>
          </w:p>
        </w:tc>
        <w:tc>
          <w:tcPr>
            <w:tcW w:w="15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20%</w:t>
            </w:r>
          </w:p>
          <w:p>
            <w:pPr>
              <w:pStyle w:val="Normal"/>
              <w:rPr/>
            </w:pPr>
            <w:r>
              <w:rPr/>
            </w:r>
          </w:p>
        </w:tc>
        <w:tc>
          <w:tcPr>
            <w:tcW w:w="15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10%</w:t>
            </w:r>
          </w:p>
          <w:p>
            <w:pPr>
              <w:pStyle w:val="Normal"/>
              <w:rPr/>
            </w:pPr>
            <w:r>
              <w:rPr/>
            </w:r>
          </w:p>
        </w:tc>
        <w:tc>
          <w:tcPr>
            <w:tcW w:w="140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            </w:t>
            </w:r>
            <w:r>
              <w:rPr/>
              <w:t>-</w:t>
            </w:r>
          </w:p>
          <w:p>
            <w:pPr>
              <w:pStyle w:val="Normal"/>
              <w:rPr/>
            </w:pPr>
            <w:r>
              <w:rPr/>
            </w:r>
          </w:p>
        </w:tc>
      </w:tr>
    </w:tbl>
    <w:p>
      <w:pPr>
        <w:pStyle w:val="Normal"/>
        <w:jc w:val="both"/>
        <w:rPr/>
      </w:pPr>
      <w:r>
        <w:rPr/>
      </w:r>
    </w:p>
    <w:p>
      <w:pPr>
        <w:pStyle w:val="Normal"/>
        <w:ind w:firstLine="270"/>
        <w:jc w:val="both"/>
        <w:rPr/>
      </w:pPr>
      <w:r>
        <w:rPr/>
        <w:t>Примечания: 1. В зависимости от гидрогеологических условий и при соответствующем обосновании количество резервных скважин может быть увеличено.</w:t>
      </w:r>
    </w:p>
    <w:p>
      <w:pPr>
        <w:pStyle w:val="Normal"/>
        <w:ind w:firstLine="270"/>
        <w:jc w:val="both"/>
        <w:rPr/>
      </w:pPr>
      <w:r>
        <w:rPr/>
      </w:r>
    </w:p>
    <w:p>
      <w:pPr>
        <w:pStyle w:val="Normal"/>
        <w:ind w:firstLine="225"/>
        <w:jc w:val="both"/>
        <w:rPr/>
      </w:pPr>
      <w:r>
        <w:rPr/>
        <w:t>2. Для водозаборов всех категорий следует предусматривать наличие на складе резервных насосов: при количестве рабочих скважин до 12 - один; при большем количестве - 10 % числа рабочих скважин.</w:t>
      </w:r>
    </w:p>
    <w:p>
      <w:pPr>
        <w:pStyle w:val="Normal"/>
        <w:ind w:firstLine="225"/>
        <w:jc w:val="both"/>
        <w:rPr/>
      </w:pPr>
      <w:r>
        <w:rPr/>
      </w:r>
    </w:p>
    <w:p>
      <w:pPr>
        <w:pStyle w:val="Normal"/>
        <w:ind w:firstLine="225"/>
        <w:jc w:val="both"/>
        <w:rPr/>
      </w:pPr>
      <w:r>
        <w:rPr/>
        <w:t>3. Категории водозаборов по степени обеспеченности подачи воды следует принимать согласно п. 4.4.</w:t>
      </w:r>
    </w:p>
    <w:p>
      <w:pPr>
        <w:pStyle w:val="Normal"/>
        <w:ind w:firstLine="225"/>
        <w:jc w:val="both"/>
        <w:rPr/>
      </w:pPr>
      <w:r>
        <w:rPr/>
      </w:r>
    </w:p>
    <w:p>
      <w:pPr>
        <w:pStyle w:val="Normal"/>
        <w:ind w:firstLine="270"/>
        <w:jc w:val="both"/>
        <w:rPr/>
      </w:pPr>
      <w:r>
        <w:rPr/>
      </w:r>
    </w:p>
    <w:p>
      <w:pPr>
        <w:pStyle w:val="Normal"/>
        <w:ind w:firstLine="270"/>
        <w:jc w:val="both"/>
        <w:rPr/>
      </w:pPr>
      <w:r>
        <w:rPr/>
        <w:t>5.14. Существующие на участке водозабора скважины, дальнейшее использование которых невозможно, подлежат ликвидации путем тампонажа.</w:t>
      </w:r>
    </w:p>
    <w:p>
      <w:pPr>
        <w:pStyle w:val="Normal"/>
        <w:ind w:firstLine="225"/>
        <w:jc w:val="both"/>
        <w:rPr/>
      </w:pPr>
      <w:r>
        <w:rPr/>
      </w:r>
    </w:p>
    <w:p>
      <w:pPr>
        <w:pStyle w:val="Normal"/>
        <w:ind w:firstLine="270"/>
        <w:jc w:val="both"/>
        <w:rPr/>
      </w:pPr>
      <w:r>
        <w:rPr/>
        <w:t>5.15. Фильтры в скважинах надлежит устанавливать в рыхлых, неустойчивых скальных и полускальных породах.</w:t>
      </w:r>
    </w:p>
    <w:p>
      <w:pPr>
        <w:pStyle w:val="Normal"/>
        <w:ind w:firstLine="225"/>
        <w:jc w:val="both"/>
        <w:rPr/>
      </w:pPr>
      <w:r>
        <w:rPr/>
      </w:r>
    </w:p>
    <w:p>
      <w:pPr>
        <w:pStyle w:val="Normal"/>
        <w:ind w:firstLine="270"/>
        <w:jc w:val="both"/>
        <w:rPr/>
      </w:pPr>
      <w:r>
        <w:rPr/>
        <w:t>5.16. Конструкцию и размеры фильтра следует принимать в зависимости от гидрогеологических условий, дебита и режима эксплуатации в соответствии с рекомендуемым прил. 2.</w:t>
      </w:r>
    </w:p>
    <w:p>
      <w:pPr>
        <w:pStyle w:val="Normal"/>
        <w:ind w:firstLine="270"/>
        <w:jc w:val="both"/>
        <w:rPr/>
      </w:pPr>
      <w:r>
        <w:rPr/>
      </w:r>
    </w:p>
    <w:p>
      <w:pPr>
        <w:pStyle w:val="Normal"/>
        <w:ind w:firstLine="225"/>
        <w:jc w:val="both"/>
        <w:rPr/>
      </w:pPr>
      <w:r>
        <w:rPr/>
        <w:t>5.17. Конечный диаметр обсадной трубы при ударном бурении должен быть больше наружного диаметра фильтра не менее чем на 50 мм, а при обсыпке фильтра гравием - не менее чем на 100 мм.</w:t>
      </w:r>
    </w:p>
    <w:p>
      <w:pPr>
        <w:pStyle w:val="Normal"/>
        <w:ind w:firstLine="225"/>
        <w:jc w:val="both"/>
        <w:rPr/>
      </w:pPr>
      <w:r>
        <w:rPr/>
      </w:r>
    </w:p>
    <w:p>
      <w:pPr>
        <w:pStyle w:val="Normal"/>
        <w:ind w:firstLine="225"/>
        <w:jc w:val="both"/>
        <w:rPr/>
      </w:pPr>
      <w:r>
        <w:rPr/>
        <w:t>При роторном способе бурения без крепления стенок трубами конечный диаметр скважин должен быть больше наружного диаметра фильтра не менее чем на 100 мм.</w:t>
      </w:r>
    </w:p>
    <w:p>
      <w:pPr>
        <w:pStyle w:val="Normal"/>
        <w:ind w:firstLine="225"/>
        <w:jc w:val="both"/>
        <w:rPr/>
      </w:pPr>
      <w:r>
        <w:rPr/>
      </w:r>
    </w:p>
    <w:p>
      <w:pPr>
        <w:pStyle w:val="Normal"/>
        <w:ind w:firstLine="270"/>
        <w:jc w:val="both"/>
        <w:rPr/>
      </w:pPr>
      <w:r>
        <w:rPr/>
        <w:t>5.18. Длину рабочей части фильтра в напорных водоносных пластах мощностью до 10 м следует принимать равной мощности пласта; в безнапорных - мощности пласта за вычетом эксплуатационного понижения уровня воды в скважине (фильтр, как правило, должен быть затоплен) с учетом п. 5.19.</w:t>
      </w:r>
    </w:p>
    <w:p>
      <w:pPr>
        <w:pStyle w:val="Normal"/>
        <w:ind w:firstLine="225"/>
        <w:jc w:val="both"/>
        <w:rPr/>
      </w:pPr>
      <w:r>
        <w:rPr/>
      </w:r>
    </w:p>
    <w:p>
      <w:pPr>
        <w:pStyle w:val="Normal"/>
        <w:ind w:firstLine="270"/>
        <w:jc w:val="both"/>
        <w:rPr/>
      </w:pPr>
      <w:r>
        <w:rPr/>
        <w:t>В водоносных пластах мощностью более 10 м длину рабочей части фильтра надлежит определять с учетом водопроницаемости пород, производительности скважин и конструкции фильтра.</w:t>
      </w:r>
    </w:p>
    <w:p>
      <w:pPr>
        <w:pStyle w:val="Normal"/>
        <w:ind w:firstLine="225"/>
        <w:jc w:val="both"/>
        <w:rPr/>
      </w:pPr>
      <w:r>
        <w:rPr/>
      </w:r>
    </w:p>
    <w:p>
      <w:pPr>
        <w:pStyle w:val="Normal"/>
        <w:ind w:firstLine="270"/>
        <w:jc w:val="both"/>
        <w:rPr/>
      </w:pPr>
      <w:r>
        <w:rPr/>
        <w:t>5.19. Рабочую часть фильтра следует устанавливать на расстоянии от кровли и подошвы водоносного пласта не менее 0,5-1 м.</w:t>
      </w:r>
    </w:p>
    <w:p>
      <w:pPr>
        <w:pStyle w:val="Normal"/>
        <w:ind w:firstLine="180"/>
        <w:jc w:val="both"/>
        <w:rPr/>
      </w:pPr>
      <w:r>
        <w:rPr/>
      </w:r>
    </w:p>
    <w:p>
      <w:pPr>
        <w:pStyle w:val="Normal"/>
        <w:ind w:firstLine="315"/>
        <w:jc w:val="both"/>
        <w:rPr/>
      </w:pPr>
      <w:r>
        <w:rPr/>
        <w:t>5.20. При использовании нескольких водоносных пластов рабочие части фильтров надлежит устанавливать в каждом водоносном пласте и соединять между собой глухими трубами (перекрывающими слабоводопроницаемые слои).</w:t>
      </w:r>
    </w:p>
    <w:p>
      <w:pPr>
        <w:pStyle w:val="Normal"/>
        <w:ind w:firstLine="225"/>
        <w:jc w:val="both"/>
        <w:rPr/>
      </w:pPr>
      <w:r>
        <w:rPr/>
      </w:r>
    </w:p>
    <w:p>
      <w:pPr>
        <w:pStyle w:val="Normal"/>
        <w:ind w:firstLine="270"/>
        <w:jc w:val="both"/>
        <w:rPr/>
      </w:pPr>
      <w:r>
        <w:rPr/>
        <w:t>5.21. Верхняя часть надфильтровой трубы должна быть выше башмака обсадной колонны не менее чем на 3 м при глубине скважины до 50 м и не менее чем на 5 м при глубине скважины более 50 м; при этом между обсадной колонной и надфильтровой трубой при необходимости должен быть установлен сальник.</w:t>
      </w:r>
    </w:p>
    <w:p>
      <w:pPr>
        <w:pStyle w:val="Normal"/>
        <w:ind w:firstLine="225"/>
        <w:jc w:val="both"/>
        <w:rPr/>
      </w:pPr>
      <w:r>
        <w:rPr/>
      </w:r>
    </w:p>
    <w:p>
      <w:pPr>
        <w:pStyle w:val="Normal"/>
        <w:ind w:firstLine="270"/>
        <w:jc w:val="both"/>
        <w:rPr/>
      </w:pPr>
      <w:r>
        <w:rPr/>
        <w:t>5.22. Длину отстойника следует принимать не более 2 м.</w:t>
      </w:r>
    </w:p>
    <w:p>
      <w:pPr>
        <w:pStyle w:val="Normal"/>
        <w:ind w:firstLine="225"/>
        <w:jc w:val="both"/>
        <w:rPr/>
      </w:pPr>
      <w:r>
        <w:rPr/>
      </w:r>
    </w:p>
    <w:p>
      <w:pPr>
        <w:pStyle w:val="Normal"/>
        <w:ind w:firstLine="270"/>
        <w:jc w:val="both"/>
        <w:rPr/>
      </w:pPr>
      <w:r>
        <w:rPr/>
        <w:t>5.23. Бесфильтровые конструкции скважин для забора подземных вод из рыхлых песчаных отложений надлежит принимать при условии, когда над ними залегают устойчивые породы.</w:t>
      </w:r>
    </w:p>
    <w:p>
      <w:pPr>
        <w:pStyle w:val="Normal"/>
        <w:ind w:firstLine="225"/>
        <w:jc w:val="both"/>
        <w:rPr/>
      </w:pPr>
      <w:r>
        <w:rPr/>
      </w:r>
    </w:p>
    <w:p>
      <w:pPr>
        <w:pStyle w:val="Normal"/>
        <w:ind w:firstLine="270"/>
        <w:jc w:val="both"/>
        <w:rPr/>
      </w:pPr>
      <w:r>
        <w:rPr/>
        <w:t>5.24. После окончания бурения скважин и оборудования их фильтрами необходимо предусматривать прокачку, а при роторном бурении с глинистым раствором - разглинизацию до полного осветления воды.</w:t>
      </w:r>
    </w:p>
    <w:p>
      <w:pPr>
        <w:pStyle w:val="Normal"/>
        <w:ind w:firstLine="270"/>
        <w:jc w:val="both"/>
        <w:rPr/>
      </w:pPr>
      <w:r>
        <w:rPr/>
      </w:r>
    </w:p>
    <w:p>
      <w:pPr>
        <w:pStyle w:val="Normal"/>
        <w:ind w:firstLine="225"/>
        <w:jc w:val="both"/>
        <w:rPr/>
      </w:pPr>
      <w:r>
        <w:rPr/>
        <w:t>5.25. Для установления соответствия фактического дебита водозаборных скважин принятому в проекте необходимо предусматривать их опробование откачками в соответствии с указаниями, приведенными в рекомендуемом прил. 3.</w:t>
      </w:r>
    </w:p>
    <w:p>
      <w:pPr>
        <w:pStyle w:val="Normal"/>
        <w:ind w:firstLine="270"/>
        <w:jc w:val="both"/>
        <w:rPr/>
      </w:pPr>
      <w:r>
        <w:rPr/>
      </w:r>
    </w:p>
    <w:p>
      <w:pPr>
        <w:pStyle w:val="Normal"/>
        <w:ind w:firstLine="225"/>
        <w:jc w:val="both"/>
        <w:rPr/>
      </w:pPr>
      <w:r>
        <w:rPr/>
      </w:r>
    </w:p>
    <w:p>
      <w:pPr>
        <w:pStyle w:val="Heading"/>
        <w:jc w:val="center"/>
        <w:rPr/>
      </w:pPr>
      <w:r>
        <w:rPr/>
        <w:t xml:space="preserve">Шахтные колодцы </w:t>
      </w:r>
    </w:p>
    <w:p>
      <w:pPr>
        <w:pStyle w:val="Normal"/>
        <w:jc w:val="both"/>
        <w:rPr/>
      </w:pPr>
      <w:r>
        <w:rPr/>
      </w:r>
    </w:p>
    <w:p>
      <w:pPr>
        <w:pStyle w:val="Normal"/>
        <w:ind w:firstLine="495"/>
        <w:jc w:val="both"/>
        <w:rPr/>
      </w:pPr>
      <w:r>
        <w:rPr/>
      </w:r>
    </w:p>
    <w:p>
      <w:pPr>
        <w:pStyle w:val="Normal"/>
        <w:ind w:firstLine="270"/>
        <w:jc w:val="both"/>
        <w:rPr/>
      </w:pPr>
      <w:r>
        <w:rPr/>
        <w:t>5.26. Шахтные колодцы следует применять, как правило, в первых от поверхности безнапорных водоносных пластах, сложенных рыхлыми породами и залегающих на глубине до 30 м.</w:t>
      </w:r>
    </w:p>
    <w:p>
      <w:pPr>
        <w:pStyle w:val="Normal"/>
        <w:ind w:firstLine="135"/>
        <w:jc w:val="both"/>
        <w:rPr/>
      </w:pPr>
      <w:r>
        <w:rPr/>
      </w:r>
    </w:p>
    <w:p>
      <w:pPr>
        <w:pStyle w:val="Normal"/>
        <w:ind w:firstLine="360"/>
        <w:jc w:val="both"/>
        <w:rPr/>
      </w:pPr>
      <w:r>
        <w:rPr/>
        <w:t>5.27. При мощности водоносного пласта до 3 м следует предусматривать шахтные колодцы совершенного типа с вскрытием всей мощности пласта; при большей мощности допускаются совершенные и несовершенные колодцы с вскрытием части пласта.</w:t>
      </w:r>
    </w:p>
    <w:p>
      <w:pPr>
        <w:pStyle w:val="Normal"/>
        <w:ind w:firstLine="360"/>
        <w:jc w:val="both"/>
        <w:rPr/>
      </w:pPr>
      <w:r>
        <w:rPr/>
      </w:r>
    </w:p>
    <w:p>
      <w:pPr>
        <w:pStyle w:val="Normal"/>
        <w:ind w:firstLine="225"/>
        <w:jc w:val="both"/>
        <w:rPr/>
      </w:pPr>
      <w:r>
        <w:rPr/>
        <w:t>5.28. При расположении водоприемной части в песчаных грунтах на дне колодца необходимо предусматривать обратный песчано-гравийный фильтр или фильтр из пористого бетона, а в стенках водоприемной части колодцев -  фильтры из пористого бетона или гравийные.</w:t>
      </w:r>
    </w:p>
    <w:p>
      <w:pPr>
        <w:pStyle w:val="Normal"/>
        <w:ind w:firstLine="225"/>
        <w:jc w:val="both"/>
        <w:rPr/>
      </w:pPr>
      <w:r>
        <w:rPr/>
      </w:r>
    </w:p>
    <w:p>
      <w:pPr>
        <w:pStyle w:val="Normal"/>
        <w:ind w:firstLine="225"/>
        <w:jc w:val="both"/>
        <w:rPr/>
      </w:pPr>
      <w:r>
        <w:rPr/>
        <w:t>5.29. Обратный фильтр надлежит принимать из нескольких слоев песка и гравия толщиной по 0,1-0,15 м каждый, общей толщиной 0,4-0,6 м с укладкой в нижнюю часть фильтра мелких, а в верхнюю крупных фракций.</w:t>
      </w:r>
    </w:p>
    <w:p>
      <w:pPr>
        <w:pStyle w:val="Normal"/>
        <w:ind w:firstLine="225"/>
        <w:jc w:val="both"/>
        <w:rPr/>
      </w:pPr>
      <w:r>
        <w:rPr/>
      </w:r>
    </w:p>
    <w:p>
      <w:pPr>
        <w:pStyle w:val="Normal"/>
        <w:ind w:firstLine="225"/>
        <w:jc w:val="both"/>
        <w:rPr/>
      </w:pPr>
      <w:r>
        <w:rPr/>
        <w:t>5.30. Механический состав отдельных слоев фильтра и соотношения между средними диаметрами зерен смежных слоев фильтра следует принимать в соответствии с указаниями, приведенными в рекомендуемом прил. 2.</w:t>
      </w:r>
    </w:p>
    <w:p>
      <w:pPr>
        <w:pStyle w:val="Normal"/>
        <w:ind w:firstLine="225"/>
        <w:jc w:val="both"/>
        <w:rPr/>
      </w:pPr>
      <w:r>
        <w:rPr/>
      </w:r>
    </w:p>
    <w:p>
      <w:pPr>
        <w:pStyle w:val="Normal"/>
        <w:ind w:firstLine="270"/>
        <w:jc w:val="both"/>
        <w:rPr/>
      </w:pPr>
      <w:r>
        <w:rPr/>
        <w:t>5.31. Верх шахтных колодцев должен быть выше поверхности земли не менее чем на 0,8 м. При этом вокруг колодца должна предусматриваться отмостка шириной 1-2 м с уклоном 0,1 от колодца; вокруг колодцев, подающих воду для хозяйственно-питьевых нужд, кроме того, следует предусматривать устройство замка из глины или жирного суглинка глубиной 1,5-2 м и шириной 0,5 м.</w:t>
      </w:r>
    </w:p>
    <w:p>
      <w:pPr>
        <w:pStyle w:val="Normal"/>
        <w:ind w:firstLine="225"/>
        <w:jc w:val="both"/>
        <w:rPr/>
      </w:pPr>
      <w:r>
        <w:rPr/>
      </w:r>
    </w:p>
    <w:p>
      <w:pPr>
        <w:pStyle w:val="Normal"/>
        <w:ind w:firstLine="270"/>
        <w:jc w:val="both"/>
        <w:rPr/>
      </w:pPr>
      <w:r>
        <w:rPr/>
        <w:t>5.32. В колодцах необходимо предусматривать вентиляционную трубу, выведенную выше поверхности земли не менее чем на 2 м. Отверстие вентиляционной трубы должно защищаться колпаком с сеткой.</w:t>
      </w:r>
    </w:p>
    <w:p>
      <w:pPr>
        <w:pStyle w:val="Normal"/>
        <w:ind w:firstLine="270"/>
        <w:jc w:val="both"/>
        <w:rPr/>
      </w:pPr>
      <w:r>
        <w:rPr/>
      </w:r>
    </w:p>
    <w:p>
      <w:pPr>
        <w:pStyle w:val="Normal"/>
        <w:ind w:firstLine="225"/>
        <w:jc w:val="both"/>
        <w:rPr/>
      </w:pPr>
      <w:r>
        <w:rPr/>
      </w:r>
    </w:p>
    <w:p>
      <w:pPr>
        <w:pStyle w:val="Heading"/>
        <w:jc w:val="center"/>
        <w:rPr/>
      </w:pPr>
      <w:r>
        <w:rPr/>
        <w:t>Горизонтальные водозаборы</w:t>
      </w:r>
    </w:p>
    <w:p>
      <w:pPr>
        <w:pStyle w:val="Heading"/>
        <w:jc w:val="center"/>
        <w:rPr/>
      </w:pPr>
      <w:r>
        <w:rPr/>
      </w:r>
    </w:p>
    <w:p>
      <w:pPr>
        <w:pStyle w:val="Normal"/>
        <w:ind w:firstLine="270"/>
        <w:jc w:val="both"/>
        <w:rPr/>
      </w:pPr>
      <w:r>
        <w:rPr/>
      </w:r>
    </w:p>
    <w:p>
      <w:pPr>
        <w:pStyle w:val="Normal"/>
        <w:ind w:firstLine="270"/>
        <w:jc w:val="both"/>
        <w:rPr/>
      </w:pPr>
      <w:r>
        <w:rPr/>
        <w:t>5.33. Горизонтальные водозаборы следует предусматривать, как правило, на глубине до 8 м в безнапорных водоносных пластах, преимущественно вблизи поверхностных водотоков. Они могут проектироваться в виде каменно-щебеночной дрены, трубчатой дрены, водосборной галереи или водосборной штольни.</w:t>
      </w:r>
    </w:p>
    <w:p>
      <w:pPr>
        <w:pStyle w:val="Normal"/>
        <w:ind w:firstLine="270"/>
        <w:jc w:val="both"/>
        <w:rPr/>
      </w:pPr>
      <w:r>
        <w:rPr/>
      </w:r>
    </w:p>
    <w:p>
      <w:pPr>
        <w:pStyle w:val="Normal"/>
        <w:ind w:firstLine="270"/>
        <w:jc w:val="both"/>
        <w:rPr/>
      </w:pPr>
      <w:r>
        <w:rPr/>
        <w:t>5.34. Водозаборы в виде каменно-щебеночной дрены рекомендуется предусматривать для систем временного водоснабжения.</w:t>
      </w:r>
    </w:p>
    <w:p>
      <w:pPr>
        <w:pStyle w:val="Normal"/>
        <w:ind w:firstLine="225"/>
        <w:jc w:val="both"/>
        <w:rPr/>
      </w:pPr>
      <w:r>
        <w:rPr/>
      </w:r>
    </w:p>
    <w:p>
      <w:pPr>
        <w:pStyle w:val="Normal"/>
        <w:ind w:firstLine="270"/>
        <w:jc w:val="both"/>
        <w:rPr/>
      </w:pPr>
      <w:r>
        <w:rPr/>
        <w:t>Трубчатые дрены надлежит проектировать на глубине до 5-8 м для водозаборов II-III категорий.</w:t>
      </w:r>
    </w:p>
    <w:p>
      <w:pPr>
        <w:pStyle w:val="Normal"/>
        <w:ind w:firstLine="270"/>
        <w:jc w:val="both"/>
        <w:rPr/>
      </w:pPr>
      <w:r>
        <w:rPr/>
      </w:r>
    </w:p>
    <w:p>
      <w:pPr>
        <w:pStyle w:val="Normal"/>
        <w:ind w:firstLine="225"/>
        <w:jc w:val="both"/>
        <w:rPr/>
      </w:pPr>
      <w:r>
        <w:rPr/>
        <w:t>Для водозаборов I и II категорий должны приниматься, как правило, водосборные галереи.</w:t>
      </w:r>
    </w:p>
    <w:p>
      <w:pPr>
        <w:pStyle w:val="Normal"/>
        <w:ind w:firstLine="225"/>
        <w:jc w:val="both"/>
        <w:rPr/>
      </w:pPr>
      <w:r>
        <w:rPr/>
      </w:r>
    </w:p>
    <w:p>
      <w:pPr>
        <w:pStyle w:val="Normal"/>
        <w:ind w:firstLine="225"/>
        <w:jc w:val="both"/>
        <w:rPr/>
      </w:pPr>
      <w:r>
        <w:rPr/>
        <w:t>Водозаборы в виде штольни следует принимать в соответствующих орографических условиях.</w:t>
      </w:r>
    </w:p>
    <w:p>
      <w:pPr>
        <w:pStyle w:val="Normal"/>
        <w:ind w:firstLine="225"/>
        <w:jc w:val="both"/>
        <w:rPr/>
      </w:pPr>
      <w:r>
        <w:rPr/>
      </w:r>
    </w:p>
    <w:p>
      <w:pPr>
        <w:pStyle w:val="Normal"/>
        <w:ind w:firstLine="270"/>
        <w:jc w:val="both"/>
        <w:rPr/>
      </w:pPr>
      <w:r>
        <w:rPr/>
        <w:t>5.35. Для исключения выноса частиц породы из водоносного пласта при проектировании водоприемной части горизонтальных водозаборов должен предусматриваться обратный фильтр из двух-трех слоев.</w:t>
      </w:r>
    </w:p>
    <w:p>
      <w:pPr>
        <w:pStyle w:val="Normal"/>
        <w:ind w:firstLine="225"/>
        <w:jc w:val="both"/>
        <w:rPr/>
      </w:pPr>
      <w:r>
        <w:rPr/>
      </w:r>
    </w:p>
    <w:p>
      <w:pPr>
        <w:pStyle w:val="Normal"/>
        <w:ind w:firstLine="270"/>
        <w:jc w:val="both"/>
        <w:rPr/>
      </w:pPr>
      <w:r>
        <w:rPr/>
        <w:t>5.36. Механический состав отдельных слоев обратного фильтра следует определять расчетом.</w:t>
      </w:r>
    </w:p>
    <w:p>
      <w:pPr>
        <w:pStyle w:val="Normal"/>
        <w:ind w:firstLine="225"/>
        <w:jc w:val="both"/>
        <w:rPr/>
      </w:pPr>
      <w:r>
        <w:rPr/>
      </w:r>
    </w:p>
    <w:p>
      <w:pPr>
        <w:pStyle w:val="Normal"/>
        <w:ind w:firstLine="270"/>
        <w:jc w:val="both"/>
        <w:rPr/>
      </w:pPr>
      <w:r>
        <w:rPr/>
        <w:t>Толщина отдельных слоев фильтра должна быть не менее 15 см.</w:t>
      </w:r>
    </w:p>
    <w:p>
      <w:pPr>
        <w:pStyle w:val="Normal"/>
        <w:ind w:firstLine="225"/>
        <w:jc w:val="both"/>
        <w:rPr/>
      </w:pPr>
      <w:r>
        <w:rPr/>
      </w:r>
    </w:p>
    <w:p>
      <w:pPr>
        <w:pStyle w:val="Normal"/>
        <w:ind w:firstLine="270"/>
        <w:jc w:val="both"/>
        <w:rPr/>
      </w:pPr>
      <w:r>
        <w:rPr/>
        <w:t>5.37. Для водозабора в виде каменно-щебеночной дрены прием воды следует предусматривать через щебеночную призму размером 30х30 или 50х50 см, уложенную на дно траншеи, с устройством обратного фильтра.</w:t>
      </w:r>
    </w:p>
    <w:p>
      <w:pPr>
        <w:pStyle w:val="Normal"/>
        <w:ind w:firstLine="225"/>
        <w:jc w:val="both"/>
        <w:rPr/>
      </w:pPr>
      <w:r>
        <w:rPr/>
      </w:r>
    </w:p>
    <w:p>
      <w:pPr>
        <w:pStyle w:val="Normal"/>
        <w:ind w:firstLine="270"/>
        <w:jc w:val="both"/>
        <w:rPr/>
      </w:pPr>
      <w:r>
        <w:rPr/>
        <w:t>Каменно-щебеночную дрену надлежит принимать с уклоном 0,01-0,05 в сторону водосборного колодца.</w:t>
      </w:r>
    </w:p>
    <w:p>
      <w:pPr>
        <w:pStyle w:val="Normal"/>
        <w:ind w:firstLine="225"/>
        <w:jc w:val="both"/>
        <w:rPr/>
      </w:pPr>
      <w:r>
        <w:rPr/>
      </w:r>
    </w:p>
    <w:p>
      <w:pPr>
        <w:pStyle w:val="Normal"/>
        <w:ind w:firstLine="270"/>
        <w:jc w:val="both"/>
        <w:rPr/>
      </w:pPr>
      <w:r>
        <w:rPr/>
        <w:t>5.38. Водоприемную часть водозаборов из трубчатых дрен следует принимать из керамических, асбестоцементных, железобетонных и пластмассовых труб с круглыми или щелевыми отверстиями с боков и в верхней части трубы; нижняя часть трубы (не более 1/3 по высоте) должна быть без отверстий. Минимальный диаметр труб надлежит принимать 150 мм.</w:t>
      </w:r>
    </w:p>
    <w:p>
      <w:pPr>
        <w:pStyle w:val="Normal"/>
        <w:ind w:firstLine="270"/>
        <w:jc w:val="both"/>
        <w:rPr/>
      </w:pPr>
      <w:r>
        <w:rPr/>
      </w:r>
    </w:p>
    <w:p>
      <w:pPr>
        <w:pStyle w:val="Normal"/>
        <w:ind w:firstLine="270"/>
        <w:jc w:val="both"/>
        <w:rPr/>
      </w:pPr>
      <w:r>
        <w:rPr/>
        <w:t>Примечание. Применение металлических перфорированных труб допускается при обосновании.</w:t>
      </w:r>
    </w:p>
    <w:p>
      <w:pPr>
        <w:pStyle w:val="Normal"/>
        <w:ind w:firstLine="270"/>
        <w:jc w:val="both"/>
        <w:rPr/>
      </w:pPr>
      <w:r>
        <w:rPr/>
      </w:r>
    </w:p>
    <w:p>
      <w:pPr>
        <w:pStyle w:val="Normal"/>
        <w:ind w:firstLine="270"/>
        <w:jc w:val="both"/>
        <w:rPr/>
      </w:pPr>
      <w:r>
        <w:rPr/>
        <w:t>5.39. Определение диаметров трубопроводов горизонтальных водозаборов следует производить для периода низкого стояния уровня грунтовых вод, расчетное наполнение принимать 0,5 диаметра трубы.</w:t>
      </w:r>
    </w:p>
    <w:p>
      <w:pPr>
        <w:pStyle w:val="Normal"/>
        <w:ind w:firstLine="225"/>
        <w:jc w:val="both"/>
        <w:rPr/>
      </w:pPr>
      <w:r>
        <w:rPr/>
      </w:r>
    </w:p>
    <w:p>
      <w:pPr>
        <w:pStyle w:val="Normal"/>
        <w:ind w:firstLine="270"/>
        <w:jc w:val="both"/>
        <w:rPr/>
      </w:pPr>
      <w:r>
        <w:rPr/>
        <w:t xml:space="preserve">5.40. Уклоны труб в сторону водосборного колодца должны быть не менее: </w:t>
      </w:r>
    </w:p>
    <w:p>
      <w:pPr>
        <w:pStyle w:val="Preformat"/>
        <w:jc w:val="both"/>
        <w:rPr/>
      </w:pPr>
      <w:r>
        <w:rPr>
          <w:vanish/>
        </w:rPr>
        <w:t>#G1</w:t>
      </w:r>
      <w:r>
        <w:rPr/>
        <w:t xml:space="preserve">     </w:t>
      </w:r>
    </w:p>
    <w:p>
      <w:pPr>
        <w:pStyle w:val="Normal"/>
        <w:rPr>
          <w:rFonts w:ascii="Courier New" w:hAnsi="Courier New" w:cs="Courier New"/>
        </w:rPr>
      </w:pPr>
      <w:r>
        <w:rPr>
          <w:rFonts w:eastAsia="Courier New" w:cs="Courier New" w:ascii="Courier New" w:hAnsi="Courier New"/>
        </w:rPr>
        <w:t xml:space="preserve">  </w:t>
      </w:r>
      <w:r>
        <w:rPr>
          <w:rFonts w:cs="Courier New" w:ascii="Courier New" w:hAnsi="Courier New"/>
        </w:rPr>
        <w:t>0,007 - при диаметре 150 мм;</w:t>
      </w:r>
    </w:p>
    <w:p>
      <w:pPr>
        <w:pStyle w:val="Normal"/>
        <w:rPr>
          <w:rFonts w:ascii="Courier New" w:hAnsi="Courier New" w:cs="Courier New"/>
        </w:rPr>
      </w:pPr>
      <w:r>
        <w:rPr>
          <w:rFonts w:cs="Courier New" w:ascii="Courier New" w:hAnsi="Courier New"/>
        </w:rPr>
      </w:r>
    </w:p>
    <w:p>
      <w:pPr>
        <w:pStyle w:val="Normal"/>
        <w:rPr>
          <w:rFonts w:ascii="Courier New" w:hAnsi="Courier New" w:cs="Courier New"/>
        </w:rPr>
      </w:pPr>
      <w:r>
        <w:rPr>
          <w:rFonts w:eastAsia="Courier New" w:cs="Courier New" w:ascii="Courier New" w:hAnsi="Courier New"/>
        </w:rPr>
        <w:t xml:space="preserve">  </w:t>
      </w:r>
      <w:r>
        <w:rPr>
          <w:rFonts w:cs="Courier New" w:ascii="Courier New" w:hAnsi="Courier New"/>
        </w:rPr>
        <w:t>0,005 -  «     «     200  «</w:t>
      </w:r>
    </w:p>
    <w:p>
      <w:pPr>
        <w:pStyle w:val="Normal"/>
        <w:rPr>
          <w:rFonts w:ascii="Courier New" w:hAnsi="Courier New" w:cs="Courier New"/>
        </w:rPr>
      </w:pPr>
      <w:r>
        <w:rPr>
          <w:rFonts w:cs="Courier New" w:ascii="Courier New" w:hAnsi="Courier New"/>
        </w:rPr>
      </w:r>
    </w:p>
    <w:p>
      <w:pPr>
        <w:pStyle w:val="Normal"/>
        <w:rPr>
          <w:rFonts w:ascii="Courier New" w:hAnsi="Courier New" w:cs="Courier New"/>
        </w:rPr>
      </w:pPr>
      <w:r>
        <w:rPr>
          <w:rFonts w:eastAsia="Courier New" w:cs="Courier New" w:ascii="Courier New" w:hAnsi="Courier New"/>
        </w:rPr>
        <w:t xml:space="preserve">  </w:t>
      </w:r>
      <w:r>
        <w:rPr>
          <w:rFonts w:cs="Courier New" w:ascii="Courier New" w:hAnsi="Courier New"/>
        </w:rPr>
        <w:t>0,004 -  «     «     250  «</w:t>
      </w:r>
    </w:p>
    <w:p>
      <w:pPr>
        <w:pStyle w:val="Normal"/>
        <w:rPr>
          <w:rFonts w:ascii="Courier New" w:hAnsi="Courier New" w:cs="Courier New"/>
        </w:rPr>
      </w:pPr>
      <w:r>
        <w:rPr>
          <w:rFonts w:cs="Courier New" w:ascii="Courier New" w:hAnsi="Courier New"/>
        </w:rPr>
      </w:r>
    </w:p>
    <w:p>
      <w:pPr>
        <w:pStyle w:val="Normal"/>
        <w:rPr>
          <w:rFonts w:ascii="Courier New" w:hAnsi="Courier New" w:cs="Courier New"/>
        </w:rPr>
      </w:pPr>
      <w:r>
        <w:rPr>
          <w:rFonts w:eastAsia="Courier New" w:cs="Courier New" w:ascii="Courier New" w:hAnsi="Courier New"/>
        </w:rPr>
        <w:t xml:space="preserve">  </w:t>
      </w:r>
      <w:r>
        <w:rPr>
          <w:rFonts w:cs="Courier New" w:ascii="Courier New" w:hAnsi="Courier New"/>
        </w:rPr>
        <w:t>0,003 -  «     «     300  «</w:t>
      </w:r>
    </w:p>
    <w:p>
      <w:pPr>
        <w:pStyle w:val="Normal"/>
        <w:rPr>
          <w:rFonts w:ascii="Courier New" w:hAnsi="Courier New" w:cs="Courier New"/>
        </w:rPr>
      </w:pPr>
      <w:r>
        <w:rPr>
          <w:rFonts w:cs="Courier New" w:ascii="Courier New" w:hAnsi="Courier New"/>
        </w:rPr>
      </w:r>
    </w:p>
    <w:p>
      <w:pPr>
        <w:pStyle w:val="Normal"/>
        <w:rPr>
          <w:rFonts w:ascii="Courier New" w:hAnsi="Courier New" w:cs="Courier New"/>
        </w:rPr>
      </w:pPr>
      <w:r>
        <w:rPr>
          <w:rFonts w:eastAsia="Courier New" w:cs="Courier New" w:ascii="Courier New" w:hAnsi="Courier New"/>
        </w:rPr>
        <w:t xml:space="preserve">  </w:t>
      </w:r>
      <w:r>
        <w:rPr>
          <w:rFonts w:cs="Courier New" w:ascii="Courier New" w:hAnsi="Courier New"/>
        </w:rPr>
        <w:t>0,002 -  «     «     400  «</w:t>
      </w:r>
    </w:p>
    <w:p>
      <w:pPr>
        <w:pStyle w:val="Normal"/>
        <w:rPr>
          <w:rFonts w:ascii="Courier New" w:hAnsi="Courier New" w:cs="Courier New"/>
        </w:rPr>
      </w:pPr>
      <w:r>
        <w:rPr>
          <w:rFonts w:cs="Courier New" w:ascii="Courier New" w:hAnsi="Courier New"/>
        </w:rPr>
      </w:r>
    </w:p>
    <w:p>
      <w:pPr>
        <w:pStyle w:val="Normal"/>
        <w:rPr>
          <w:rFonts w:ascii="Courier New" w:hAnsi="Courier New" w:cs="Courier New"/>
        </w:rPr>
      </w:pPr>
      <w:r>
        <w:rPr>
          <w:rFonts w:eastAsia="Courier New" w:cs="Courier New" w:ascii="Courier New" w:hAnsi="Courier New"/>
        </w:rPr>
        <w:t xml:space="preserve">  </w:t>
      </w:r>
      <w:r>
        <w:rPr>
          <w:rFonts w:cs="Courier New" w:ascii="Courier New" w:hAnsi="Courier New"/>
        </w:rPr>
        <w:t xml:space="preserve">0,001 -  «     «     500  « </w:t>
      </w:r>
    </w:p>
    <w:p>
      <w:pPr>
        <w:pStyle w:val="Normal"/>
        <w:jc w:val="both"/>
        <w:rPr>
          <w:rFonts w:ascii="Courier New" w:hAnsi="Courier New" w:eastAsia="Courier New" w:cs="Courier New"/>
        </w:rPr>
      </w:pPr>
      <w:r>
        <w:rPr>
          <w:rFonts w:eastAsia="Courier New" w:cs="Courier New" w:ascii="Courier New" w:hAnsi="Courier New"/>
        </w:rPr>
        <w:t xml:space="preserve">     </w:t>
      </w:r>
    </w:p>
    <w:p>
      <w:pPr>
        <w:pStyle w:val="Normal"/>
        <w:ind w:firstLine="270"/>
        <w:jc w:val="both"/>
        <w:rPr/>
      </w:pPr>
      <w:r>
        <w:rPr>
          <w:vanish/>
        </w:rPr>
        <w:t>#G0</w:t>
      </w:r>
      <w:r>
        <w:rPr/>
        <w:t>Скорость течения воды в трубах должна приниматься не менее 0,7 м/с.</w:t>
      </w:r>
    </w:p>
    <w:p>
      <w:pPr>
        <w:pStyle w:val="Normal"/>
        <w:ind w:firstLine="270"/>
        <w:jc w:val="both"/>
        <w:rPr/>
      </w:pPr>
      <w:r>
        <w:rPr/>
      </w:r>
    </w:p>
    <w:p>
      <w:pPr>
        <w:pStyle w:val="Normal"/>
        <w:ind w:firstLine="225"/>
        <w:jc w:val="both"/>
        <w:rPr/>
      </w:pPr>
      <w:r>
        <w:rPr/>
        <w:t>5.41. Водоприемные галереи надлежит принимать из сборного железобетона с щелевыми отверстиями или окнами с козырьками.</w:t>
      </w:r>
    </w:p>
    <w:p>
      <w:pPr>
        <w:pStyle w:val="Normal"/>
        <w:ind w:firstLine="180"/>
        <w:jc w:val="both"/>
        <w:rPr/>
      </w:pPr>
      <w:r>
        <w:rPr/>
      </w:r>
    </w:p>
    <w:p>
      <w:pPr>
        <w:pStyle w:val="Normal"/>
        <w:ind w:firstLine="315"/>
        <w:jc w:val="both"/>
        <w:rPr/>
      </w:pPr>
      <w:r>
        <w:rPr/>
        <w:t>5.42. Под железобетонными звеньями галереи должно предусматриваться основание, исключающее осадку их относительно друг друга. С боков галереи в пределах ее водоприемной части следует предусматривать устройство обратного фильтра.</w:t>
      </w:r>
    </w:p>
    <w:p>
      <w:pPr>
        <w:pStyle w:val="Normal"/>
        <w:ind w:firstLine="225"/>
        <w:jc w:val="both"/>
        <w:rPr/>
      </w:pPr>
      <w:r>
        <w:rPr/>
      </w:r>
    </w:p>
    <w:p>
      <w:pPr>
        <w:pStyle w:val="Normal"/>
        <w:ind w:firstLine="270"/>
        <w:jc w:val="both"/>
        <w:rPr/>
      </w:pPr>
      <w:r>
        <w:rPr/>
        <w:t>5.43. Горизонтальные водозаборы должны быть защищены от попадания в них поверхностных вод.</w:t>
      </w:r>
    </w:p>
    <w:p>
      <w:pPr>
        <w:pStyle w:val="Normal"/>
        <w:ind w:firstLine="225"/>
        <w:jc w:val="both"/>
        <w:rPr/>
      </w:pPr>
      <w:r>
        <w:rPr/>
      </w:r>
    </w:p>
    <w:p>
      <w:pPr>
        <w:pStyle w:val="Normal"/>
        <w:ind w:firstLine="270"/>
        <w:jc w:val="both"/>
        <w:rPr/>
      </w:pPr>
      <w:r>
        <w:rPr/>
        <w:t>5.44. Для наблюдения за работой трубчатых и галерейных водозаборов, их вентиляции и ремонта надлежит принимать смотровые колодцы, расстояние между которыми должно быть не более 50 м для трубчатых водозаборов диаметром от 150 до 500 мм и 75 м - при диаметре более 500 мм; для галерейных водозаборов - 100 -150 м.</w:t>
      </w:r>
    </w:p>
    <w:p>
      <w:pPr>
        <w:pStyle w:val="Normal"/>
        <w:ind w:firstLine="270"/>
        <w:jc w:val="both"/>
        <w:rPr/>
      </w:pPr>
      <w:r>
        <w:rPr/>
      </w:r>
    </w:p>
    <w:p>
      <w:pPr>
        <w:pStyle w:val="Normal"/>
        <w:ind w:firstLine="225"/>
        <w:jc w:val="both"/>
        <w:rPr/>
      </w:pPr>
      <w:r>
        <w:rPr/>
        <w:t>Смотровые колодцы следует предусматривать также в местах изменения направления водоприемной части в плане и вертикальной плоскости.</w:t>
      </w:r>
    </w:p>
    <w:p>
      <w:pPr>
        <w:pStyle w:val="Normal"/>
        <w:ind w:firstLine="225"/>
        <w:jc w:val="both"/>
        <w:rPr/>
      </w:pPr>
      <w:r>
        <w:rPr/>
      </w:r>
    </w:p>
    <w:p>
      <w:pPr>
        <w:pStyle w:val="Normal"/>
        <w:ind w:firstLine="270"/>
        <w:jc w:val="both"/>
        <w:rPr/>
      </w:pPr>
      <w:r>
        <w:rPr/>
        <w:t>5.45. Смотровые колодцы следует принимать диаметром 1 м; верх колодцев должен возвышаться не менее чем на 0,2 м над поверхностью земли; вокруг колодцев должна быть сделана водонепроницаемая отмостка шириной не менее 1 м и глиняный замок; колодцы должны быть оборудованы вентиляционными трубами согласно п. 5.32.</w:t>
      </w:r>
    </w:p>
    <w:p>
      <w:pPr>
        <w:pStyle w:val="Normal"/>
        <w:ind w:firstLine="225"/>
        <w:jc w:val="both"/>
        <w:rPr/>
      </w:pPr>
      <w:r>
        <w:rPr/>
      </w:r>
    </w:p>
    <w:p>
      <w:pPr>
        <w:pStyle w:val="Normal"/>
        <w:ind w:firstLine="270"/>
        <w:jc w:val="both"/>
        <w:rPr/>
      </w:pPr>
      <w:r>
        <w:rPr/>
        <w:t>5.46. Насосные станции горизонтальных водозаборов следует, как правило, совмещать с водосборным колодцем.</w:t>
      </w:r>
    </w:p>
    <w:p>
      <w:pPr>
        <w:pStyle w:val="Normal"/>
        <w:ind w:firstLine="225"/>
        <w:jc w:val="both"/>
        <w:rPr/>
      </w:pPr>
      <w:r>
        <w:rPr/>
      </w:r>
    </w:p>
    <w:p>
      <w:pPr>
        <w:pStyle w:val="Normal"/>
        <w:ind w:firstLine="270"/>
        <w:jc w:val="both"/>
        <w:rPr/>
      </w:pPr>
      <w:r>
        <w:rPr/>
        <w:t>5.47. Комбинированные горизонтальные водозаборы необходимо принимать в двухпластовых системах с верхним безнапорным и нижним напорным водоносными пластами. Водозабор следует предусматривать в виде горизонтальной трубчатой дрены, каптирующей верхний безнапорный пласт, к которой снизу или сбоку подключены патрубки фильтровых колонн вертикальных скважин-усилителей, заложенных в нижнем пласте.</w:t>
      </w:r>
    </w:p>
    <w:p>
      <w:pPr>
        <w:pStyle w:val="Normal"/>
        <w:ind w:firstLine="270"/>
        <w:jc w:val="both"/>
        <w:rPr/>
      </w:pPr>
      <w:r>
        <w:rPr/>
      </w:r>
    </w:p>
    <w:p>
      <w:pPr>
        <w:pStyle w:val="Normal"/>
        <w:ind w:firstLine="225"/>
        <w:jc w:val="both"/>
        <w:rPr/>
      </w:pPr>
      <w:r>
        <w:rPr/>
      </w:r>
    </w:p>
    <w:p>
      <w:pPr>
        <w:pStyle w:val="Heading"/>
        <w:jc w:val="center"/>
        <w:rPr/>
      </w:pPr>
      <w:r>
        <w:rPr/>
        <w:t>Лучевые водозаборы</w:t>
      </w:r>
    </w:p>
    <w:p>
      <w:pPr>
        <w:pStyle w:val="Heading"/>
        <w:jc w:val="center"/>
        <w:rPr/>
      </w:pPr>
      <w:r>
        <w:rPr/>
      </w:r>
    </w:p>
    <w:p>
      <w:pPr>
        <w:pStyle w:val="Normal"/>
        <w:ind w:firstLine="270"/>
        <w:jc w:val="both"/>
        <w:rPr/>
      </w:pPr>
      <w:r>
        <w:rPr/>
      </w:r>
    </w:p>
    <w:p>
      <w:pPr>
        <w:pStyle w:val="Normal"/>
        <w:ind w:firstLine="270"/>
        <w:jc w:val="both"/>
        <w:rPr/>
      </w:pPr>
      <w:r>
        <w:rPr/>
        <w:t xml:space="preserve">5.48. Лучевые водозаборы надлежит предусматривать в водоносных пластах, кровля которых расположена от поверхности земли на глубине не более 15-20 м и мощность водоносного пласта не превышает 20 м.   </w:t>
      </w:r>
    </w:p>
    <w:tbl>
      <w:tblPr>
        <w:tblW w:w="8925" w:type="dxa"/>
        <w:jc w:val="start"/>
        <w:tblInd w:w="255" w:type="dxa"/>
        <w:tblBorders/>
        <w:tblCellMar>
          <w:top w:w="0" w:type="dxa"/>
          <w:start w:w="15" w:type="dxa"/>
          <w:bottom w:w="0" w:type="dxa"/>
          <w:end w:w="15" w:type="dxa"/>
        </w:tblCellMar>
      </w:tblPr>
      <w:tblGrid>
        <w:gridCol w:w="7395"/>
        <w:gridCol w:w="1530"/>
      </w:tblGrid>
      <w:tr>
        <w:trPr/>
        <w:tc>
          <w:tcPr>
            <w:tcW w:w="7395" w:type="dxa"/>
            <w:tcBorders/>
            <w:shd w:fill="auto" w:val="clear"/>
          </w:tcPr>
          <w:p>
            <w:pPr>
              <w:pStyle w:val="Normal"/>
              <w:rPr/>
            </w:pPr>
            <w:r>
              <w:rPr>
                <w:vanish/>
              </w:rPr>
              <w:t>#G0</w:t>
            </w:r>
            <w:r>
              <w:rPr/>
              <w:t xml:space="preserve">  </w:t>
            </w:r>
          </w:p>
          <w:p>
            <w:pPr>
              <w:pStyle w:val="Normal"/>
              <w:ind w:firstLine="45"/>
              <w:jc w:val="both"/>
              <w:rPr/>
            </w:pPr>
            <w:r>
              <w:rPr/>
              <w:t xml:space="preserve">Примечание. Лучевые водозаборы в галечниковых грунтах при крупности фракций </w:t>
            </w:r>
          </w:p>
          <w:p>
            <w:pPr>
              <w:pStyle w:val="Normal"/>
              <w:ind w:firstLine="45"/>
              <w:jc w:val="both"/>
              <w:rPr/>
            </w:pPr>
            <w:r>
              <w:rPr/>
            </w:r>
          </w:p>
        </w:tc>
        <w:tc>
          <w:tcPr>
            <w:tcW w:w="1530" w:type="dxa"/>
            <w:tcBorders/>
            <w:shd w:fill="auto" w:val="clear"/>
          </w:tcPr>
          <w:p>
            <w:pPr>
              <w:pStyle w:val="Normal"/>
              <w:rPr/>
            </w:pPr>
            <w:r>
              <w:rPr/>
              <w:t xml:space="preserve">  </w:t>
            </w:r>
          </w:p>
          <w:p>
            <w:pPr>
              <w:pStyle w:val="Normal"/>
              <w:rPr/>
            </w:pPr>
            <w:r>
              <w:rPr/>
              <w:drawing>
                <wp:inline distT="0" distB="0" distL="0" distR="0">
                  <wp:extent cx="598805" cy="149860"/>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598805" cy="149860"/>
                          </a:xfrm>
                          <a:prstGeom prst="rect">
                            <a:avLst/>
                          </a:prstGeom>
                        </pic:spPr>
                      </pic:pic>
                    </a:graphicData>
                  </a:graphic>
                </wp:inline>
              </w:drawing>
            </w:r>
          </w:p>
        </w:tc>
      </w:tr>
    </w:tbl>
    <w:p>
      <w:pPr>
        <w:pStyle w:val="Normal"/>
        <w:jc w:val="both"/>
        <w:rPr/>
      </w:pPr>
      <w:r>
        <w:rPr/>
        <w:t>при наличии в водоносных породах включений валунов в количестве более 10% и в илистых мелкозернистых породах применять не рекомендуется.</w:t>
      </w:r>
    </w:p>
    <w:p>
      <w:pPr>
        <w:pStyle w:val="Normal"/>
        <w:ind w:firstLine="225"/>
        <w:jc w:val="both"/>
        <w:rPr/>
      </w:pPr>
      <w:r>
        <w:rPr/>
      </w:r>
    </w:p>
    <w:p>
      <w:pPr>
        <w:pStyle w:val="Normal"/>
        <w:ind w:firstLine="270"/>
        <w:jc w:val="both"/>
        <w:rPr/>
      </w:pPr>
      <w:r>
        <w:rPr/>
      </w:r>
    </w:p>
    <w:p>
      <w:pPr>
        <w:pStyle w:val="Normal"/>
        <w:ind w:firstLine="270"/>
        <w:jc w:val="both"/>
        <w:rPr/>
      </w:pPr>
      <w:r>
        <w:rPr/>
        <w:t>5.49. В неоднородных или мощных однородных водоносных пластах следует применять многоярусные лучевые водозаборы с лучами, расположенными на разных отметках.</w:t>
      </w:r>
    </w:p>
    <w:p>
      <w:pPr>
        <w:pStyle w:val="Normal"/>
        <w:ind w:firstLine="270"/>
        <w:jc w:val="both"/>
        <w:rPr/>
      </w:pPr>
      <w:r>
        <w:rPr/>
      </w:r>
    </w:p>
    <w:p>
      <w:pPr>
        <w:pStyle w:val="Normal"/>
        <w:ind w:firstLine="225"/>
        <w:jc w:val="both"/>
        <w:rPr/>
      </w:pPr>
      <w:r>
        <w:rPr/>
        <w:t>5.50. Водосборный колодец при производительности водозабора до 150-200 л/с и в благоприятных гидрогеологических и гидрохимических условиях следует предусматривать односекционным; при производительности водозабора свыше 200 л/с водосборный колодец должен быть разделен на две секции.</w:t>
      </w:r>
    </w:p>
    <w:p>
      <w:pPr>
        <w:pStyle w:val="Normal"/>
        <w:ind w:firstLine="225"/>
        <w:jc w:val="both"/>
        <w:rPr/>
      </w:pPr>
      <w:r>
        <w:rPr/>
      </w:r>
    </w:p>
    <w:p>
      <w:pPr>
        <w:pStyle w:val="Normal"/>
        <w:ind w:firstLine="270"/>
        <w:jc w:val="both"/>
        <w:rPr/>
      </w:pPr>
      <w:r>
        <w:rPr/>
        <w:t>5.51. Лучи длиной 60 м и более следует принимать телескопической конструкции с уменьшением диаметра труб.</w:t>
      </w:r>
    </w:p>
    <w:p>
      <w:pPr>
        <w:pStyle w:val="Normal"/>
        <w:ind w:firstLine="270"/>
        <w:jc w:val="both"/>
        <w:rPr/>
      </w:pPr>
      <w:r>
        <w:rPr/>
      </w:r>
    </w:p>
    <w:p>
      <w:pPr>
        <w:pStyle w:val="Normal"/>
        <w:ind w:firstLine="225"/>
        <w:jc w:val="both"/>
        <w:rPr/>
      </w:pPr>
      <w:r>
        <w:rPr/>
        <w:t>5.52. При длине лучей меньше 30 м в однородных водоносных пластах угол между лучами должен быть не менее 30 град.</w:t>
      </w:r>
    </w:p>
    <w:p>
      <w:pPr>
        <w:pStyle w:val="Normal"/>
        <w:ind w:firstLine="270"/>
        <w:jc w:val="both"/>
        <w:rPr/>
      </w:pPr>
      <w:r>
        <w:rPr/>
      </w:r>
    </w:p>
    <w:p>
      <w:pPr>
        <w:pStyle w:val="Normal"/>
        <w:ind w:firstLine="225"/>
        <w:jc w:val="both"/>
        <w:rPr/>
      </w:pPr>
      <w:r>
        <w:rPr/>
        <w:t>5.53. Водоприемные лучи должны приниматься из стальных перфорированных или щелевых труб со скважностью не более 20%; на водоприемных лучах в водосборных колодцах следует предусматривать установку задвижек.</w:t>
      </w:r>
    </w:p>
    <w:p>
      <w:pPr>
        <w:pStyle w:val="Normal"/>
        <w:ind w:firstLine="45"/>
        <w:jc w:val="both"/>
        <w:rPr/>
      </w:pPr>
      <w:r>
        <w:rPr/>
      </w:r>
    </w:p>
    <w:p>
      <w:pPr>
        <w:pStyle w:val="Normal"/>
        <w:ind w:firstLine="180"/>
        <w:jc w:val="both"/>
        <w:rPr/>
      </w:pPr>
      <w:r>
        <w:rPr/>
      </w:r>
    </w:p>
    <w:p>
      <w:pPr>
        <w:pStyle w:val="Normal"/>
        <w:ind w:firstLine="270"/>
        <w:jc w:val="both"/>
        <w:rPr/>
      </w:pPr>
      <w:r>
        <w:rPr/>
      </w:r>
    </w:p>
    <w:p>
      <w:pPr>
        <w:pStyle w:val="Heading"/>
        <w:jc w:val="center"/>
        <w:rPr/>
      </w:pPr>
      <w:r>
        <w:rPr/>
        <w:t xml:space="preserve">Каптаж родников </w:t>
      </w:r>
    </w:p>
    <w:p>
      <w:pPr>
        <w:pStyle w:val="Normal"/>
        <w:ind w:firstLine="270"/>
        <w:jc w:val="both"/>
        <w:rPr/>
      </w:pPr>
      <w:r>
        <w:rPr/>
      </w:r>
    </w:p>
    <w:p>
      <w:pPr>
        <w:pStyle w:val="Normal"/>
        <w:ind w:firstLine="270"/>
        <w:jc w:val="both"/>
        <w:rPr/>
      </w:pPr>
      <w:r>
        <w:rPr/>
      </w:r>
    </w:p>
    <w:p>
      <w:pPr>
        <w:pStyle w:val="Normal"/>
        <w:ind w:firstLine="225"/>
        <w:jc w:val="both"/>
        <w:rPr/>
      </w:pPr>
      <w:r>
        <w:rPr/>
        <w:t>5.54. Каптажные устройства (водосборные камеры или неглубокие опускные колодцы) следует применять для захвата подземных вод из родников.</w:t>
      </w:r>
    </w:p>
    <w:p>
      <w:pPr>
        <w:pStyle w:val="Normal"/>
        <w:ind w:firstLine="225"/>
        <w:jc w:val="both"/>
        <w:rPr/>
      </w:pPr>
      <w:r>
        <w:rPr/>
      </w:r>
    </w:p>
    <w:p>
      <w:pPr>
        <w:pStyle w:val="Normal"/>
        <w:ind w:firstLine="225"/>
        <w:jc w:val="both"/>
        <w:rPr/>
      </w:pPr>
      <w:r>
        <w:rPr/>
        <w:t>5.55. Захват воды из восходящего родника следует осуществлять через дно каптажной камеры, из нисходящего - через отверстия в стене камеры.</w:t>
      </w:r>
    </w:p>
    <w:p>
      <w:pPr>
        <w:pStyle w:val="Normal"/>
        <w:ind w:firstLine="225"/>
        <w:jc w:val="both"/>
        <w:rPr/>
      </w:pPr>
      <w:r>
        <w:rPr/>
      </w:r>
    </w:p>
    <w:p>
      <w:pPr>
        <w:pStyle w:val="Normal"/>
        <w:ind w:firstLine="225"/>
        <w:jc w:val="both"/>
        <w:rPr/>
      </w:pPr>
      <w:r>
        <w:rPr/>
        <w:t>5.56. При каптаже родников из трещиноватых пород прием воды в каптажной камере допускается осуществлять без фильтров, а из рыхлых пород - через обратные фильтры.</w:t>
      </w:r>
    </w:p>
    <w:p>
      <w:pPr>
        <w:pStyle w:val="Normal"/>
        <w:ind w:firstLine="225"/>
        <w:jc w:val="both"/>
        <w:rPr/>
      </w:pPr>
      <w:r>
        <w:rPr/>
      </w:r>
    </w:p>
    <w:p>
      <w:pPr>
        <w:pStyle w:val="Normal"/>
        <w:ind w:firstLine="270"/>
        <w:jc w:val="both"/>
        <w:rPr/>
      </w:pPr>
      <w:r>
        <w:rPr/>
        <w:t>5.57. Каптажные камеры должны быть защищены от поверхностных загрязнений, промерзания и затопления поверхностными водами.</w:t>
      </w:r>
    </w:p>
    <w:p>
      <w:pPr>
        <w:pStyle w:val="Normal"/>
        <w:ind w:firstLine="225"/>
        <w:jc w:val="both"/>
        <w:rPr/>
      </w:pPr>
      <w:r>
        <w:rPr/>
      </w:r>
    </w:p>
    <w:p>
      <w:pPr>
        <w:pStyle w:val="Normal"/>
        <w:ind w:firstLine="270"/>
        <w:jc w:val="both"/>
        <w:rPr/>
      </w:pPr>
      <w:r>
        <w:rPr/>
        <w:t>5.58. В каптажной камере следует предусматривать переливную трубу, рассчитанную на наибольший дебит родника, с установкой на конце клапана-захлопки, вентиляционную трубу согласно п. 5.32 и спускную трубу диаметром не менее 100 мм.</w:t>
      </w:r>
    </w:p>
    <w:p>
      <w:pPr>
        <w:pStyle w:val="Normal"/>
        <w:ind w:firstLine="270"/>
        <w:jc w:val="both"/>
        <w:rPr/>
      </w:pPr>
      <w:r>
        <w:rPr/>
      </w:r>
    </w:p>
    <w:p>
      <w:pPr>
        <w:pStyle w:val="Normal"/>
        <w:ind w:firstLine="225"/>
        <w:jc w:val="both"/>
        <w:rPr/>
      </w:pPr>
      <w:r>
        <w:rPr/>
        <w:t>5.59. Для освобождения воды родника от взвеси каптажную камеру следует разделять переливной стенкой на два отделения: одно - для отстаивания воды с последующей очисткой его от осадка, второе - для забора воды насосом.</w:t>
      </w:r>
    </w:p>
    <w:p>
      <w:pPr>
        <w:pStyle w:val="Normal"/>
        <w:ind w:firstLine="225"/>
        <w:jc w:val="both"/>
        <w:rPr/>
      </w:pPr>
      <w:r>
        <w:rPr/>
      </w:r>
    </w:p>
    <w:p>
      <w:pPr>
        <w:pStyle w:val="Normal"/>
        <w:ind w:firstLine="270"/>
        <w:jc w:val="both"/>
        <w:rPr/>
      </w:pPr>
      <w:r>
        <w:rPr/>
        <w:t>5.60. При наличии вблизи нисходящего родника нескольких выходов воды каптажную камеру следует предусматривать с открылками.</w:t>
      </w:r>
    </w:p>
    <w:p>
      <w:pPr>
        <w:pStyle w:val="Normal"/>
        <w:ind w:firstLine="270"/>
        <w:jc w:val="both"/>
        <w:rPr/>
      </w:pPr>
      <w:r>
        <w:rPr/>
      </w:r>
    </w:p>
    <w:p>
      <w:pPr>
        <w:pStyle w:val="Normal"/>
        <w:ind w:firstLine="225"/>
        <w:jc w:val="both"/>
        <w:rPr/>
      </w:pPr>
      <w:r>
        <w:rPr/>
      </w:r>
    </w:p>
    <w:p>
      <w:pPr>
        <w:pStyle w:val="Heading"/>
        <w:jc w:val="center"/>
        <w:rPr/>
      </w:pPr>
      <w:r>
        <w:rPr/>
        <w:t>Искусственное пополнение</w:t>
      </w:r>
    </w:p>
    <w:p>
      <w:pPr>
        <w:pStyle w:val="Heading"/>
        <w:jc w:val="center"/>
        <w:rPr/>
      </w:pPr>
      <w:r>
        <w:rPr/>
        <w:t>запасов подземных вод</w:t>
      </w:r>
    </w:p>
    <w:p>
      <w:pPr>
        <w:pStyle w:val="Heading"/>
        <w:jc w:val="center"/>
        <w:rPr/>
      </w:pPr>
      <w:r>
        <w:rPr/>
      </w:r>
    </w:p>
    <w:p>
      <w:pPr>
        <w:pStyle w:val="Heading"/>
        <w:jc w:val="center"/>
        <w:rPr/>
      </w:pPr>
      <w:r>
        <w:rPr/>
      </w:r>
    </w:p>
    <w:p>
      <w:pPr>
        <w:pStyle w:val="Normal"/>
        <w:ind w:firstLine="270"/>
        <w:jc w:val="both"/>
        <w:rPr/>
      </w:pPr>
      <w:r>
        <w:rPr/>
        <w:t>5.61. Искусственное пополнение подземных вод следует принимать для:</w:t>
      </w:r>
    </w:p>
    <w:p>
      <w:pPr>
        <w:pStyle w:val="Normal"/>
        <w:ind w:firstLine="270"/>
        <w:jc w:val="both"/>
        <w:rPr/>
      </w:pPr>
      <w:r>
        <w:rPr/>
      </w:r>
    </w:p>
    <w:p>
      <w:pPr>
        <w:pStyle w:val="Normal"/>
        <w:ind w:firstLine="225"/>
        <w:jc w:val="both"/>
        <w:rPr/>
      </w:pPr>
      <w:r>
        <w:rPr/>
        <w:t>увеличения производительности и обеспечения стабильной работы действующих и проектируемых водозаборов подземных вод;</w:t>
      </w:r>
    </w:p>
    <w:p>
      <w:pPr>
        <w:pStyle w:val="Normal"/>
        <w:ind w:firstLine="135"/>
        <w:jc w:val="both"/>
        <w:rPr/>
      </w:pPr>
      <w:r>
        <w:rPr/>
      </w:r>
    </w:p>
    <w:p>
      <w:pPr>
        <w:pStyle w:val="Normal"/>
        <w:ind w:firstLine="225"/>
        <w:jc w:val="both"/>
        <w:rPr/>
      </w:pPr>
      <w:r>
        <w:rPr/>
        <w:t xml:space="preserve">улучшения качества инфильтруемых и отбираемых подземных вод; </w:t>
      </w:r>
    </w:p>
    <w:p>
      <w:pPr>
        <w:pStyle w:val="Normal"/>
        <w:ind w:firstLine="225"/>
        <w:jc w:val="both"/>
        <w:rPr/>
      </w:pPr>
      <w:r>
        <w:rPr/>
      </w:r>
    </w:p>
    <w:p>
      <w:pPr>
        <w:pStyle w:val="Normal"/>
        <w:ind w:firstLine="225"/>
        <w:jc w:val="both"/>
        <w:rPr/>
      </w:pPr>
      <w:r>
        <w:rPr/>
        <w:t xml:space="preserve">создания сезонных запасов подземных вод; </w:t>
      </w:r>
    </w:p>
    <w:p>
      <w:pPr>
        <w:pStyle w:val="Normal"/>
        <w:ind w:firstLine="225"/>
        <w:jc w:val="both"/>
        <w:rPr/>
      </w:pPr>
      <w:r>
        <w:rPr/>
      </w:r>
    </w:p>
    <w:p>
      <w:pPr>
        <w:pStyle w:val="Normal"/>
        <w:ind w:firstLine="270"/>
        <w:jc w:val="both"/>
        <w:rPr/>
      </w:pPr>
      <w:r>
        <w:rPr/>
        <w:t>охраны окружающей среды (предотвращение недопускаемого понижения уровня грунтовых вод, приводящего к гибели растительности).</w:t>
      </w:r>
    </w:p>
    <w:p>
      <w:pPr>
        <w:pStyle w:val="Normal"/>
        <w:ind w:firstLine="270"/>
        <w:jc w:val="both"/>
        <w:rPr/>
      </w:pPr>
      <w:r>
        <w:rPr/>
      </w:r>
    </w:p>
    <w:p>
      <w:pPr>
        <w:pStyle w:val="Normal"/>
        <w:ind w:firstLine="225"/>
        <w:jc w:val="both"/>
        <w:rPr/>
      </w:pPr>
      <w:r>
        <w:rPr/>
        <w:t>5.62. Для пополнения запасов подземных вод эксплуатируемых водоносных пластов должны использоваться поверхностные и подземные воды.</w:t>
      </w:r>
    </w:p>
    <w:p>
      <w:pPr>
        <w:pStyle w:val="Normal"/>
        <w:ind w:firstLine="225"/>
        <w:jc w:val="both"/>
        <w:rPr/>
      </w:pPr>
      <w:r>
        <w:rPr/>
      </w:r>
    </w:p>
    <w:p>
      <w:pPr>
        <w:pStyle w:val="Normal"/>
        <w:ind w:firstLine="270"/>
        <w:jc w:val="both"/>
        <w:rPr/>
      </w:pPr>
      <w:r>
        <w:rPr/>
        <w:t>5.63. Пополнение запасов подземных вод следует предусматривать через инфильтрационные сооружения открытого и закрытого типов.</w:t>
      </w:r>
    </w:p>
    <w:p>
      <w:pPr>
        <w:pStyle w:val="Normal"/>
        <w:ind w:firstLine="225"/>
        <w:jc w:val="both"/>
        <w:rPr/>
      </w:pPr>
      <w:r>
        <w:rPr/>
      </w:r>
    </w:p>
    <w:p>
      <w:pPr>
        <w:pStyle w:val="Normal"/>
        <w:ind w:firstLine="270"/>
        <w:jc w:val="both"/>
        <w:rPr/>
      </w:pPr>
      <w:r>
        <w:rPr/>
        <w:t>5.64. В качестве инфильтрационных сооружений открытого типа следует применять: бассейны, естественные и искусственные понижения рельефа (овраги, балки, старицы, карьеры).</w:t>
      </w:r>
    </w:p>
    <w:p>
      <w:pPr>
        <w:pStyle w:val="Normal"/>
        <w:ind w:firstLine="225"/>
        <w:jc w:val="both"/>
        <w:rPr/>
      </w:pPr>
      <w:r>
        <w:rPr/>
      </w:r>
    </w:p>
    <w:p>
      <w:pPr>
        <w:pStyle w:val="Normal"/>
        <w:ind w:firstLine="270"/>
        <w:jc w:val="both"/>
        <w:rPr/>
      </w:pPr>
      <w:r>
        <w:rPr/>
        <w:t>5.65. Открытые инфильтрационные сооружения надлежит принимать для пополнения запасов подземных вод первого от поверхности водоносного пласта при отсутствии или малой мощности (до 3 м) покровных слабопроницаемых отложений.</w:t>
      </w:r>
    </w:p>
    <w:p>
      <w:pPr>
        <w:pStyle w:val="Normal"/>
        <w:ind w:firstLine="225"/>
        <w:jc w:val="both"/>
        <w:rPr/>
      </w:pPr>
      <w:r>
        <w:rPr/>
      </w:r>
    </w:p>
    <w:p>
      <w:pPr>
        <w:pStyle w:val="Normal"/>
        <w:ind w:firstLine="270"/>
        <w:jc w:val="both"/>
        <w:rPr/>
      </w:pPr>
      <w:r>
        <w:rPr/>
        <w:t>5.66. При проектировании инфильтрационных бассейнов следует предусматривать:</w:t>
      </w:r>
    </w:p>
    <w:p>
      <w:pPr>
        <w:pStyle w:val="Normal"/>
        <w:ind w:firstLine="270"/>
        <w:jc w:val="both"/>
        <w:rPr/>
      </w:pPr>
      <w:r>
        <w:rPr/>
      </w:r>
    </w:p>
    <w:p>
      <w:pPr>
        <w:pStyle w:val="Normal"/>
        <w:ind w:firstLine="225"/>
        <w:jc w:val="both"/>
        <w:rPr/>
      </w:pPr>
      <w:r>
        <w:rPr/>
        <w:t>врезку днища в хорошо фильтрующие породы на глубину не менее 0,5 м;</w:t>
      </w:r>
    </w:p>
    <w:p>
      <w:pPr>
        <w:pStyle w:val="Normal"/>
        <w:ind w:firstLine="225"/>
        <w:jc w:val="both"/>
        <w:rPr/>
      </w:pPr>
      <w:r>
        <w:rPr/>
      </w:r>
    </w:p>
    <w:p>
      <w:pPr>
        <w:pStyle w:val="Normal"/>
        <w:ind w:firstLine="225"/>
        <w:jc w:val="both"/>
        <w:rPr/>
      </w:pPr>
      <w:r>
        <w:rPr/>
        <w:t>укрепление дна в месте выпуска воды и предохранение откосов от размыва;</w:t>
      </w:r>
    </w:p>
    <w:p>
      <w:pPr>
        <w:pStyle w:val="Normal"/>
        <w:ind w:firstLine="225"/>
        <w:jc w:val="both"/>
        <w:rPr/>
      </w:pPr>
      <w:r>
        <w:rPr/>
      </w:r>
    </w:p>
    <w:p>
      <w:pPr>
        <w:pStyle w:val="Normal"/>
        <w:ind w:firstLine="225"/>
        <w:jc w:val="both"/>
        <w:rPr/>
      </w:pPr>
      <w:r>
        <w:rPr/>
        <w:t>устройства для регулирования и измерения расхода воды, подаваемой на инфильтрационные сооружения;</w:t>
      </w:r>
    </w:p>
    <w:p>
      <w:pPr>
        <w:pStyle w:val="Normal"/>
        <w:ind w:firstLine="90"/>
        <w:jc w:val="both"/>
        <w:rPr/>
      </w:pPr>
      <w:r>
        <w:rPr/>
      </w:r>
    </w:p>
    <w:p>
      <w:pPr>
        <w:pStyle w:val="Normal"/>
        <w:ind w:firstLine="270"/>
        <w:jc w:val="both"/>
        <w:rPr/>
      </w:pPr>
      <w:r>
        <w:rPr/>
        <w:t>подъездные пути и съезды для машин и механизмов.</w:t>
      </w:r>
    </w:p>
    <w:p>
      <w:pPr>
        <w:pStyle w:val="Normal"/>
        <w:ind w:firstLine="225"/>
        <w:jc w:val="both"/>
        <w:rPr/>
      </w:pPr>
      <w:r>
        <w:rPr/>
      </w:r>
    </w:p>
    <w:p>
      <w:pPr>
        <w:pStyle w:val="Normal"/>
        <w:ind w:firstLine="270"/>
        <w:jc w:val="both"/>
        <w:rPr/>
      </w:pPr>
      <w:r>
        <w:rPr/>
        <w:t>5.67. Ширина по дну инфильтрационных бассейнов должна быть не более 30 м, длина бассейнов - не более 500 м, слой воды - 0,7-2,5 м, количество - не менее двух.</w:t>
      </w:r>
    </w:p>
    <w:p>
      <w:pPr>
        <w:pStyle w:val="Normal"/>
        <w:ind w:firstLine="225"/>
        <w:jc w:val="both"/>
        <w:rPr/>
      </w:pPr>
      <w:r>
        <w:rPr/>
      </w:r>
    </w:p>
    <w:p>
      <w:pPr>
        <w:pStyle w:val="Normal"/>
        <w:ind w:firstLine="270"/>
        <w:jc w:val="both"/>
        <w:rPr/>
      </w:pPr>
      <w:r>
        <w:rPr/>
        <w:t>5.68. Подачу воды в бассейны следует предусматривать через разбрызгивающие устройства или каскад со свободным изливом.</w:t>
      </w:r>
    </w:p>
    <w:p>
      <w:pPr>
        <w:pStyle w:val="Normal"/>
        <w:ind w:firstLine="225"/>
        <w:jc w:val="both"/>
        <w:rPr/>
      </w:pPr>
      <w:r>
        <w:rPr/>
      </w:r>
    </w:p>
    <w:p>
      <w:pPr>
        <w:pStyle w:val="Normal"/>
        <w:ind w:firstLine="270"/>
        <w:jc w:val="both"/>
        <w:rPr/>
      </w:pPr>
      <w:r>
        <w:rPr/>
        <w:t>5.69. При устройстве бассейнов в гравийно-галечниковых отложениях с крупным заполнителем следует предусматривать загрузку дна крупнозернистым песком толщиной слоя 0,5-0,7 м.</w:t>
      </w:r>
    </w:p>
    <w:p>
      <w:pPr>
        <w:pStyle w:val="Normal"/>
        <w:ind w:firstLine="225"/>
        <w:jc w:val="both"/>
        <w:rPr/>
      </w:pPr>
      <w:r>
        <w:rPr/>
      </w:r>
    </w:p>
    <w:p>
      <w:pPr>
        <w:pStyle w:val="Normal"/>
        <w:ind w:firstLine="270"/>
        <w:jc w:val="both"/>
        <w:rPr/>
      </w:pPr>
      <w:r>
        <w:rPr/>
        <w:t>5.70. При использовании естественных понижений рельефа должна предусматриваться подготовка фильтрующей поверхности.</w:t>
      </w:r>
    </w:p>
    <w:p>
      <w:pPr>
        <w:pStyle w:val="Normal"/>
        <w:ind w:firstLine="225"/>
        <w:jc w:val="both"/>
        <w:rPr/>
      </w:pPr>
      <w:r>
        <w:rPr/>
      </w:r>
    </w:p>
    <w:p>
      <w:pPr>
        <w:pStyle w:val="Normal"/>
        <w:ind w:firstLine="270"/>
        <w:jc w:val="both"/>
        <w:rPr/>
      </w:pPr>
      <w:r>
        <w:rPr/>
        <w:t>5.71. В качестве инфильтрационных сооружений закрытого типа следует применять скважины (поглощающие и дренажно-поглощающие) и шахтные колодцы.</w:t>
      </w:r>
    </w:p>
    <w:p>
      <w:pPr>
        <w:pStyle w:val="Normal"/>
        <w:ind w:firstLine="225"/>
        <w:jc w:val="both"/>
        <w:rPr/>
      </w:pPr>
      <w:r>
        <w:rPr/>
      </w:r>
    </w:p>
    <w:p>
      <w:pPr>
        <w:pStyle w:val="Normal"/>
        <w:ind w:firstLine="270"/>
        <w:jc w:val="both"/>
        <w:rPr/>
      </w:pPr>
      <w:r>
        <w:rPr/>
        <w:t>5.72. При проектировании поглощающих и дренажно-поглощающих скважин и шахтных колодцев необходимо предусматривать устройства для измерения и регулирования расходов подаваемой воды и измерения динамических уровней воды в сооружениях и водоносном пласте.</w:t>
      </w:r>
    </w:p>
    <w:p>
      <w:pPr>
        <w:pStyle w:val="Normal"/>
        <w:ind w:firstLine="225"/>
        <w:jc w:val="both"/>
        <w:rPr/>
      </w:pPr>
      <w:r>
        <w:rPr/>
      </w:r>
    </w:p>
    <w:p>
      <w:pPr>
        <w:pStyle w:val="Normal"/>
        <w:ind w:firstLine="270"/>
        <w:jc w:val="both"/>
        <w:rPr/>
      </w:pPr>
      <w:r>
        <w:rPr/>
        <w:t>5.73. Конструкция инфильтрационных сооружений должна обеспечивать возможность восстановления их производительности на открытых инфильтрационных сооружениях путем механического или гидравлического съема закальматированного слоя с фильтрующей поверхности, на закрытых - методами, применяемыми для регенерации водозаборных скважин.</w:t>
      </w:r>
    </w:p>
    <w:p>
      <w:pPr>
        <w:pStyle w:val="Normal"/>
        <w:ind w:firstLine="270"/>
        <w:jc w:val="both"/>
        <w:rPr/>
      </w:pPr>
      <w:r>
        <w:rPr/>
      </w:r>
    </w:p>
    <w:p>
      <w:pPr>
        <w:pStyle w:val="Normal"/>
        <w:ind w:firstLine="270"/>
        <w:jc w:val="both"/>
        <w:rPr/>
      </w:pPr>
      <w:r>
        <w:rPr/>
        <w:t>Примечание. Опорожнение и регенерация открытых инфильтрационных сооружений в период отрицательных температур не допускаются.</w:t>
      </w:r>
    </w:p>
    <w:p>
      <w:pPr>
        <w:pStyle w:val="Normal"/>
        <w:ind w:firstLine="270"/>
        <w:jc w:val="both"/>
        <w:rPr/>
      </w:pPr>
      <w:r>
        <w:rPr/>
      </w:r>
    </w:p>
    <w:p>
      <w:pPr>
        <w:pStyle w:val="Normal"/>
        <w:ind w:firstLine="270"/>
        <w:jc w:val="both"/>
        <w:rPr/>
      </w:pPr>
      <w:r>
        <w:rPr/>
        <w:t>5.74. Выбор схемы размещения инфильтрационных сооружений, определение их количества и производительности должны производиться на основе комплексных гидрогеологических и технико-экономических расчетов с учетом назначения искусственного пополнения запасов подземных вод, схемы размещения водозаборных сооружений, качества подаваемой воды и особенностей эксплуатации инфильтрационных и водозаборных сооружений.</w:t>
      </w:r>
    </w:p>
    <w:p>
      <w:pPr>
        <w:pStyle w:val="Normal"/>
        <w:ind w:firstLine="270"/>
        <w:jc w:val="both"/>
        <w:rPr/>
      </w:pPr>
      <w:r>
        <w:rPr/>
      </w:r>
    </w:p>
    <w:p>
      <w:pPr>
        <w:pStyle w:val="Normal"/>
        <w:ind w:firstLine="270"/>
        <w:jc w:val="both"/>
        <w:rPr/>
      </w:pPr>
      <w:r>
        <w:rPr/>
        <w:t>5.75. Расстояния между инфильтрационными и водозаборными сооружениями должны приниматься на основе прогноза качества отбираемой воды с учетом доочистки подаваемой на инфильтрацию воды и смешения ее с подземными водами.</w:t>
      </w:r>
    </w:p>
    <w:p>
      <w:pPr>
        <w:pStyle w:val="Normal"/>
        <w:ind w:firstLine="225"/>
        <w:jc w:val="both"/>
        <w:rPr/>
      </w:pPr>
      <w:r>
        <w:rPr/>
      </w:r>
    </w:p>
    <w:p>
      <w:pPr>
        <w:pStyle w:val="Normal"/>
        <w:ind w:firstLine="270"/>
        <w:jc w:val="both"/>
        <w:rPr/>
      </w:pPr>
      <w:r>
        <w:rPr/>
        <w:t>5.76. Качество воды, используемой для искусственного пополнения, должно отвечать требованиям ГОСТ 2761- 84.</w:t>
      </w:r>
    </w:p>
    <w:p>
      <w:pPr>
        <w:pStyle w:val="Normal"/>
        <w:ind w:firstLine="270"/>
        <w:jc w:val="both"/>
        <w:rPr/>
      </w:pPr>
      <w:r>
        <w:rPr/>
      </w:r>
    </w:p>
    <w:p>
      <w:pPr>
        <w:pStyle w:val="Normal"/>
        <w:ind w:firstLine="225"/>
        <w:jc w:val="both"/>
        <w:rPr/>
      </w:pPr>
      <w:r>
        <w:rPr/>
        <w:t>5.77. Качество воды, подаваемой на инфильтрационные сооружения систем хозяйственно-питьевого водоснабжения, должно с учетом ее доочистки при инфильтрации в водоносный пласт и смешения с подземными водами отвечать требованиям ГОСТ 2874-82.</w:t>
      </w:r>
    </w:p>
    <w:p>
      <w:pPr>
        <w:pStyle w:val="Normal"/>
        <w:ind w:firstLine="270"/>
        <w:jc w:val="both"/>
        <w:rPr/>
      </w:pPr>
      <w:r>
        <w:rPr/>
      </w:r>
    </w:p>
    <w:p>
      <w:pPr>
        <w:pStyle w:val="Normal"/>
        <w:jc w:val="center"/>
        <w:rPr/>
      </w:pPr>
      <w:r>
        <w:rPr/>
      </w:r>
    </w:p>
    <w:p>
      <w:pPr>
        <w:pStyle w:val="Heading"/>
        <w:jc w:val="center"/>
        <w:rPr/>
      </w:pPr>
      <w:r>
        <w:rPr/>
        <w:t>СООРУЖЕНИЯ ДЛЯ ЗАБОРА</w:t>
      </w:r>
    </w:p>
    <w:p>
      <w:pPr>
        <w:pStyle w:val="Heading"/>
        <w:jc w:val="center"/>
        <w:rPr/>
      </w:pPr>
      <w:r>
        <w:rPr/>
        <w:t>ПОВЕРХНОСТНОЙ ВОДЫ</w:t>
      </w:r>
    </w:p>
    <w:p>
      <w:pPr>
        <w:pStyle w:val="Heading"/>
        <w:jc w:val="center"/>
        <w:rPr/>
      </w:pPr>
      <w:r>
        <w:rPr/>
      </w:r>
    </w:p>
    <w:p>
      <w:pPr>
        <w:pStyle w:val="Normal"/>
        <w:ind w:firstLine="270"/>
        <w:jc w:val="both"/>
        <w:rPr/>
      </w:pPr>
      <w:r>
        <w:rPr/>
      </w:r>
    </w:p>
    <w:p>
      <w:pPr>
        <w:pStyle w:val="Normal"/>
        <w:ind w:firstLine="225"/>
        <w:jc w:val="both"/>
        <w:rPr/>
      </w:pPr>
      <w:r>
        <w:rPr/>
        <w:t>5.78. Водозаборные сооружения (водозаборы) должны:</w:t>
      </w:r>
    </w:p>
    <w:p>
      <w:pPr>
        <w:pStyle w:val="Normal"/>
        <w:ind w:firstLine="225"/>
        <w:jc w:val="both"/>
        <w:rPr/>
      </w:pPr>
      <w:r>
        <w:rPr/>
      </w:r>
    </w:p>
    <w:p>
      <w:pPr>
        <w:pStyle w:val="Normal"/>
        <w:ind w:firstLine="225"/>
        <w:jc w:val="both"/>
        <w:rPr/>
      </w:pPr>
      <w:r>
        <w:rPr/>
        <w:t>обеспечивать забор из водоисточника расчетного расхода воды и подачу его потребителю;</w:t>
      </w:r>
    </w:p>
    <w:p>
      <w:pPr>
        <w:pStyle w:val="Normal"/>
        <w:ind w:firstLine="225"/>
        <w:jc w:val="both"/>
        <w:rPr/>
      </w:pPr>
      <w:r>
        <w:rPr/>
      </w:r>
    </w:p>
    <w:p>
      <w:pPr>
        <w:pStyle w:val="Normal"/>
        <w:ind w:firstLine="225"/>
        <w:jc w:val="both"/>
        <w:rPr/>
      </w:pPr>
      <w:r>
        <w:rPr/>
        <w:t>защищать систему водоснабжения от биологических обрастаний и от попадания в нее наносов, сора, планктона, шугольда и др.;</w:t>
      </w:r>
    </w:p>
    <w:p>
      <w:pPr>
        <w:pStyle w:val="Normal"/>
        <w:ind w:firstLine="225"/>
        <w:jc w:val="both"/>
        <w:rPr/>
      </w:pPr>
      <w:r>
        <w:rPr/>
      </w:r>
    </w:p>
    <w:p>
      <w:pPr>
        <w:pStyle w:val="Normal"/>
        <w:ind w:firstLine="225"/>
        <w:jc w:val="both"/>
        <w:rPr/>
      </w:pPr>
      <w:r>
        <w:rPr/>
        <w:t>на водоемах рыбохозяйственного значения удовлетворять требованиям органов охраны рыбных запасов.</w:t>
      </w:r>
    </w:p>
    <w:p>
      <w:pPr>
        <w:pStyle w:val="Normal"/>
        <w:ind w:firstLine="225"/>
        <w:jc w:val="both"/>
        <w:rPr/>
      </w:pPr>
      <w:r>
        <w:rPr/>
      </w:r>
    </w:p>
    <w:p>
      <w:pPr>
        <w:pStyle w:val="Normal"/>
        <w:ind w:firstLine="225"/>
        <w:jc w:val="both"/>
        <w:rPr/>
      </w:pPr>
      <w:r>
        <w:rPr/>
        <w:t>5.79. Водозаборы по степени обеспеченности подачи воды следует подразделять на три категории согласно п. 4.4.</w:t>
      </w:r>
    </w:p>
    <w:p>
      <w:pPr>
        <w:pStyle w:val="Normal"/>
        <w:ind w:firstLine="225"/>
        <w:jc w:val="both"/>
        <w:rPr/>
      </w:pPr>
      <w:r>
        <w:rPr/>
      </w:r>
    </w:p>
    <w:p>
      <w:pPr>
        <w:pStyle w:val="Normal"/>
        <w:ind w:firstLine="270"/>
        <w:jc w:val="both"/>
        <w:rPr/>
      </w:pPr>
      <w:r>
        <w:rPr/>
        <w:t>5.80. Конструктивная схема водозабора должна приниматься в зависимости от требуемой категории, гидрологической характеристики водоисточника с учетом максимальных и минимальных уровней воды, указанных в табл. 11, а также требований органов по регулированию использования и охране вод, санитарно-эпидемиологической службы, охраны рыбных запасов и водного транспорта.</w:t>
      </w:r>
    </w:p>
    <w:p>
      <w:pPr>
        <w:pStyle w:val="Normal"/>
        <w:ind w:firstLine="270"/>
        <w:jc w:val="both"/>
        <w:rPr/>
      </w:pPr>
      <w:r>
        <w:rPr/>
      </w:r>
    </w:p>
    <w:p>
      <w:pPr>
        <w:pStyle w:val="Normal"/>
        <w:jc w:val="end"/>
        <w:rPr/>
      </w:pPr>
      <w:r>
        <w:rPr/>
        <w:t xml:space="preserve">Таблица 11 </w:t>
      </w:r>
    </w:p>
    <w:p>
      <w:pPr>
        <w:pStyle w:val="Normal"/>
        <w:ind w:firstLine="270"/>
        <w:jc w:val="both"/>
        <w:rPr/>
      </w:pPr>
      <w:r>
        <w:rPr/>
      </w:r>
    </w:p>
    <w:p>
      <w:pPr>
        <w:pStyle w:val="Normal"/>
        <w:ind w:firstLine="270"/>
        <w:jc w:val="both"/>
        <w:rPr/>
      </w:pPr>
      <w:r>
        <w:rPr/>
      </w:r>
    </w:p>
    <w:tbl>
      <w:tblPr>
        <w:tblW w:w="6350"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2145"/>
        <w:gridCol w:w="2145"/>
        <w:gridCol w:w="2045"/>
        <w:gridCol w:w="15"/>
      </w:tblGrid>
      <w:tr>
        <w:trPr/>
        <w:tc>
          <w:tcPr>
            <w:tcW w:w="2145" w:type="dxa"/>
            <w:tcBorders>
              <w:top w:val="single" w:sz="2" w:space="0" w:color="000000"/>
              <w:start w:val="single" w:sz="2" w:space="0" w:color="000000"/>
            </w:tcBorders>
            <w:shd w:fill="auto" w:val="clear"/>
            <w:tcMar>
              <w:start w:w="102" w:type="dxa"/>
            </w:tcMar>
          </w:tcPr>
          <w:p>
            <w:pPr>
              <w:pStyle w:val="Normal"/>
              <w:jc w:val="center"/>
              <w:rPr/>
            </w:pPr>
            <w:r>
              <w:rPr>
                <w:vanish/>
              </w:rPr>
              <w:t>#G0</w:t>
            </w:r>
            <w:r>
              <w:rPr/>
              <w:t>Категория</w:t>
            </w:r>
          </w:p>
          <w:p>
            <w:pPr>
              <w:pStyle w:val="Normal"/>
              <w:jc w:val="center"/>
              <w:rPr/>
            </w:pPr>
            <w:r>
              <w:rPr/>
              <w:t xml:space="preserve">водозаборов </w:t>
            </w:r>
          </w:p>
          <w:p>
            <w:pPr>
              <w:pStyle w:val="Normal"/>
              <w:jc w:val="center"/>
              <w:rPr/>
            </w:pPr>
            <w:r>
              <w:rPr/>
            </w:r>
          </w:p>
        </w:tc>
        <w:tc>
          <w:tcPr>
            <w:tcW w:w="4205" w:type="dxa"/>
            <w:gridSpan w:val="2"/>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Обеспеченность расчетных уровней воды </w:t>
            </w:r>
          </w:p>
          <w:p>
            <w:pPr>
              <w:pStyle w:val="Normal"/>
              <w:rPr/>
            </w:pPr>
            <w:r>
              <w:rPr/>
              <w:t>в поверхностных источниках, %</w:t>
            </w:r>
          </w:p>
          <w:p>
            <w:pPr>
              <w:pStyle w:val="Normal"/>
              <w:rPr/>
            </w:pPr>
            <w:r>
              <w:rPr/>
            </w:r>
          </w:p>
        </w:tc>
      </w:tr>
      <w:tr>
        <w:trPr/>
        <w:tc>
          <w:tcPr>
            <w:tcW w:w="214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214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максимальный </w:t>
            </w:r>
          </w:p>
          <w:p>
            <w:pPr>
              <w:pStyle w:val="Normal"/>
              <w:jc w:val="center"/>
              <w:rPr/>
            </w:pPr>
            <w:r>
              <w:rPr/>
            </w:r>
          </w:p>
        </w:tc>
        <w:tc>
          <w:tcPr>
            <w:tcW w:w="204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минимальный </w:t>
            </w:r>
          </w:p>
          <w:p>
            <w:pPr>
              <w:pStyle w:val="Normal"/>
              <w:rPr/>
            </w:pPr>
            <w:r>
              <w:rPr/>
            </w:r>
          </w:p>
        </w:tc>
      </w:tr>
      <w:tr>
        <w:trPr/>
        <w:tc>
          <w:tcPr>
            <w:tcW w:w="2145" w:type="dxa"/>
            <w:tcBorders>
              <w:start w:val="single" w:sz="2" w:space="0" w:color="000000"/>
            </w:tcBorders>
            <w:shd w:fill="auto" w:val="clear"/>
            <w:tcMar>
              <w:start w:w="102" w:type="dxa"/>
            </w:tcMar>
          </w:tcPr>
          <w:p>
            <w:pPr>
              <w:pStyle w:val="Normal"/>
              <w:rPr/>
            </w:pPr>
            <w:r>
              <w:rPr/>
              <w:t xml:space="preserve">I </w:t>
            </w:r>
          </w:p>
          <w:p>
            <w:pPr>
              <w:pStyle w:val="Normal"/>
              <w:rPr/>
            </w:pPr>
            <w:r>
              <w:rPr/>
            </w:r>
          </w:p>
        </w:tc>
        <w:tc>
          <w:tcPr>
            <w:tcW w:w="2145" w:type="dxa"/>
            <w:tcBorders>
              <w:start w:val="single" w:sz="2" w:space="0" w:color="000000"/>
            </w:tcBorders>
            <w:shd w:fill="auto" w:val="clear"/>
            <w:tcMar>
              <w:start w:w="102" w:type="dxa"/>
            </w:tcMar>
          </w:tcPr>
          <w:p>
            <w:pPr>
              <w:pStyle w:val="Normal"/>
              <w:rPr/>
            </w:pPr>
            <w:r>
              <w:rPr/>
              <w:t xml:space="preserve">1 </w:t>
            </w:r>
          </w:p>
          <w:p>
            <w:pPr>
              <w:pStyle w:val="Normal"/>
              <w:rPr/>
            </w:pPr>
            <w:r>
              <w:rPr/>
            </w:r>
          </w:p>
        </w:tc>
        <w:tc>
          <w:tcPr>
            <w:tcW w:w="204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97 </w:t>
            </w:r>
          </w:p>
          <w:p>
            <w:pPr>
              <w:pStyle w:val="Normal"/>
              <w:rPr/>
            </w:pPr>
            <w:r>
              <w:rPr/>
            </w:r>
          </w:p>
        </w:tc>
      </w:tr>
      <w:tr>
        <w:trPr/>
        <w:tc>
          <w:tcPr>
            <w:tcW w:w="2145" w:type="dxa"/>
            <w:tcBorders>
              <w:start w:val="single" w:sz="2" w:space="0" w:color="000000"/>
            </w:tcBorders>
            <w:shd w:fill="auto" w:val="clear"/>
            <w:tcMar>
              <w:start w:w="102" w:type="dxa"/>
            </w:tcMar>
          </w:tcPr>
          <w:p>
            <w:pPr>
              <w:pStyle w:val="Normal"/>
              <w:rPr/>
            </w:pPr>
            <w:r>
              <w:rPr/>
              <w:t xml:space="preserve">II </w:t>
            </w:r>
          </w:p>
          <w:p>
            <w:pPr>
              <w:pStyle w:val="Normal"/>
              <w:rPr/>
            </w:pPr>
            <w:r>
              <w:rPr/>
            </w:r>
          </w:p>
        </w:tc>
        <w:tc>
          <w:tcPr>
            <w:tcW w:w="2145" w:type="dxa"/>
            <w:tcBorders>
              <w:start w:val="single" w:sz="2" w:space="0" w:color="000000"/>
            </w:tcBorders>
            <w:shd w:fill="auto" w:val="clear"/>
            <w:tcMar>
              <w:start w:w="102" w:type="dxa"/>
            </w:tcMar>
          </w:tcPr>
          <w:p>
            <w:pPr>
              <w:pStyle w:val="Normal"/>
              <w:rPr/>
            </w:pPr>
            <w:r>
              <w:rPr/>
              <w:t xml:space="preserve">3 </w:t>
            </w:r>
          </w:p>
          <w:p>
            <w:pPr>
              <w:pStyle w:val="Normal"/>
              <w:rPr/>
            </w:pPr>
            <w:r>
              <w:rPr/>
            </w:r>
          </w:p>
        </w:tc>
        <w:tc>
          <w:tcPr>
            <w:tcW w:w="204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95 </w:t>
            </w:r>
          </w:p>
          <w:p>
            <w:pPr>
              <w:pStyle w:val="Normal"/>
              <w:rPr/>
            </w:pPr>
            <w:r>
              <w:rPr/>
            </w:r>
          </w:p>
        </w:tc>
      </w:tr>
      <w:tr>
        <w:trPr/>
        <w:tc>
          <w:tcPr>
            <w:tcW w:w="214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III </w:t>
            </w:r>
          </w:p>
          <w:p>
            <w:pPr>
              <w:pStyle w:val="Normal"/>
              <w:rPr/>
            </w:pPr>
            <w:r>
              <w:rPr/>
            </w:r>
          </w:p>
        </w:tc>
        <w:tc>
          <w:tcPr>
            <w:tcW w:w="214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5 </w:t>
            </w:r>
          </w:p>
          <w:p>
            <w:pPr>
              <w:pStyle w:val="Normal"/>
              <w:rPr/>
            </w:pPr>
            <w:r>
              <w:rPr/>
            </w:r>
          </w:p>
        </w:tc>
        <w:tc>
          <w:tcPr>
            <w:tcW w:w="204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90 </w:t>
            </w:r>
          </w:p>
          <w:p>
            <w:pPr>
              <w:pStyle w:val="Normal"/>
              <w:rPr/>
            </w:pPr>
            <w:r>
              <w:rPr/>
            </w:r>
          </w:p>
        </w:tc>
      </w:tr>
    </w:tbl>
    <w:p>
      <w:pPr>
        <w:pStyle w:val="Normal"/>
        <w:jc w:val="both"/>
        <w:rPr/>
      </w:pPr>
      <w:r>
        <w:rPr/>
      </w:r>
    </w:p>
    <w:p>
      <w:pPr>
        <w:pStyle w:val="Normal"/>
        <w:ind w:firstLine="225"/>
        <w:jc w:val="both"/>
        <w:rPr/>
      </w:pPr>
      <w:r>
        <w:rPr/>
        <w:t xml:space="preserve">5.81. Класс основных сооружений водозабора устанавливается в соответствии с его категорией. </w:t>
      </w:r>
    </w:p>
    <w:p>
      <w:pPr>
        <w:pStyle w:val="Normal"/>
        <w:ind w:firstLine="225"/>
        <w:jc w:val="both"/>
        <w:rPr/>
      </w:pPr>
      <w:r>
        <w:rPr/>
      </w:r>
    </w:p>
    <w:p>
      <w:pPr>
        <w:pStyle w:val="Normal"/>
        <w:ind w:firstLine="225"/>
        <w:jc w:val="both"/>
        <w:rPr/>
      </w:pPr>
      <w:r>
        <w:rPr/>
        <w:t>Класс второстепенных сооружений водозабора принимается на единицу меньше.</w:t>
      </w:r>
    </w:p>
    <w:p>
      <w:pPr>
        <w:pStyle w:val="Normal"/>
        <w:ind w:firstLine="270"/>
        <w:jc w:val="both"/>
        <w:rPr/>
      </w:pPr>
      <w:r>
        <w:rPr/>
      </w:r>
    </w:p>
    <w:p>
      <w:pPr>
        <w:pStyle w:val="Normal"/>
        <w:ind w:firstLine="270"/>
        <w:jc w:val="both"/>
        <w:rPr/>
      </w:pPr>
      <w:r>
        <w:rPr/>
        <w:t>Примечания: 1. К основным следует относить сооружения, при повреждении которых водозабор не обеспечит подачу расчетного расхода воды потребителям, к второстепенным - сооружения, повреждение которых не приведет к снижению подачи воды потребителям.</w:t>
      </w:r>
    </w:p>
    <w:p>
      <w:pPr>
        <w:pStyle w:val="Normal"/>
        <w:ind w:firstLine="270"/>
        <w:jc w:val="both"/>
        <w:rPr/>
      </w:pPr>
      <w:r>
        <w:rPr/>
      </w:r>
    </w:p>
    <w:p>
      <w:pPr>
        <w:pStyle w:val="Normal"/>
        <w:ind w:firstLine="225"/>
        <w:jc w:val="both"/>
        <w:rPr/>
      </w:pPr>
      <w:r>
        <w:rPr/>
        <w:t xml:space="preserve">2. Класс водоподъемных и водохранилищных плотин, входящих в состав водозаборного гидроузла, следует принимать в соответствии с указаниями </w:t>
      </w:r>
      <w:r>
        <w:rPr>
          <w:vanish/>
        </w:rPr>
        <w:t>#M12291 871001099</w:t>
      </w:r>
      <w:r>
        <w:rPr/>
        <w:t>СНиП 2.06.01-86</w:t>
      </w:r>
      <w:r>
        <w:rPr>
          <w:vanish/>
        </w:rPr>
        <w:t>#S</w:t>
      </w:r>
      <w:r>
        <w:rPr/>
        <w:t xml:space="preserve">, но не ниже:      </w:t>
      </w:r>
    </w:p>
    <w:p>
      <w:pPr>
        <w:pStyle w:val="Heading"/>
        <w:ind w:firstLine="60"/>
        <w:jc w:val="both"/>
        <w:rPr/>
      </w:pPr>
      <w:r>
        <w:rPr/>
      </w:r>
    </w:p>
    <w:p>
      <w:pPr>
        <w:pStyle w:val="Preformat"/>
        <w:rPr/>
      </w:pPr>
      <w:r>
        <w:rPr>
          <w:vanish/>
        </w:rPr>
        <w:t>#G1</w:t>
      </w:r>
      <w:r>
        <w:rPr/>
        <w:t xml:space="preserve">  II класса - для  I категории водозаборов</w:t>
      </w:r>
    </w:p>
    <w:p>
      <w:pPr>
        <w:pStyle w:val="Preformat"/>
        <w:rPr/>
      </w:pPr>
      <w:r>
        <w:rPr/>
      </w:r>
    </w:p>
    <w:p>
      <w:pPr>
        <w:pStyle w:val="Preformat"/>
        <w:rPr/>
      </w:pPr>
      <w:r>
        <w:rPr>
          <w:rFonts w:eastAsia="Courier New"/>
        </w:rPr>
        <w:t xml:space="preserve">  </w:t>
      </w:r>
      <w:r>
        <w:rPr/>
        <w:t xml:space="preserve">III  «    -  «  II     «          « </w:t>
      </w:r>
    </w:p>
    <w:p>
      <w:pPr>
        <w:pStyle w:val="Preformat"/>
        <w:rPr/>
      </w:pPr>
      <w:r>
        <w:rPr/>
      </w:r>
    </w:p>
    <w:p>
      <w:pPr>
        <w:pStyle w:val="Preformat"/>
        <w:rPr/>
      </w:pPr>
      <w:r>
        <w:rPr>
          <w:rFonts w:eastAsia="Courier New"/>
        </w:rPr>
        <w:t xml:space="preserve">  </w:t>
      </w:r>
      <w:r>
        <w:rPr/>
        <w:t>IV   «    -  « III     «          «</w:t>
      </w:r>
    </w:p>
    <w:p>
      <w:pPr>
        <w:pStyle w:val="Normal"/>
        <w:jc w:val="both"/>
        <w:rPr>
          <w:rFonts w:ascii="Courier New" w:hAnsi="Courier New" w:eastAsia="Courier New" w:cs="Courier New"/>
        </w:rPr>
      </w:pPr>
      <w:r>
        <w:rPr>
          <w:rFonts w:eastAsia="Courier New" w:cs="Courier New" w:ascii="Courier New" w:hAnsi="Courier New"/>
        </w:rPr>
        <w:t xml:space="preserve">      </w:t>
      </w:r>
    </w:p>
    <w:p>
      <w:pPr>
        <w:pStyle w:val="Normal"/>
        <w:ind w:firstLine="270"/>
        <w:jc w:val="both"/>
        <w:rPr/>
      </w:pPr>
      <w:r>
        <w:rPr>
          <w:vanish/>
        </w:rPr>
        <w:t>#G0</w:t>
      </w:r>
      <w:r>
        <w:rPr/>
        <w:t xml:space="preserve">5.82. Выбор схемы и места расположения водозабора должен быть обоснован прогнозами: </w:t>
      </w:r>
    </w:p>
    <w:p>
      <w:pPr>
        <w:pStyle w:val="Normal"/>
        <w:ind w:firstLine="225"/>
        <w:jc w:val="both"/>
        <w:rPr/>
      </w:pPr>
      <w:r>
        <w:rPr/>
      </w:r>
    </w:p>
    <w:p>
      <w:pPr>
        <w:pStyle w:val="Normal"/>
        <w:ind w:firstLine="270"/>
        <w:jc w:val="both"/>
        <w:rPr/>
      </w:pPr>
      <w:r>
        <w:rPr/>
        <w:t xml:space="preserve">качества воды в источнике; </w:t>
      </w:r>
    </w:p>
    <w:p>
      <w:pPr>
        <w:pStyle w:val="Normal"/>
        <w:ind w:firstLine="270"/>
        <w:jc w:val="both"/>
        <w:rPr/>
      </w:pPr>
      <w:r>
        <w:rPr/>
      </w:r>
    </w:p>
    <w:p>
      <w:pPr>
        <w:pStyle w:val="Normal"/>
        <w:ind w:firstLine="225"/>
        <w:jc w:val="both"/>
        <w:rPr/>
      </w:pPr>
      <w:r>
        <w:rPr/>
        <w:t xml:space="preserve">переформирования русла или побережья; </w:t>
      </w:r>
    </w:p>
    <w:p>
      <w:pPr>
        <w:pStyle w:val="Normal"/>
        <w:ind w:firstLine="225"/>
        <w:jc w:val="both"/>
        <w:rPr/>
      </w:pPr>
      <w:r>
        <w:rPr/>
      </w:r>
    </w:p>
    <w:p>
      <w:pPr>
        <w:pStyle w:val="Normal"/>
        <w:ind w:firstLine="225"/>
        <w:jc w:val="both"/>
        <w:rPr/>
      </w:pPr>
      <w:r>
        <w:rPr/>
        <w:t xml:space="preserve">изменения границы вечномерзлых грунтов; </w:t>
      </w:r>
    </w:p>
    <w:p>
      <w:pPr>
        <w:pStyle w:val="Normal"/>
        <w:ind w:firstLine="225"/>
        <w:jc w:val="both"/>
        <w:rPr/>
      </w:pPr>
      <w:r>
        <w:rPr/>
      </w:r>
    </w:p>
    <w:p>
      <w:pPr>
        <w:pStyle w:val="Normal"/>
        <w:ind w:firstLine="225"/>
        <w:jc w:val="both"/>
        <w:rPr/>
      </w:pPr>
      <w:r>
        <w:rPr/>
        <w:t xml:space="preserve">гидротермического режима. </w:t>
      </w:r>
    </w:p>
    <w:p>
      <w:pPr>
        <w:pStyle w:val="Normal"/>
        <w:ind w:firstLine="225"/>
        <w:jc w:val="both"/>
        <w:rPr/>
      </w:pPr>
      <w:r>
        <w:rPr/>
      </w:r>
    </w:p>
    <w:p>
      <w:pPr>
        <w:pStyle w:val="Normal"/>
        <w:ind w:firstLine="270"/>
        <w:jc w:val="both"/>
        <w:rPr/>
      </w:pPr>
      <w:r>
        <w:rPr/>
        <w:t>5.83. Не допускается размещать водоприемники в пределах зон движения судов, плотов, в зоне отложения и жильного движения донных наносов, в местах зимовья и нереста рыб, на участке возможного разрушения берега, скопления плавника и водорослей, а также возникновения шугозажоров и заторов.</w:t>
      </w:r>
    </w:p>
    <w:p>
      <w:pPr>
        <w:pStyle w:val="Normal"/>
        <w:ind w:firstLine="225"/>
        <w:jc w:val="both"/>
        <w:rPr/>
      </w:pPr>
      <w:r>
        <w:rPr/>
      </w:r>
    </w:p>
    <w:p>
      <w:pPr>
        <w:pStyle w:val="Normal"/>
        <w:ind w:firstLine="270"/>
        <w:jc w:val="both"/>
        <w:rPr/>
      </w:pPr>
      <w:r>
        <w:rPr/>
        <w:t>5.84. Не рекомендуется размещать водоприемники водозаборов на участках нижнего бьефа ГЭС, прилегающих к гидроузлу, в верховьях водохранилищ, а также на участках, расположенных ниже устьев притоков водотоков и в устьях подпертых водотоков.</w:t>
      </w:r>
    </w:p>
    <w:p>
      <w:pPr>
        <w:pStyle w:val="Normal"/>
        <w:ind w:firstLine="225"/>
        <w:jc w:val="both"/>
        <w:rPr/>
      </w:pPr>
      <w:r>
        <w:rPr/>
      </w:r>
    </w:p>
    <w:p>
      <w:pPr>
        <w:pStyle w:val="Normal"/>
        <w:ind w:firstLine="270"/>
        <w:jc w:val="both"/>
        <w:rPr/>
      </w:pPr>
      <w:r>
        <w:rPr/>
        <w:t>5.85.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лесных бирж, товарно-транспортных баз и складов в районе, обеспечивающем организацию зон санитарной охраны.</w:t>
      </w:r>
    </w:p>
    <w:p>
      <w:pPr>
        <w:pStyle w:val="Normal"/>
        <w:ind w:firstLine="225"/>
        <w:jc w:val="both"/>
        <w:rPr/>
      </w:pPr>
      <w:r>
        <w:rPr/>
      </w:r>
    </w:p>
    <w:p>
      <w:pPr>
        <w:pStyle w:val="Normal"/>
        <w:ind w:firstLine="270"/>
        <w:jc w:val="both"/>
        <w:rPr/>
      </w:pPr>
      <w:r>
        <w:rPr/>
        <w:t>5.86. На морях, крупных озерах и водохранилищах водоприемники водозаборов следует размещать (с учетом ожидаемой переработки прилегающего берега и прибрежного склона):</w:t>
      </w:r>
    </w:p>
    <w:p>
      <w:pPr>
        <w:pStyle w:val="Normal"/>
        <w:ind w:firstLine="225"/>
        <w:jc w:val="both"/>
        <w:rPr/>
      </w:pPr>
      <w:r>
        <w:rPr/>
      </w:r>
    </w:p>
    <w:p>
      <w:pPr>
        <w:pStyle w:val="Normal"/>
        <w:ind w:firstLine="270"/>
        <w:jc w:val="both"/>
        <w:rPr/>
      </w:pPr>
      <w:r>
        <w:rPr/>
        <w:t xml:space="preserve">за пределами прибойных зон при наинизших уровнях воды; </w:t>
      </w:r>
    </w:p>
    <w:p>
      <w:pPr>
        <w:pStyle w:val="Normal"/>
        <w:ind w:firstLine="270"/>
        <w:jc w:val="both"/>
        <w:rPr/>
      </w:pPr>
      <w:r>
        <w:rPr/>
      </w:r>
    </w:p>
    <w:p>
      <w:pPr>
        <w:pStyle w:val="Normal"/>
        <w:ind w:firstLine="225"/>
        <w:jc w:val="both"/>
        <w:rPr/>
      </w:pPr>
      <w:r>
        <w:rPr/>
        <w:t xml:space="preserve">в местах, укрытых от волнения; </w:t>
      </w:r>
    </w:p>
    <w:p>
      <w:pPr>
        <w:pStyle w:val="Normal"/>
        <w:ind w:firstLine="225"/>
        <w:jc w:val="both"/>
        <w:rPr/>
      </w:pPr>
      <w:r>
        <w:rPr/>
      </w:r>
    </w:p>
    <w:p>
      <w:pPr>
        <w:pStyle w:val="Normal"/>
        <w:ind w:firstLine="270"/>
        <w:jc w:val="both"/>
        <w:rPr/>
      </w:pPr>
      <w:r>
        <w:rPr/>
        <w:t>за пределами сосредоточенных течений, выходящих из прибойных зон.</w:t>
      </w:r>
    </w:p>
    <w:p>
      <w:pPr>
        <w:pStyle w:val="Normal"/>
        <w:ind w:firstLine="225"/>
        <w:jc w:val="both"/>
        <w:rPr/>
      </w:pPr>
      <w:r>
        <w:rPr/>
      </w:r>
    </w:p>
    <w:p>
      <w:pPr>
        <w:pStyle w:val="Normal"/>
        <w:ind w:firstLine="270"/>
        <w:jc w:val="both"/>
        <w:rPr/>
      </w:pPr>
      <w:r>
        <w:rPr/>
        <w:t>На водозаборах с самотечными и сифонными водоводами целесообразно водоприемный сеточный колодец, насосную станцию и другие сооружения выносить за пределы ожидаемой переработки берега, без устройства берегозащитных покрытий.</w:t>
      </w:r>
    </w:p>
    <w:p>
      <w:pPr>
        <w:pStyle w:val="Normal"/>
        <w:ind w:firstLine="270"/>
        <w:jc w:val="both"/>
        <w:rPr/>
      </w:pPr>
      <w:r>
        <w:rPr/>
      </w:r>
    </w:p>
    <w:p>
      <w:pPr>
        <w:pStyle w:val="Normal"/>
        <w:ind w:firstLine="225"/>
        <w:jc w:val="both"/>
        <w:rPr/>
      </w:pPr>
      <w:r>
        <w:rPr/>
        <w:t>5.87. Условия забора воды из поверхностных источников должны разделяться в зависимости от устойчивости берегов и ложа источника, русловых и шуголедовых режимов, засоренности по показателям, приведенным в табл. 12.</w:t>
      </w:r>
    </w:p>
    <w:p>
      <w:pPr>
        <w:pStyle w:val="Normal"/>
        <w:ind w:firstLine="225"/>
        <w:jc w:val="both"/>
        <w:rPr/>
      </w:pPr>
      <w:r>
        <w:rPr/>
      </w:r>
    </w:p>
    <w:p>
      <w:pPr>
        <w:pStyle w:val="Normal"/>
        <w:ind w:firstLine="270"/>
        <w:jc w:val="both"/>
        <w:rPr/>
      </w:pPr>
      <w:r>
        <w:rPr/>
        <w:t>5.88. Водоприемные устройства следует принимать по табл. 13 в зависимости от требуемой категории и сложности природных условий забора воды (см. табл. 12).</w:t>
      </w:r>
    </w:p>
    <w:p>
      <w:pPr>
        <w:pStyle w:val="Normal"/>
        <w:ind w:firstLine="225"/>
        <w:jc w:val="both"/>
        <w:rPr/>
      </w:pPr>
      <w:r>
        <w:rPr/>
      </w:r>
    </w:p>
    <w:p>
      <w:pPr>
        <w:pStyle w:val="Normal"/>
        <w:ind w:firstLine="270"/>
        <w:jc w:val="both"/>
        <w:rPr/>
      </w:pPr>
      <w:r>
        <w:rPr/>
        <w:t>5.89. Повышение категории водозабора с затопленными водоприемниками на единицу допускается в случаях:</w:t>
      </w:r>
    </w:p>
    <w:p>
      <w:pPr>
        <w:pStyle w:val="Normal"/>
        <w:ind w:firstLine="270"/>
        <w:jc w:val="both"/>
        <w:rPr/>
      </w:pPr>
      <w:r>
        <w:rPr/>
      </w:r>
    </w:p>
    <w:p>
      <w:pPr>
        <w:pStyle w:val="Normal"/>
        <w:ind w:firstLine="225"/>
        <w:jc w:val="both"/>
        <w:rPr/>
      </w:pPr>
      <w:r>
        <w:rPr/>
        <w:t>размещения водоприемников в затопляемом, самопромывающемся водоприемном ковше;</w:t>
      </w:r>
    </w:p>
    <w:p>
      <w:pPr>
        <w:pStyle w:val="Normal"/>
        <w:ind w:firstLine="225"/>
        <w:jc w:val="both"/>
        <w:rPr/>
      </w:pPr>
      <w:r>
        <w:rPr/>
      </w:r>
    </w:p>
    <w:p>
      <w:pPr>
        <w:pStyle w:val="Normal"/>
        <w:ind w:firstLine="270"/>
        <w:jc w:val="both"/>
        <w:rPr/>
      </w:pPr>
      <w:r>
        <w:rPr/>
        <w:t>подвода к водоприемным отверстиям теплой воды в количестве не менее 20 % забираемого расхода и применения специальных наносозащитных устройств;</w:t>
      </w:r>
    </w:p>
    <w:p>
      <w:pPr>
        <w:pStyle w:val="Normal"/>
        <w:ind w:firstLine="270"/>
        <w:jc w:val="both"/>
        <w:rPr/>
      </w:pPr>
      <w:r>
        <w:rPr/>
      </w:r>
    </w:p>
    <w:p>
      <w:pPr>
        <w:pStyle w:val="Normal"/>
        <w:ind w:firstLine="225"/>
        <w:jc w:val="both"/>
        <w:rPr/>
      </w:pPr>
      <w:r>
        <w:rPr/>
        <w:t>обеспечения надежной системы обратной промывки сороудерживающих решеток, рыбозаградительных устройств водоприемников и самотечных водоводов.</w:t>
      </w:r>
    </w:p>
    <w:p>
      <w:pPr>
        <w:pStyle w:val="Normal"/>
        <w:ind w:firstLine="225"/>
        <w:jc w:val="both"/>
        <w:rPr/>
      </w:pPr>
      <w:r>
        <w:rPr/>
      </w:r>
    </w:p>
    <w:p>
      <w:pPr>
        <w:pStyle w:val="Normal"/>
        <w:ind w:firstLine="225"/>
        <w:jc w:val="both"/>
        <w:rPr/>
      </w:pPr>
      <w:r>
        <w:rPr/>
        <w:t>5.90. Выбор схемы и компоновки водозаборного сооружения в тяжелых и очень тяжелых местных условиях следует принимать на основе лабораторных исследований.</w:t>
      </w:r>
    </w:p>
    <w:p>
      <w:pPr>
        <w:pStyle w:val="Normal"/>
        <w:ind w:firstLine="225"/>
        <w:jc w:val="both"/>
        <w:rPr/>
      </w:pPr>
      <w:r>
        <w:rPr/>
      </w:r>
    </w:p>
    <w:p>
      <w:pPr>
        <w:pStyle w:val="Normal"/>
        <w:ind w:firstLine="270"/>
        <w:jc w:val="both"/>
        <w:rPr/>
      </w:pPr>
      <w:r>
        <w:rPr/>
        <w:t>5.91. Водозаборные сооружения следует проектировать с учетом перспективного развития водопотребления.</w:t>
      </w:r>
    </w:p>
    <w:p>
      <w:pPr>
        <w:pStyle w:val="Normal"/>
        <w:ind w:firstLine="225"/>
        <w:jc w:val="both"/>
        <w:rPr/>
      </w:pPr>
      <w:r>
        <w:rPr/>
      </w:r>
    </w:p>
    <w:p>
      <w:pPr>
        <w:pStyle w:val="Normal"/>
        <w:ind w:firstLine="270"/>
        <w:jc w:val="both"/>
        <w:rPr/>
      </w:pPr>
      <w:r>
        <w:rPr/>
        <w:t>5.92. При заборе воды из водохранилищ следует рассматривать целесообразность использования в качестве водоприемника башни донного водоспуска или головного сооружения водосброса.</w:t>
      </w:r>
    </w:p>
    <w:p>
      <w:pPr>
        <w:pStyle w:val="Normal"/>
        <w:ind w:firstLine="270"/>
        <w:jc w:val="both"/>
        <w:rPr/>
      </w:pPr>
      <w:r>
        <w:rPr/>
      </w:r>
    </w:p>
    <w:p>
      <w:pPr>
        <w:pStyle w:val="Normal"/>
        <w:ind w:firstLine="225"/>
        <w:jc w:val="both"/>
        <w:rPr/>
      </w:pPr>
      <w:r>
        <w:rPr/>
        <w:t>При совмещении водозаборного сооружения с водоподъемной плотиной следует предусматривать возможность ремонта плотины без прекращения подачи воды.</w:t>
      </w:r>
    </w:p>
    <w:p>
      <w:pPr>
        <w:pStyle w:val="Normal"/>
        <w:ind w:firstLine="225"/>
        <w:jc w:val="both"/>
        <w:rPr/>
      </w:pPr>
      <w:r>
        <w:rPr/>
      </w:r>
    </w:p>
    <w:p>
      <w:pPr>
        <w:pStyle w:val="Normal"/>
        <w:ind w:firstLine="270"/>
        <w:jc w:val="both"/>
        <w:rPr/>
      </w:pPr>
      <w:r>
        <w:rPr/>
        <w:t>5.93. Размеры основных элементов водозаборного сооружения (водоприемных отверстий, сеток, рыбозащитных устройств, труб, каналов), а также расчетный минимальный уровень воды в береговом водоприемном сеточном колодце и отметки оси насосов должны определяться гидравлическими расчетами при минимальных уровнях воды в источнике для нормального эксплуатационного и аварийного режимов работы.</w:t>
      </w:r>
    </w:p>
    <w:p>
      <w:pPr>
        <w:pStyle w:val="Normal"/>
        <w:ind w:firstLine="270"/>
        <w:jc w:val="both"/>
        <w:rPr/>
      </w:pPr>
      <w:r>
        <w:rPr/>
      </w:r>
    </w:p>
    <w:p>
      <w:pPr>
        <w:pStyle w:val="Normal"/>
        <w:ind w:firstLine="270"/>
        <w:jc w:val="both"/>
        <w:rPr/>
      </w:pPr>
      <w:r>
        <w:rPr/>
        <w:t>Примечание. В аварийном режиме (отключение одного самотечного или сифонного водовода или секции водоприемника на ремонт или ревизию) для водозаборных сооружений II и III категорий допускается снижение водоотбора на 30 %.</w:t>
      </w:r>
    </w:p>
    <w:p>
      <w:pPr>
        <w:pStyle w:val="Normal"/>
        <w:ind w:firstLine="270"/>
        <w:jc w:val="both"/>
        <w:rPr/>
      </w:pPr>
      <w:r>
        <w:rPr/>
      </w:r>
    </w:p>
    <w:p>
      <w:pPr>
        <w:pStyle w:val="Normal"/>
        <w:ind w:firstLine="270"/>
        <w:jc w:val="both"/>
        <w:rPr/>
      </w:pPr>
      <w:r>
        <w:rPr/>
        <w:t>5.94. Размеры водоприемных отверстий следует определять по средней скорости втекания воды в отверстия (в свету) сороудерживающих решеток, сеток или в поры фильтров с учетом требований рыбозащиты.</w:t>
      </w:r>
    </w:p>
    <w:p>
      <w:pPr>
        <w:pStyle w:val="Normal"/>
        <w:ind w:firstLine="270"/>
        <w:jc w:val="both"/>
        <w:rPr/>
      </w:pPr>
      <w:r>
        <w:rPr/>
      </w:r>
    </w:p>
    <w:p>
      <w:pPr>
        <w:pStyle w:val="Normal"/>
        <w:ind w:firstLine="225"/>
        <w:jc w:val="both"/>
        <w:rPr/>
      </w:pPr>
      <w:r>
        <w:rPr/>
        <w:t>Допустимые скорости втекания воды в водоприемные отверстия без учета требований рыбозащиты следует принимать для средних и тяжелых условий забора воды соответственно:</w:t>
      </w:r>
    </w:p>
    <w:p>
      <w:pPr>
        <w:pStyle w:val="Normal"/>
        <w:ind w:firstLine="270"/>
        <w:jc w:val="both"/>
        <w:rPr/>
      </w:pPr>
      <w:r>
        <w:rPr/>
      </w:r>
    </w:p>
    <w:p>
      <w:pPr>
        <w:pStyle w:val="Normal"/>
        <w:jc w:val="end"/>
        <w:rPr/>
      </w:pPr>
      <w:r>
        <w:rPr/>
        <w:t>Таблица 12</w:t>
      </w:r>
    </w:p>
    <w:p>
      <w:pPr>
        <w:pStyle w:val="Normal"/>
        <w:jc w:val="end"/>
        <w:rPr/>
      </w:pPr>
      <w:r>
        <w:rPr/>
      </w:r>
    </w:p>
    <w:p>
      <w:pPr>
        <w:pStyle w:val="Normal"/>
        <w:jc w:val="end"/>
        <w:rPr/>
      </w:pPr>
      <w:r>
        <w:rPr/>
      </w:r>
    </w:p>
    <w:tbl>
      <w:tblPr>
        <w:tblW w:w="9380"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1575"/>
        <w:gridCol w:w="2700"/>
        <w:gridCol w:w="2325"/>
        <w:gridCol w:w="2780"/>
      </w:tblGrid>
      <w:tr>
        <w:trPr/>
        <w:tc>
          <w:tcPr>
            <w:tcW w:w="1575" w:type="dxa"/>
            <w:tcBorders>
              <w:top w:val="single" w:sz="2" w:space="0" w:color="000000"/>
              <w:start w:val="single" w:sz="2" w:space="0" w:color="000000"/>
            </w:tcBorders>
            <w:shd w:fill="auto" w:val="clear"/>
            <w:tcMar>
              <w:start w:w="102" w:type="dxa"/>
            </w:tcMar>
          </w:tcPr>
          <w:p>
            <w:pPr>
              <w:pStyle w:val="Normal"/>
              <w:jc w:val="center"/>
              <w:rPr/>
            </w:pPr>
            <w:r>
              <w:rPr>
                <w:vanish/>
              </w:rPr>
              <w:t>#G0</w:t>
            </w:r>
            <w:r>
              <w:rPr/>
              <w:t xml:space="preserve">Характеристика условий </w:t>
            </w:r>
          </w:p>
          <w:p>
            <w:pPr>
              <w:pStyle w:val="Normal"/>
              <w:jc w:val="center"/>
              <w:rPr/>
            </w:pPr>
            <w:r>
              <w:rPr/>
            </w:r>
          </w:p>
        </w:tc>
        <w:tc>
          <w:tcPr>
            <w:tcW w:w="7805" w:type="dxa"/>
            <w:gridSpan w:val="3"/>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Условия забора воды из поверхностных источников </w:t>
            </w:r>
          </w:p>
          <w:p>
            <w:pPr>
              <w:pStyle w:val="Normal"/>
              <w:rPr/>
            </w:pPr>
            <w:r>
              <w:rPr/>
            </w:r>
          </w:p>
        </w:tc>
      </w:tr>
      <w:tr>
        <w:trPr/>
        <w:tc>
          <w:tcPr>
            <w:tcW w:w="157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забора воды </w:t>
            </w:r>
          </w:p>
          <w:p>
            <w:pPr>
              <w:pStyle w:val="Normal"/>
              <w:rPr/>
            </w:pPr>
            <w:r>
              <w:rPr/>
            </w:r>
          </w:p>
        </w:tc>
        <w:tc>
          <w:tcPr>
            <w:tcW w:w="27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мутность, устойчивость берегов и дна </w:t>
            </w:r>
          </w:p>
          <w:p>
            <w:pPr>
              <w:pStyle w:val="Normal"/>
              <w:rPr/>
            </w:pPr>
            <w:r>
              <w:rPr/>
            </w:r>
          </w:p>
        </w:tc>
        <w:tc>
          <w:tcPr>
            <w:tcW w:w="232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шуга и лед </w:t>
            </w:r>
          </w:p>
          <w:p>
            <w:pPr>
              <w:pStyle w:val="Normal"/>
              <w:rPr/>
            </w:pPr>
            <w:r>
              <w:rPr/>
            </w:r>
          </w:p>
        </w:tc>
        <w:tc>
          <w:tcPr>
            <w:tcW w:w="278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другие факторы </w:t>
            </w:r>
          </w:p>
          <w:p>
            <w:pPr>
              <w:pStyle w:val="Normal"/>
              <w:rPr/>
            </w:pPr>
            <w:r>
              <w:rPr/>
            </w:r>
          </w:p>
        </w:tc>
      </w:tr>
      <w:tr>
        <w:trPr/>
        <w:tc>
          <w:tcPr>
            <w:tcW w:w="1575" w:type="dxa"/>
            <w:tcBorders>
              <w:start w:val="single" w:sz="2" w:space="0" w:color="000000"/>
            </w:tcBorders>
            <w:shd w:fill="auto" w:val="clear"/>
            <w:tcMar>
              <w:start w:w="102" w:type="dxa"/>
            </w:tcMar>
          </w:tcPr>
          <w:p>
            <w:pPr>
              <w:pStyle w:val="Normal"/>
              <w:jc w:val="both"/>
              <w:rPr/>
            </w:pPr>
            <w:r>
              <w:rPr/>
              <w:t xml:space="preserve">Легкие </w:t>
            </w:r>
          </w:p>
          <w:p>
            <w:pPr>
              <w:pStyle w:val="Normal"/>
              <w:jc w:val="both"/>
              <w:rPr/>
            </w:pPr>
            <w:r>
              <w:rPr/>
            </w:r>
          </w:p>
        </w:tc>
        <w:tc>
          <w:tcPr>
            <w:tcW w:w="2700" w:type="dxa"/>
            <w:tcBorders>
              <w:start w:val="single" w:sz="2" w:space="0" w:color="000000"/>
            </w:tcBorders>
            <w:shd w:fill="auto" w:val="clear"/>
            <w:tcMar>
              <w:start w:w="102" w:type="dxa"/>
            </w:tcMar>
          </w:tcPr>
          <w:p>
            <w:pPr>
              <w:pStyle w:val="Normal"/>
              <w:rPr/>
            </w:pPr>
            <w:r>
              <w:rPr/>
              <w:t xml:space="preserve">Мутность &lt;/= 500 мг/л, устойчивое ложе водоема и водотока </w:t>
            </w:r>
          </w:p>
          <w:p>
            <w:pPr>
              <w:pStyle w:val="Normal"/>
              <w:rPr/>
            </w:pPr>
            <w:r>
              <w:rPr/>
            </w:r>
          </w:p>
        </w:tc>
        <w:tc>
          <w:tcPr>
            <w:tcW w:w="2325" w:type="dxa"/>
            <w:tcBorders>
              <w:start w:val="single" w:sz="2" w:space="0" w:color="000000"/>
            </w:tcBorders>
            <w:shd w:fill="auto" w:val="clear"/>
            <w:tcMar>
              <w:start w:w="102" w:type="dxa"/>
            </w:tcMar>
          </w:tcPr>
          <w:p>
            <w:pPr>
              <w:pStyle w:val="Normal"/>
              <w:rPr/>
            </w:pPr>
            <w:r>
              <w:rPr/>
              <w:t xml:space="preserve">Отсутствие внутриводного ледообразования. Ледостав умеренной (&lt;/= 0,8 м) мощности, устойчивый </w:t>
            </w:r>
          </w:p>
          <w:p>
            <w:pPr>
              <w:pStyle w:val="Normal"/>
              <w:rPr/>
            </w:pPr>
            <w:r>
              <w:rPr/>
            </w:r>
          </w:p>
        </w:tc>
        <w:tc>
          <w:tcPr>
            <w:tcW w:w="278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Отсутствие в водоисточнике дрейсены, балянуса, мидий и т.п., водорослей, малое количество загрязнений и сора </w:t>
            </w:r>
          </w:p>
          <w:p>
            <w:pPr>
              <w:pStyle w:val="Normal"/>
              <w:rPr/>
            </w:pPr>
            <w:r>
              <w:rPr/>
            </w:r>
          </w:p>
        </w:tc>
      </w:tr>
      <w:tr>
        <w:trPr/>
        <w:tc>
          <w:tcPr>
            <w:tcW w:w="1575" w:type="dxa"/>
            <w:tcBorders>
              <w:start w:val="single" w:sz="2" w:space="0" w:color="000000"/>
            </w:tcBorders>
            <w:shd w:fill="auto" w:val="clear"/>
            <w:tcMar>
              <w:start w:w="102" w:type="dxa"/>
            </w:tcMar>
          </w:tcPr>
          <w:p>
            <w:pPr>
              <w:pStyle w:val="Normal"/>
              <w:rPr/>
            </w:pPr>
            <w:r>
              <w:rPr/>
              <w:t xml:space="preserve">Средние </w:t>
            </w:r>
          </w:p>
          <w:p>
            <w:pPr>
              <w:pStyle w:val="Normal"/>
              <w:rPr/>
            </w:pPr>
            <w:r>
              <w:rPr/>
            </w:r>
          </w:p>
        </w:tc>
        <w:tc>
          <w:tcPr>
            <w:tcW w:w="2700" w:type="dxa"/>
            <w:tcBorders>
              <w:start w:val="single" w:sz="2" w:space="0" w:color="000000"/>
            </w:tcBorders>
            <w:shd w:fill="auto" w:val="clear"/>
            <w:tcMar>
              <w:start w:w="102" w:type="dxa"/>
            </w:tcMar>
          </w:tcPr>
          <w:p>
            <w:pPr>
              <w:pStyle w:val="Normal"/>
              <w:rPr/>
            </w:pPr>
            <w:r>
              <w:rPr/>
              <w:t xml:space="preserve">Мутность &lt;/= 1500 мг/л (средняя за паводок). Русло (побережье) и берега устойчивые с сезонными деформациями ±0,3 м. Вдольбереговое перемещение наносов не влияет на устойчивость подводного склона постоянной крутизны </w:t>
            </w:r>
          </w:p>
          <w:p>
            <w:pPr>
              <w:pStyle w:val="Normal"/>
              <w:rPr/>
            </w:pPr>
            <w:r>
              <w:rPr/>
            </w:r>
          </w:p>
        </w:tc>
        <w:tc>
          <w:tcPr>
            <w:tcW w:w="2325" w:type="dxa"/>
            <w:tcBorders>
              <w:start w:val="single" w:sz="2" w:space="0" w:color="000000"/>
            </w:tcBorders>
            <w:shd w:fill="auto" w:val="clear"/>
            <w:tcMar>
              <w:start w:w="102" w:type="dxa"/>
            </w:tcMar>
          </w:tcPr>
          <w:p>
            <w:pPr>
              <w:pStyle w:val="Normal"/>
              <w:rPr/>
            </w:pPr>
            <w:r>
              <w:rPr/>
              <w:t xml:space="preserve">Наличие внутриводного ледообразования, прекращающегося с установлением ледостава обычно без шугозаполнения русла и образования шугозажоров. </w:t>
            </w:r>
          </w:p>
          <w:p>
            <w:pPr>
              <w:pStyle w:val="Normal"/>
              <w:rPr/>
            </w:pPr>
            <w:r>
              <w:rPr/>
            </w:r>
          </w:p>
          <w:p>
            <w:pPr>
              <w:pStyle w:val="Normal"/>
              <w:rPr/>
            </w:pPr>
            <w:r>
              <w:rPr/>
              <w:t xml:space="preserve">Ледостав устойчивый мощностью &lt; 1,2 м, формирующийся с полыньями </w:t>
            </w:r>
          </w:p>
          <w:p>
            <w:pPr>
              <w:pStyle w:val="Normal"/>
              <w:ind w:firstLine="225"/>
              <w:rPr/>
            </w:pPr>
            <w:r>
              <w:rPr/>
            </w:r>
          </w:p>
          <w:p>
            <w:pPr>
              <w:pStyle w:val="Normal"/>
              <w:ind w:firstLine="225"/>
              <w:rPr/>
            </w:pPr>
            <w:r>
              <w:rPr/>
            </w:r>
          </w:p>
        </w:tc>
        <w:tc>
          <w:tcPr>
            <w:tcW w:w="278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Наличие сора, водорослей, дрейсены, балянуса, мидий и загрязнений в количествах, вызывающих помехи в работе водозабора. Лесосплав молевой и плотами. Судоходство </w:t>
            </w:r>
          </w:p>
          <w:p>
            <w:pPr>
              <w:pStyle w:val="Normal"/>
              <w:rPr/>
            </w:pPr>
            <w:r>
              <w:rPr/>
            </w:r>
          </w:p>
        </w:tc>
      </w:tr>
      <w:tr>
        <w:trPr/>
        <w:tc>
          <w:tcPr>
            <w:tcW w:w="1575" w:type="dxa"/>
            <w:tcBorders>
              <w:start w:val="single" w:sz="2" w:space="0" w:color="000000"/>
            </w:tcBorders>
            <w:shd w:fill="auto" w:val="clear"/>
            <w:tcMar>
              <w:start w:w="102" w:type="dxa"/>
            </w:tcMar>
          </w:tcPr>
          <w:p>
            <w:pPr>
              <w:pStyle w:val="Normal"/>
              <w:rPr/>
            </w:pPr>
            <w:r>
              <w:rPr/>
              <w:t xml:space="preserve">Тяжелые </w:t>
            </w:r>
          </w:p>
          <w:p>
            <w:pPr>
              <w:pStyle w:val="Normal"/>
              <w:rPr/>
            </w:pPr>
            <w:r>
              <w:rPr/>
            </w:r>
          </w:p>
        </w:tc>
        <w:tc>
          <w:tcPr>
            <w:tcW w:w="2700" w:type="dxa"/>
            <w:tcBorders>
              <w:start w:val="single" w:sz="2" w:space="0" w:color="000000"/>
            </w:tcBorders>
            <w:shd w:fill="auto" w:val="clear"/>
            <w:tcMar>
              <w:start w:w="102" w:type="dxa"/>
            </w:tcMar>
          </w:tcPr>
          <w:p>
            <w:pPr>
              <w:pStyle w:val="Normal"/>
              <w:rPr/>
            </w:pPr>
            <w:r>
              <w:rPr/>
              <w:t xml:space="preserve">Мутность &lt;/= 5000 мг/л. Русло подвижное с переформированием берегов и дна, вызывающим изменение отметок дна до 1-2 м. Наличие переработки берега с вдольбереговым перемещением наносов по склону переменной крутизны </w:t>
            </w:r>
          </w:p>
          <w:p>
            <w:pPr>
              <w:pStyle w:val="Normal"/>
              <w:rPr/>
            </w:pPr>
            <w:r>
              <w:rPr/>
            </w:r>
          </w:p>
        </w:tc>
        <w:tc>
          <w:tcPr>
            <w:tcW w:w="2325" w:type="dxa"/>
            <w:tcBorders>
              <w:start w:val="single" w:sz="2" w:space="0" w:color="000000"/>
            </w:tcBorders>
            <w:shd w:fill="auto" w:val="clear"/>
            <w:tcMar>
              <w:start w:w="102" w:type="dxa"/>
            </w:tcMar>
          </w:tcPr>
          <w:p>
            <w:pPr>
              <w:pStyle w:val="Normal"/>
              <w:rPr/>
            </w:pPr>
            <w:r>
              <w:rPr/>
              <w:t xml:space="preserve">Неоднократно формирующийся ледяной покров с шугоходами и шугозаполнением русла при ледоставе до 60-70% сечения водотока. В отдельные годы с образованием шугозажоров в предледоставный период и ледяных заторов весной. Участки нижнего бьефа ГЭС в зоне неустойчивого ледового покрова. Нагон шугольда на берег с образованием навалов на берега, торосов и шугозаполнением прибрежной зоны </w:t>
            </w:r>
          </w:p>
          <w:p>
            <w:pPr>
              <w:pStyle w:val="Normal"/>
              <w:rPr/>
            </w:pPr>
            <w:r>
              <w:rPr/>
            </w:r>
          </w:p>
        </w:tc>
        <w:tc>
          <w:tcPr>
            <w:tcW w:w="2780" w:type="dxa"/>
            <w:tcBorders>
              <w:start w:val="single" w:sz="2" w:space="0" w:color="000000"/>
              <w:end w:val="single" w:sz="2" w:space="0" w:color="000000"/>
              <w:insideV w:val="single" w:sz="2" w:space="0" w:color="000000"/>
            </w:tcBorders>
            <w:shd w:fill="auto" w:val="clear"/>
            <w:tcMar>
              <w:start w:w="102" w:type="dxa"/>
            </w:tcMar>
          </w:tcPr>
          <w:p>
            <w:pPr>
              <w:pStyle w:val="Normal"/>
              <w:rPr/>
            </w:pPr>
            <w:r>
              <w:rPr/>
              <w:t>То же, но в количествах, затрудняющих работу водозабора и сооружений водопровода</w:t>
            </w:r>
          </w:p>
          <w:p>
            <w:pPr>
              <w:pStyle w:val="Normal"/>
              <w:rPr/>
            </w:pPr>
            <w:r>
              <w:rPr/>
            </w:r>
          </w:p>
          <w:p>
            <w:pPr>
              <w:pStyle w:val="Normal"/>
              <w:rPr/>
            </w:pPr>
            <w:r>
              <w:rPr/>
            </w:r>
          </w:p>
        </w:tc>
      </w:tr>
      <w:tr>
        <w:trPr/>
        <w:tc>
          <w:tcPr>
            <w:tcW w:w="157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Очень тяжелые </w:t>
            </w:r>
          </w:p>
          <w:p>
            <w:pPr>
              <w:pStyle w:val="Normal"/>
              <w:rPr/>
            </w:pPr>
            <w:r>
              <w:rPr/>
            </w:r>
          </w:p>
        </w:tc>
        <w:tc>
          <w:tcPr>
            <w:tcW w:w="27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Мутность &lt;/= 5000 мг/л, русло неустойчивое, систематически и случайно изменяющее свою форму. Интенсивная и значительная переработка берега. Наличие или вероятность оползневых явлений </w:t>
            </w:r>
          </w:p>
          <w:p>
            <w:pPr>
              <w:pStyle w:val="Normal"/>
              <w:rPr/>
            </w:pPr>
            <w:r>
              <w:rPr/>
            </w:r>
          </w:p>
        </w:tc>
        <w:tc>
          <w:tcPr>
            <w:tcW w:w="232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Формирование ледяного покрова только при шугозажорах, вызывающих подпор; транзит шуги под ледяным покровом в течение большей части зимы. Возможность наледей и перемерзания русла. Ледоход с заторами и с большими навалами льда на берега. Тяжелые шуголедовые условия при наличии приливов</w:t>
            </w:r>
          </w:p>
          <w:p>
            <w:pPr>
              <w:pStyle w:val="Normal"/>
              <w:rPr/>
            </w:pPr>
            <w:r>
              <w:rPr/>
            </w:r>
          </w:p>
          <w:p>
            <w:pPr>
              <w:pStyle w:val="Normal"/>
              <w:rPr/>
            </w:pPr>
            <w:r>
              <w:rPr/>
            </w:r>
          </w:p>
        </w:tc>
        <w:tc>
          <w:tcPr>
            <w:tcW w:w="278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  </w:t>
            </w:r>
          </w:p>
          <w:p>
            <w:pPr>
              <w:pStyle w:val="Normal"/>
              <w:rPr/>
            </w:pPr>
            <w:r>
              <w:rPr/>
            </w:r>
          </w:p>
        </w:tc>
      </w:tr>
    </w:tbl>
    <w:p>
      <w:pPr>
        <w:pStyle w:val="Normal"/>
        <w:ind w:firstLine="270"/>
        <w:jc w:val="both"/>
        <w:rPr/>
      </w:pPr>
      <w:r>
        <w:rPr/>
      </w:r>
    </w:p>
    <w:p>
      <w:pPr>
        <w:pStyle w:val="Normal"/>
        <w:ind w:firstLine="225"/>
        <w:jc w:val="both"/>
        <w:rPr/>
      </w:pPr>
      <w:r>
        <w:rPr/>
        <w:t>Примечание. Общая характеристика условий забора воды определяется по наиболее тяжелому виду затруднений.</w:t>
      </w:r>
    </w:p>
    <w:p>
      <w:pPr>
        <w:pStyle w:val="Normal"/>
        <w:ind w:firstLine="225"/>
        <w:jc w:val="both"/>
        <w:rPr/>
      </w:pPr>
      <w:r>
        <w:rPr/>
      </w:r>
    </w:p>
    <w:p>
      <w:pPr>
        <w:pStyle w:val="Normal"/>
        <w:ind w:firstLine="225"/>
        <w:jc w:val="both"/>
        <w:rPr/>
      </w:pPr>
      <w:r>
        <w:rPr/>
      </w:r>
    </w:p>
    <w:p>
      <w:pPr>
        <w:pStyle w:val="Normal"/>
        <w:jc w:val="end"/>
        <w:rPr/>
      </w:pPr>
      <w:r>
        <w:rPr/>
        <w:t>Таблица 13</w:t>
      </w:r>
    </w:p>
    <w:p>
      <w:pPr>
        <w:pStyle w:val="Normal"/>
        <w:jc w:val="end"/>
        <w:rPr/>
      </w:pPr>
      <w:r>
        <w:rPr/>
      </w:r>
    </w:p>
    <w:p>
      <w:pPr>
        <w:pStyle w:val="Normal"/>
        <w:jc w:val="end"/>
        <w:rPr/>
      </w:pPr>
      <w:r>
        <w:rPr/>
      </w:r>
    </w:p>
    <w:tbl>
      <w:tblPr>
        <w:tblW w:w="9290"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3795"/>
        <w:gridCol w:w="615"/>
        <w:gridCol w:w="615"/>
        <w:gridCol w:w="570"/>
        <w:gridCol w:w="585"/>
        <w:gridCol w:w="585"/>
        <w:gridCol w:w="630"/>
        <w:gridCol w:w="630"/>
        <w:gridCol w:w="615"/>
        <w:gridCol w:w="650"/>
      </w:tblGrid>
      <w:tr>
        <w:trPr/>
        <w:tc>
          <w:tcPr>
            <w:tcW w:w="3795" w:type="dxa"/>
            <w:tcBorders>
              <w:top w:val="single" w:sz="2" w:space="0" w:color="000000"/>
              <w:start w:val="single" w:sz="2" w:space="0" w:color="000000"/>
            </w:tcBorders>
            <w:shd w:fill="auto" w:val="clear"/>
            <w:tcMar>
              <w:start w:w="102" w:type="dxa"/>
            </w:tcMar>
          </w:tcPr>
          <w:p>
            <w:pPr>
              <w:pStyle w:val="Normal"/>
              <w:rPr/>
            </w:pPr>
            <w:r>
              <w:rPr>
                <w:vanish/>
              </w:rPr>
              <w:t>#G0</w:t>
            </w:r>
            <w:r>
              <w:rPr/>
              <w:t xml:space="preserve">  </w:t>
            </w:r>
          </w:p>
          <w:p>
            <w:pPr>
              <w:pStyle w:val="Normal"/>
              <w:rPr/>
            </w:pPr>
            <w:r>
              <w:rPr/>
            </w:r>
          </w:p>
        </w:tc>
        <w:tc>
          <w:tcPr>
            <w:tcW w:w="5495" w:type="dxa"/>
            <w:gridSpan w:val="9"/>
            <w:tcBorders>
              <w:top w:val="single" w:sz="2" w:space="0" w:color="000000"/>
              <w:start w:val="single" w:sz="2" w:space="0" w:color="000000"/>
              <w:end w:val="single" w:sz="2" w:space="0" w:color="000000"/>
              <w:insideV w:val="single" w:sz="2" w:space="0" w:color="000000"/>
            </w:tcBorders>
            <w:shd w:fill="auto" w:val="clear"/>
            <w:tcMar>
              <w:start w:w="102" w:type="dxa"/>
            </w:tcMar>
          </w:tcPr>
          <w:p>
            <w:pPr>
              <w:pStyle w:val="Normal"/>
              <w:jc w:val="center"/>
              <w:rPr/>
            </w:pPr>
            <w:r>
              <w:rPr/>
              <w:t xml:space="preserve">Категория водозаборных сооружений </w:t>
            </w:r>
          </w:p>
          <w:p>
            <w:pPr>
              <w:pStyle w:val="Normal"/>
              <w:jc w:val="center"/>
              <w:rPr/>
            </w:pPr>
            <w:r>
              <w:rPr/>
            </w:r>
          </w:p>
        </w:tc>
      </w:tr>
      <w:tr>
        <w:trPr/>
        <w:tc>
          <w:tcPr>
            <w:tcW w:w="3795" w:type="dxa"/>
            <w:tcBorders>
              <w:start w:val="single" w:sz="2" w:space="0" w:color="000000"/>
            </w:tcBorders>
            <w:shd w:fill="auto" w:val="clear"/>
            <w:tcMar>
              <w:start w:w="102" w:type="dxa"/>
            </w:tcMar>
          </w:tcPr>
          <w:p>
            <w:pPr>
              <w:pStyle w:val="Normal"/>
              <w:rPr/>
            </w:pPr>
            <w:r>
              <w:rPr/>
              <w:t xml:space="preserve">Водоприемные устройства </w:t>
            </w:r>
          </w:p>
          <w:p>
            <w:pPr>
              <w:pStyle w:val="Normal"/>
              <w:rPr/>
            </w:pPr>
            <w:r>
              <w:rPr/>
            </w:r>
          </w:p>
        </w:tc>
        <w:tc>
          <w:tcPr>
            <w:tcW w:w="5495" w:type="dxa"/>
            <w:gridSpan w:val="9"/>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Природные условия забора воды </w:t>
            </w:r>
          </w:p>
          <w:p>
            <w:pPr>
              <w:pStyle w:val="Normal"/>
              <w:rPr/>
            </w:pPr>
            <w:r>
              <w:rPr/>
            </w:r>
          </w:p>
        </w:tc>
      </w:tr>
      <w:tr>
        <w:trPr/>
        <w:tc>
          <w:tcPr>
            <w:tcW w:w="3795"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1800" w:type="dxa"/>
            <w:gridSpan w:val="3"/>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легкие </w:t>
            </w:r>
          </w:p>
          <w:p>
            <w:pPr>
              <w:pStyle w:val="Normal"/>
              <w:jc w:val="center"/>
              <w:rPr/>
            </w:pPr>
            <w:r>
              <w:rPr/>
            </w:r>
          </w:p>
        </w:tc>
        <w:tc>
          <w:tcPr>
            <w:tcW w:w="1800" w:type="dxa"/>
            <w:gridSpan w:val="3"/>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средние </w:t>
            </w:r>
          </w:p>
          <w:p>
            <w:pPr>
              <w:pStyle w:val="Normal"/>
              <w:rPr/>
            </w:pPr>
            <w:r>
              <w:rPr/>
            </w:r>
          </w:p>
        </w:tc>
        <w:tc>
          <w:tcPr>
            <w:tcW w:w="1895" w:type="dxa"/>
            <w:gridSpan w:val="3"/>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тяжелые </w:t>
            </w:r>
          </w:p>
          <w:p>
            <w:pPr>
              <w:pStyle w:val="Normal"/>
              <w:rPr/>
            </w:pPr>
            <w:r>
              <w:rPr/>
            </w:r>
          </w:p>
        </w:tc>
      </w:tr>
      <w:tr>
        <w:trPr/>
        <w:tc>
          <w:tcPr>
            <w:tcW w:w="3795"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5495" w:type="dxa"/>
            <w:gridSpan w:val="9"/>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jc w:val="center"/>
              <w:rPr/>
            </w:pPr>
            <w:r>
              <w:rPr/>
              <w:t xml:space="preserve">Схемы водозаборов </w:t>
            </w:r>
          </w:p>
          <w:p>
            <w:pPr>
              <w:pStyle w:val="Normal"/>
              <w:jc w:val="center"/>
              <w:rPr/>
            </w:pPr>
            <w:r>
              <w:rPr/>
            </w:r>
          </w:p>
        </w:tc>
      </w:tr>
      <w:tr>
        <w:trPr/>
        <w:tc>
          <w:tcPr>
            <w:tcW w:w="379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61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а </w:t>
            </w:r>
          </w:p>
          <w:p>
            <w:pPr>
              <w:pStyle w:val="Normal"/>
              <w:jc w:val="center"/>
              <w:rPr/>
            </w:pPr>
            <w:r>
              <w:rPr/>
            </w:r>
          </w:p>
        </w:tc>
        <w:tc>
          <w:tcPr>
            <w:tcW w:w="61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б </w:t>
            </w:r>
          </w:p>
          <w:p>
            <w:pPr>
              <w:pStyle w:val="Normal"/>
              <w:rPr/>
            </w:pPr>
            <w:r>
              <w:rPr/>
            </w:r>
          </w:p>
        </w:tc>
        <w:tc>
          <w:tcPr>
            <w:tcW w:w="57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в </w:t>
            </w:r>
          </w:p>
          <w:p>
            <w:pPr>
              <w:pStyle w:val="Normal"/>
              <w:rPr/>
            </w:pPr>
            <w:r>
              <w:rPr/>
            </w:r>
          </w:p>
        </w:tc>
        <w:tc>
          <w:tcPr>
            <w:tcW w:w="58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а </w:t>
            </w:r>
          </w:p>
          <w:p>
            <w:pPr>
              <w:pStyle w:val="Normal"/>
              <w:rPr/>
            </w:pPr>
            <w:r>
              <w:rPr/>
            </w:r>
          </w:p>
        </w:tc>
        <w:tc>
          <w:tcPr>
            <w:tcW w:w="58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б </w:t>
            </w:r>
          </w:p>
          <w:p>
            <w:pPr>
              <w:pStyle w:val="Normal"/>
              <w:rPr/>
            </w:pPr>
            <w:r>
              <w:rPr/>
            </w:r>
          </w:p>
        </w:tc>
        <w:tc>
          <w:tcPr>
            <w:tcW w:w="63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в </w:t>
            </w:r>
          </w:p>
          <w:p>
            <w:pPr>
              <w:pStyle w:val="Normal"/>
              <w:rPr/>
            </w:pPr>
            <w:r>
              <w:rPr/>
            </w:r>
          </w:p>
        </w:tc>
        <w:tc>
          <w:tcPr>
            <w:tcW w:w="63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а </w:t>
            </w:r>
          </w:p>
          <w:p>
            <w:pPr>
              <w:pStyle w:val="Normal"/>
              <w:rPr/>
            </w:pPr>
            <w:r>
              <w:rPr/>
            </w:r>
          </w:p>
        </w:tc>
        <w:tc>
          <w:tcPr>
            <w:tcW w:w="61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б </w:t>
            </w:r>
          </w:p>
          <w:p>
            <w:pPr>
              <w:pStyle w:val="Normal"/>
              <w:rPr/>
            </w:pPr>
            <w:r>
              <w:rPr/>
            </w:r>
          </w:p>
        </w:tc>
        <w:tc>
          <w:tcPr>
            <w:tcW w:w="65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в </w:t>
            </w:r>
          </w:p>
          <w:p>
            <w:pPr>
              <w:pStyle w:val="Normal"/>
              <w:rPr/>
            </w:pPr>
            <w:r>
              <w:rPr/>
            </w:r>
          </w:p>
        </w:tc>
      </w:tr>
      <w:tr>
        <w:trPr/>
        <w:tc>
          <w:tcPr>
            <w:tcW w:w="3795" w:type="dxa"/>
            <w:tcBorders>
              <w:start w:val="single" w:sz="2" w:space="0" w:color="000000"/>
            </w:tcBorders>
            <w:shd w:fill="auto" w:val="clear"/>
            <w:tcMar>
              <w:start w:w="102" w:type="dxa"/>
            </w:tcMar>
          </w:tcPr>
          <w:p>
            <w:pPr>
              <w:pStyle w:val="Normal"/>
              <w:snapToGrid w:val="false"/>
              <w:jc w:val="both"/>
              <w:rPr/>
            </w:pPr>
            <w:r>
              <w:rPr/>
            </w:r>
          </w:p>
          <w:p>
            <w:pPr>
              <w:pStyle w:val="Normal"/>
              <w:jc w:val="both"/>
              <w:rPr/>
            </w:pPr>
            <w:r>
              <w:rPr/>
              <w:t xml:space="preserve">Береговые, незатопляемые водоприемники с водоприемными отверстиями, всегда доступными для обслуживания, с необходимыми ограждающими и вспомогательными сооружениями и устройствами </w:t>
            </w:r>
          </w:p>
          <w:p>
            <w:pPr>
              <w:pStyle w:val="Normal"/>
              <w:jc w:val="both"/>
              <w:rPr/>
            </w:pPr>
            <w:r>
              <w:rPr/>
            </w:r>
          </w:p>
        </w:tc>
        <w:tc>
          <w:tcPr>
            <w:tcW w:w="615" w:type="dxa"/>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t xml:space="preserve">I </w:t>
            </w:r>
          </w:p>
          <w:p>
            <w:pPr>
              <w:pStyle w:val="Normal"/>
              <w:jc w:val="center"/>
              <w:rPr/>
            </w:pPr>
            <w:r>
              <w:rPr/>
            </w:r>
          </w:p>
        </w:tc>
        <w:tc>
          <w:tcPr>
            <w:tcW w:w="615" w:type="dxa"/>
            <w:tcBorders>
              <w:start w:val="single" w:sz="2" w:space="0" w:color="000000"/>
            </w:tcBorders>
            <w:shd w:fill="auto" w:val="clear"/>
            <w:tcMar>
              <w:start w:w="102" w:type="dxa"/>
            </w:tcMar>
          </w:tcPr>
          <w:p>
            <w:pPr>
              <w:pStyle w:val="Normal"/>
              <w:snapToGrid w:val="false"/>
              <w:rPr/>
            </w:pPr>
            <w:r>
              <w:rPr/>
            </w:r>
          </w:p>
          <w:p>
            <w:pPr>
              <w:pStyle w:val="Normal"/>
              <w:rPr/>
            </w:pPr>
            <w:r>
              <w:rPr/>
              <w:t>-</w:t>
            </w:r>
          </w:p>
          <w:p>
            <w:pPr>
              <w:pStyle w:val="Normal"/>
              <w:rPr/>
            </w:pPr>
            <w:r>
              <w:rPr/>
            </w:r>
          </w:p>
        </w:tc>
        <w:tc>
          <w:tcPr>
            <w:tcW w:w="570" w:type="dxa"/>
            <w:tcBorders>
              <w:start w:val="single" w:sz="2" w:space="0" w:color="000000"/>
            </w:tcBorders>
            <w:shd w:fill="auto" w:val="clear"/>
            <w:tcMar>
              <w:start w:w="102" w:type="dxa"/>
            </w:tcMar>
          </w:tcPr>
          <w:p>
            <w:pPr>
              <w:pStyle w:val="Normal"/>
              <w:snapToGrid w:val="false"/>
              <w:rPr/>
            </w:pPr>
            <w:r>
              <w:rPr/>
            </w:r>
          </w:p>
          <w:p>
            <w:pPr>
              <w:pStyle w:val="Normal"/>
              <w:rPr/>
            </w:pPr>
            <w:r>
              <w:rPr/>
              <w:t>-</w:t>
            </w:r>
          </w:p>
          <w:p>
            <w:pPr>
              <w:pStyle w:val="Normal"/>
              <w:rPr/>
            </w:pPr>
            <w:r>
              <w:rPr/>
            </w:r>
          </w:p>
        </w:tc>
        <w:tc>
          <w:tcPr>
            <w:tcW w:w="585"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I </w:t>
            </w:r>
          </w:p>
          <w:p>
            <w:pPr>
              <w:pStyle w:val="Normal"/>
              <w:rPr/>
            </w:pPr>
            <w:r>
              <w:rPr/>
            </w:r>
          </w:p>
        </w:tc>
        <w:tc>
          <w:tcPr>
            <w:tcW w:w="585" w:type="dxa"/>
            <w:tcBorders>
              <w:start w:val="single" w:sz="2" w:space="0" w:color="000000"/>
            </w:tcBorders>
            <w:shd w:fill="auto" w:val="clear"/>
            <w:tcMar>
              <w:start w:w="102" w:type="dxa"/>
            </w:tcMar>
          </w:tcPr>
          <w:p>
            <w:pPr>
              <w:pStyle w:val="Normal"/>
              <w:snapToGrid w:val="false"/>
              <w:rPr/>
            </w:pPr>
            <w:r>
              <w:rPr/>
            </w:r>
          </w:p>
          <w:p>
            <w:pPr>
              <w:pStyle w:val="Normal"/>
              <w:rPr/>
            </w:pPr>
            <w:r>
              <w:rPr/>
              <w:t>-</w:t>
            </w:r>
          </w:p>
          <w:p>
            <w:pPr>
              <w:pStyle w:val="Normal"/>
              <w:rPr/>
            </w:pPr>
            <w:r>
              <w:rPr/>
            </w:r>
          </w:p>
        </w:tc>
        <w:tc>
          <w:tcPr>
            <w:tcW w:w="630" w:type="dxa"/>
            <w:tcBorders>
              <w:start w:val="single" w:sz="2" w:space="0" w:color="000000"/>
            </w:tcBorders>
            <w:shd w:fill="auto" w:val="clear"/>
            <w:tcMar>
              <w:start w:w="102" w:type="dxa"/>
            </w:tcMar>
          </w:tcPr>
          <w:p>
            <w:pPr>
              <w:pStyle w:val="Normal"/>
              <w:snapToGrid w:val="false"/>
              <w:rPr/>
            </w:pPr>
            <w:r>
              <w:rPr/>
            </w:r>
          </w:p>
          <w:p>
            <w:pPr>
              <w:pStyle w:val="Normal"/>
              <w:rPr/>
            </w:pPr>
            <w:r>
              <w:rPr/>
              <w:t>-</w:t>
            </w:r>
          </w:p>
          <w:p>
            <w:pPr>
              <w:pStyle w:val="Normal"/>
              <w:rPr/>
            </w:pPr>
            <w:r>
              <w:rPr/>
            </w:r>
          </w:p>
        </w:tc>
        <w:tc>
          <w:tcPr>
            <w:tcW w:w="630"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II </w:t>
            </w:r>
          </w:p>
          <w:p>
            <w:pPr>
              <w:pStyle w:val="Normal"/>
              <w:rPr/>
            </w:pPr>
            <w:r>
              <w:rPr/>
            </w:r>
          </w:p>
        </w:tc>
        <w:tc>
          <w:tcPr>
            <w:tcW w:w="615"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I </w:t>
            </w:r>
          </w:p>
          <w:p>
            <w:pPr>
              <w:pStyle w:val="Normal"/>
              <w:rPr/>
            </w:pPr>
            <w:r>
              <w:rPr/>
            </w:r>
          </w:p>
        </w:tc>
        <w:tc>
          <w:tcPr>
            <w:tcW w:w="650" w:type="dxa"/>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t xml:space="preserve">I </w:t>
            </w:r>
          </w:p>
          <w:p>
            <w:pPr>
              <w:pStyle w:val="Normal"/>
              <w:rPr/>
            </w:pPr>
            <w:r>
              <w:rPr/>
            </w:r>
          </w:p>
        </w:tc>
      </w:tr>
      <w:tr>
        <w:trPr/>
        <w:tc>
          <w:tcPr>
            <w:tcW w:w="3795" w:type="dxa"/>
            <w:tcBorders>
              <w:start w:val="single" w:sz="2" w:space="0" w:color="000000"/>
            </w:tcBorders>
            <w:shd w:fill="auto" w:val="clear"/>
            <w:tcMar>
              <w:start w:w="102" w:type="dxa"/>
            </w:tcMar>
          </w:tcPr>
          <w:p>
            <w:pPr>
              <w:pStyle w:val="Normal"/>
              <w:snapToGrid w:val="false"/>
              <w:jc w:val="both"/>
              <w:rPr/>
            </w:pPr>
            <w:r>
              <w:rPr/>
            </w:r>
          </w:p>
          <w:p>
            <w:pPr>
              <w:pStyle w:val="Normal"/>
              <w:jc w:val="both"/>
              <w:rPr/>
            </w:pPr>
            <w:r>
              <w:rPr/>
              <w:t xml:space="preserve">Затопленные водоприемники всех типов, удаленные от берега, практически недоступные в отдельные периоды года </w:t>
            </w:r>
          </w:p>
          <w:p>
            <w:pPr>
              <w:pStyle w:val="Normal"/>
              <w:jc w:val="both"/>
              <w:rPr/>
            </w:pPr>
            <w:r>
              <w:rPr/>
            </w:r>
          </w:p>
        </w:tc>
        <w:tc>
          <w:tcPr>
            <w:tcW w:w="615" w:type="dxa"/>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t xml:space="preserve">I </w:t>
            </w:r>
          </w:p>
          <w:p>
            <w:pPr>
              <w:pStyle w:val="Normal"/>
              <w:jc w:val="center"/>
              <w:rPr/>
            </w:pPr>
            <w:r>
              <w:rPr/>
            </w:r>
          </w:p>
        </w:tc>
        <w:tc>
          <w:tcPr>
            <w:tcW w:w="615" w:type="dxa"/>
            <w:tcBorders>
              <w:start w:val="single" w:sz="2" w:space="0" w:color="000000"/>
            </w:tcBorders>
            <w:shd w:fill="auto" w:val="clear"/>
            <w:tcMar>
              <w:start w:w="102" w:type="dxa"/>
            </w:tcMar>
          </w:tcPr>
          <w:p>
            <w:pPr>
              <w:pStyle w:val="Normal"/>
              <w:snapToGrid w:val="false"/>
              <w:rPr/>
            </w:pPr>
            <w:r>
              <w:rPr/>
            </w:r>
          </w:p>
          <w:p>
            <w:pPr>
              <w:pStyle w:val="Normal"/>
              <w:rPr/>
            </w:pPr>
            <w:r>
              <w:rPr/>
              <w:t>-</w:t>
            </w:r>
          </w:p>
          <w:p>
            <w:pPr>
              <w:pStyle w:val="Normal"/>
              <w:rPr/>
            </w:pPr>
            <w:r>
              <w:rPr/>
            </w:r>
          </w:p>
        </w:tc>
        <w:tc>
          <w:tcPr>
            <w:tcW w:w="570" w:type="dxa"/>
            <w:tcBorders>
              <w:start w:val="single" w:sz="2" w:space="0" w:color="000000"/>
            </w:tcBorders>
            <w:shd w:fill="auto" w:val="clear"/>
            <w:tcMar>
              <w:start w:w="102" w:type="dxa"/>
            </w:tcMar>
          </w:tcPr>
          <w:p>
            <w:pPr>
              <w:pStyle w:val="Normal"/>
              <w:snapToGrid w:val="false"/>
              <w:rPr/>
            </w:pPr>
            <w:r>
              <w:rPr/>
            </w:r>
          </w:p>
          <w:p>
            <w:pPr>
              <w:pStyle w:val="Normal"/>
              <w:rPr/>
            </w:pPr>
            <w:r>
              <w:rPr/>
              <w:t>-</w:t>
            </w:r>
          </w:p>
          <w:p>
            <w:pPr>
              <w:pStyle w:val="Normal"/>
              <w:rPr/>
            </w:pPr>
            <w:r>
              <w:rPr/>
            </w:r>
          </w:p>
        </w:tc>
        <w:tc>
          <w:tcPr>
            <w:tcW w:w="585"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II </w:t>
            </w:r>
          </w:p>
          <w:p>
            <w:pPr>
              <w:pStyle w:val="Normal"/>
              <w:rPr/>
            </w:pPr>
            <w:r>
              <w:rPr/>
            </w:r>
          </w:p>
        </w:tc>
        <w:tc>
          <w:tcPr>
            <w:tcW w:w="585"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I </w:t>
            </w:r>
          </w:p>
          <w:p>
            <w:pPr>
              <w:pStyle w:val="Normal"/>
              <w:rPr/>
            </w:pPr>
            <w:r>
              <w:rPr/>
            </w:r>
          </w:p>
        </w:tc>
        <w:tc>
          <w:tcPr>
            <w:tcW w:w="630" w:type="dxa"/>
            <w:tcBorders>
              <w:start w:val="single" w:sz="2" w:space="0" w:color="000000"/>
            </w:tcBorders>
            <w:shd w:fill="auto" w:val="clear"/>
            <w:tcMar>
              <w:start w:w="102" w:type="dxa"/>
            </w:tcMar>
          </w:tcPr>
          <w:p>
            <w:pPr>
              <w:pStyle w:val="Normal"/>
              <w:snapToGrid w:val="false"/>
              <w:rPr/>
            </w:pPr>
            <w:r>
              <w:rPr/>
            </w:r>
          </w:p>
          <w:p>
            <w:pPr>
              <w:pStyle w:val="Normal"/>
              <w:rPr/>
            </w:pPr>
            <w:r>
              <w:rPr/>
              <w:t>-</w:t>
            </w:r>
          </w:p>
          <w:p>
            <w:pPr>
              <w:pStyle w:val="Normal"/>
              <w:rPr/>
            </w:pPr>
            <w:r>
              <w:rPr/>
            </w:r>
          </w:p>
        </w:tc>
        <w:tc>
          <w:tcPr>
            <w:tcW w:w="630"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III </w:t>
            </w:r>
          </w:p>
          <w:p>
            <w:pPr>
              <w:pStyle w:val="Normal"/>
              <w:rPr/>
            </w:pPr>
            <w:r>
              <w:rPr/>
            </w:r>
          </w:p>
        </w:tc>
        <w:tc>
          <w:tcPr>
            <w:tcW w:w="615"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II </w:t>
            </w:r>
          </w:p>
          <w:p>
            <w:pPr>
              <w:pStyle w:val="Normal"/>
              <w:rPr/>
            </w:pPr>
            <w:r>
              <w:rPr/>
            </w:r>
          </w:p>
        </w:tc>
        <w:tc>
          <w:tcPr>
            <w:tcW w:w="650" w:type="dxa"/>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t xml:space="preserve">I </w:t>
            </w:r>
          </w:p>
          <w:p>
            <w:pPr>
              <w:pStyle w:val="Normal"/>
              <w:rPr/>
            </w:pPr>
            <w:r>
              <w:rPr/>
            </w:r>
          </w:p>
        </w:tc>
      </w:tr>
      <w:tr>
        <w:trPr/>
        <w:tc>
          <w:tcPr>
            <w:tcW w:w="3795" w:type="dxa"/>
            <w:tcBorders>
              <w:start w:val="single" w:sz="2" w:space="0" w:color="000000"/>
            </w:tcBorders>
            <w:shd w:fill="auto" w:val="clear"/>
            <w:tcMar>
              <w:start w:w="102" w:type="dxa"/>
            </w:tcMar>
          </w:tcPr>
          <w:p>
            <w:pPr>
              <w:pStyle w:val="Normal"/>
              <w:snapToGrid w:val="false"/>
              <w:jc w:val="both"/>
              <w:rPr/>
            </w:pPr>
            <w:r>
              <w:rPr/>
            </w:r>
          </w:p>
          <w:p>
            <w:pPr>
              <w:pStyle w:val="Normal"/>
              <w:jc w:val="both"/>
              <w:rPr/>
            </w:pPr>
            <w:r>
              <w:rPr/>
              <w:t xml:space="preserve">Нестационарные водоприемные устройства:   </w:t>
            </w:r>
          </w:p>
          <w:p>
            <w:pPr>
              <w:pStyle w:val="Normal"/>
              <w:jc w:val="both"/>
              <w:rPr/>
            </w:pPr>
            <w:r>
              <w:rPr/>
            </w:r>
          </w:p>
        </w:tc>
        <w:tc>
          <w:tcPr>
            <w:tcW w:w="615" w:type="dxa"/>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r>
          </w:p>
        </w:tc>
        <w:tc>
          <w:tcPr>
            <w:tcW w:w="615"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tc>
        <w:tc>
          <w:tcPr>
            <w:tcW w:w="570"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tc>
        <w:tc>
          <w:tcPr>
            <w:tcW w:w="585"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tc>
        <w:tc>
          <w:tcPr>
            <w:tcW w:w="585"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tc>
        <w:tc>
          <w:tcPr>
            <w:tcW w:w="630"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tc>
        <w:tc>
          <w:tcPr>
            <w:tcW w:w="630"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tc>
        <w:tc>
          <w:tcPr>
            <w:tcW w:w="615"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tc>
        <w:tc>
          <w:tcPr>
            <w:tcW w:w="650" w:type="dxa"/>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tc>
      </w:tr>
      <w:tr>
        <w:trPr/>
        <w:tc>
          <w:tcPr>
            <w:tcW w:w="3795" w:type="dxa"/>
            <w:tcBorders>
              <w:start w:val="single" w:sz="2" w:space="0" w:color="000000"/>
            </w:tcBorders>
            <w:shd w:fill="auto" w:val="clear"/>
            <w:tcMar>
              <w:start w:w="102" w:type="dxa"/>
            </w:tcMar>
          </w:tcPr>
          <w:p>
            <w:pPr>
              <w:pStyle w:val="Normal"/>
              <w:ind w:firstLine="225"/>
              <w:jc w:val="both"/>
              <w:rPr/>
            </w:pPr>
            <w:r>
              <w:rPr/>
              <w:t xml:space="preserve">плавучие </w:t>
            </w:r>
          </w:p>
          <w:p>
            <w:pPr>
              <w:pStyle w:val="Normal"/>
              <w:ind w:firstLine="225"/>
              <w:jc w:val="both"/>
              <w:rPr/>
            </w:pPr>
            <w:r>
              <w:rPr/>
            </w:r>
          </w:p>
        </w:tc>
        <w:tc>
          <w:tcPr>
            <w:tcW w:w="615" w:type="dxa"/>
            <w:tcBorders>
              <w:start w:val="single" w:sz="2" w:space="0" w:color="000000"/>
            </w:tcBorders>
            <w:shd w:fill="auto" w:val="clear"/>
            <w:tcMar>
              <w:start w:w="102" w:type="dxa"/>
            </w:tcMar>
          </w:tcPr>
          <w:p>
            <w:pPr>
              <w:pStyle w:val="Normal"/>
              <w:jc w:val="center"/>
              <w:rPr/>
            </w:pPr>
            <w:r>
              <w:rPr/>
              <w:t xml:space="preserve">II </w:t>
            </w:r>
          </w:p>
          <w:p>
            <w:pPr>
              <w:pStyle w:val="Normal"/>
              <w:jc w:val="center"/>
              <w:rPr/>
            </w:pPr>
            <w:r>
              <w:rPr/>
            </w:r>
          </w:p>
        </w:tc>
        <w:tc>
          <w:tcPr>
            <w:tcW w:w="615" w:type="dxa"/>
            <w:tcBorders>
              <w:start w:val="single" w:sz="2" w:space="0" w:color="000000"/>
            </w:tcBorders>
            <w:shd w:fill="auto" w:val="clear"/>
            <w:tcMar>
              <w:start w:w="102" w:type="dxa"/>
            </w:tcMar>
          </w:tcPr>
          <w:p>
            <w:pPr>
              <w:pStyle w:val="Normal"/>
              <w:rPr/>
            </w:pPr>
            <w:r>
              <w:rPr/>
              <w:t xml:space="preserve">I </w:t>
            </w:r>
          </w:p>
          <w:p>
            <w:pPr>
              <w:pStyle w:val="Normal"/>
              <w:rPr/>
            </w:pPr>
            <w:r>
              <w:rPr/>
            </w:r>
          </w:p>
        </w:tc>
        <w:tc>
          <w:tcPr>
            <w:tcW w:w="570" w:type="dxa"/>
            <w:tcBorders>
              <w:start w:val="single" w:sz="2" w:space="0" w:color="000000"/>
            </w:tcBorders>
            <w:shd w:fill="auto" w:val="clear"/>
            <w:tcMar>
              <w:start w:w="102" w:type="dxa"/>
            </w:tcMar>
          </w:tcPr>
          <w:p>
            <w:pPr>
              <w:pStyle w:val="Normal"/>
              <w:rPr/>
            </w:pPr>
            <w:r>
              <w:rPr/>
              <w:t>-</w:t>
            </w:r>
          </w:p>
          <w:p>
            <w:pPr>
              <w:pStyle w:val="Normal"/>
              <w:rPr/>
            </w:pPr>
            <w:r>
              <w:rPr/>
            </w:r>
          </w:p>
        </w:tc>
        <w:tc>
          <w:tcPr>
            <w:tcW w:w="585" w:type="dxa"/>
            <w:tcBorders>
              <w:start w:val="single" w:sz="2" w:space="0" w:color="000000"/>
            </w:tcBorders>
            <w:shd w:fill="auto" w:val="clear"/>
            <w:tcMar>
              <w:start w:w="102" w:type="dxa"/>
            </w:tcMar>
          </w:tcPr>
          <w:p>
            <w:pPr>
              <w:pStyle w:val="Normal"/>
              <w:rPr/>
            </w:pPr>
            <w:r>
              <w:rPr/>
              <w:t xml:space="preserve">III </w:t>
            </w:r>
          </w:p>
          <w:p>
            <w:pPr>
              <w:pStyle w:val="Normal"/>
              <w:rPr/>
            </w:pPr>
            <w:r>
              <w:rPr/>
            </w:r>
          </w:p>
        </w:tc>
        <w:tc>
          <w:tcPr>
            <w:tcW w:w="585" w:type="dxa"/>
            <w:tcBorders>
              <w:start w:val="single" w:sz="2" w:space="0" w:color="000000"/>
            </w:tcBorders>
            <w:shd w:fill="auto" w:val="clear"/>
            <w:tcMar>
              <w:start w:w="102" w:type="dxa"/>
            </w:tcMar>
          </w:tcPr>
          <w:p>
            <w:pPr>
              <w:pStyle w:val="Normal"/>
              <w:rPr/>
            </w:pPr>
            <w:r>
              <w:rPr/>
              <w:t xml:space="preserve">III </w:t>
            </w:r>
          </w:p>
          <w:p>
            <w:pPr>
              <w:pStyle w:val="Normal"/>
              <w:rPr/>
            </w:pPr>
            <w:r>
              <w:rPr/>
            </w:r>
          </w:p>
        </w:tc>
        <w:tc>
          <w:tcPr>
            <w:tcW w:w="630" w:type="dxa"/>
            <w:tcBorders>
              <w:start w:val="single" w:sz="2" w:space="0" w:color="000000"/>
            </w:tcBorders>
            <w:shd w:fill="auto" w:val="clear"/>
            <w:tcMar>
              <w:start w:w="102" w:type="dxa"/>
            </w:tcMar>
          </w:tcPr>
          <w:p>
            <w:pPr>
              <w:pStyle w:val="Normal"/>
              <w:rPr/>
            </w:pPr>
            <w:r>
              <w:rPr/>
              <w:t xml:space="preserve">II </w:t>
            </w:r>
          </w:p>
          <w:p>
            <w:pPr>
              <w:pStyle w:val="Normal"/>
              <w:rPr/>
            </w:pPr>
            <w:r>
              <w:rPr/>
            </w:r>
          </w:p>
        </w:tc>
        <w:tc>
          <w:tcPr>
            <w:tcW w:w="630" w:type="dxa"/>
            <w:tcBorders>
              <w:start w:val="single" w:sz="2" w:space="0" w:color="000000"/>
            </w:tcBorders>
            <w:shd w:fill="auto" w:val="clear"/>
            <w:tcMar>
              <w:start w:w="102" w:type="dxa"/>
            </w:tcMar>
          </w:tcPr>
          <w:p>
            <w:pPr>
              <w:pStyle w:val="Normal"/>
              <w:rPr/>
            </w:pPr>
            <w:r>
              <w:rPr/>
              <w:t>-</w:t>
            </w:r>
          </w:p>
          <w:p>
            <w:pPr>
              <w:pStyle w:val="Normal"/>
              <w:rPr/>
            </w:pPr>
            <w:r>
              <w:rPr/>
            </w:r>
          </w:p>
        </w:tc>
        <w:tc>
          <w:tcPr>
            <w:tcW w:w="615" w:type="dxa"/>
            <w:tcBorders>
              <w:start w:val="single" w:sz="2" w:space="0" w:color="000000"/>
            </w:tcBorders>
            <w:shd w:fill="auto" w:val="clear"/>
            <w:tcMar>
              <w:start w:w="102" w:type="dxa"/>
            </w:tcMar>
          </w:tcPr>
          <w:p>
            <w:pPr>
              <w:pStyle w:val="Normal"/>
              <w:rPr/>
            </w:pPr>
            <w:r>
              <w:rPr/>
              <w:t>-</w:t>
            </w:r>
          </w:p>
          <w:p>
            <w:pPr>
              <w:pStyle w:val="Normal"/>
              <w:rPr/>
            </w:pPr>
            <w:r>
              <w:rPr/>
            </w:r>
          </w:p>
        </w:tc>
        <w:tc>
          <w:tcPr>
            <w:tcW w:w="650" w:type="dxa"/>
            <w:tcBorders>
              <w:start w:val="single" w:sz="2" w:space="0" w:color="000000"/>
              <w:end w:val="single" w:sz="2" w:space="0" w:color="000000"/>
              <w:insideV w:val="single" w:sz="2" w:space="0" w:color="000000"/>
            </w:tcBorders>
            <w:shd w:fill="auto" w:val="clear"/>
            <w:tcMar>
              <w:start w:w="102" w:type="dxa"/>
            </w:tcMar>
          </w:tcPr>
          <w:p>
            <w:pPr>
              <w:pStyle w:val="Normal"/>
              <w:rPr/>
            </w:pPr>
            <w:r>
              <w:rPr/>
              <w:t>-</w:t>
            </w:r>
          </w:p>
          <w:p>
            <w:pPr>
              <w:pStyle w:val="Normal"/>
              <w:rPr/>
            </w:pPr>
            <w:r>
              <w:rPr/>
            </w:r>
          </w:p>
        </w:tc>
      </w:tr>
      <w:tr>
        <w:trPr/>
        <w:tc>
          <w:tcPr>
            <w:tcW w:w="3795" w:type="dxa"/>
            <w:tcBorders>
              <w:start w:val="single" w:sz="2" w:space="0" w:color="000000"/>
            </w:tcBorders>
            <w:shd w:fill="auto" w:val="clear"/>
            <w:tcMar>
              <w:start w:w="102" w:type="dxa"/>
            </w:tcMar>
          </w:tcPr>
          <w:p>
            <w:pPr>
              <w:pStyle w:val="Normal"/>
              <w:ind w:firstLine="225"/>
              <w:jc w:val="both"/>
              <w:rPr/>
            </w:pPr>
            <w:r>
              <w:rPr/>
              <w:t>фуникулерные</w:t>
            </w:r>
          </w:p>
          <w:p>
            <w:pPr>
              <w:pStyle w:val="Normal"/>
              <w:ind w:firstLine="225"/>
              <w:jc w:val="both"/>
              <w:rPr/>
            </w:pPr>
            <w:r>
              <w:rPr/>
            </w:r>
          </w:p>
          <w:p>
            <w:pPr>
              <w:pStyle w:val="Normal"/>
              <w:ind w:firstLine="225"/>
              <w:jc w:val="both"/>
              <w:rPr/>
            </w:pPr>
            <w:r>
              <w:rPr/>
            </w:r>
          </w:p>
        </w:tc>
        <w:tc>
          <w:tcPr>
            <w:tcW w:w="615" w:type="dxa"/>
            <w:tcBorders>
              <w:start w:val="single" w:sz="2" w:space="0" w:color="000000"/>
            </w:tcBorders>
            <w:shd w:fill="auto" w:val="clear"/>
            <w:tcMar>
              <w:start w:w="102" w:type="dxa"/>
            </w:tcMar>
          </w:tcPr>
          <w:p>
            <w:pPr>
              <w:pStyle w:val="Normal"/>
              <w:jc w:val="center"/>
              <w:rPr/>
            </w:pPr>
            <w:r>
              <w:rPr/>
              <w:t xml:space="preserve">III </w:t>
            </w:r>
          </w:p>
          <w:p>
            <w:pPr>
              <w:pStyle w:val="Normal"/>
              <w:jc w:val="center"/>
              <w:rPr/>
            </w:pPr>
            <w:r>
              <w:rPr/>
            </w:r>
          </w:p>
        </w:tc>
        <w:tc>
          <w:tcPr>
            <w:tcW w:w="615" w:type="dxa"/>
            <w:tcBorders>
              <w:start w:val="single" w:sz="2" w:space="0" w:color="000000"/>
            </w:tcBorders>
            <w:shd w:fill="auto" w:val="clear"/>
            <w:tcMar>
              <w:start w:w="102" w:type="dxa"/>
            </w:tcMar>
          </w:tcPr>
          <w:p>
            <w:pPr>
              <w:pStyle w:val="Normal"/>
              <w:rPr/>
            </w:pPr>
            <w:r>
              <w:rPr/>
              <w:t xml:space="preserve">II </w:t>
            </w:r>
          </w:p>
          <w:p>
            <w:pPr>
              <w:pStyle w:val="Normal"/>
              <w:rPr/>
            </w:pPr>
            <w:r>
              <w:rPr/>
            </w:r>
          </w:p>
        </w:tc>
        <w:tc>
          <w:tcPr>
            <w:tcW w:w="57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585" w:type="dxa"/>
            <w:tcBorders>
              <w:start w:val="single" w:sz="2" w:space="0" w:color="000000"/>
            </w:tcBorders>
            <w:shd w:fill="auto" w:val="clear"/>
            <w:tcMar>
              <w:start w:w="102" w:type="dxa"/>
            </w:tcMar>
          </w:tcPr>
          <w:p>
            <w:pPr>
              <w:pStyle w:val="Normal"/>
              <w:rPr/>
            </w:pPr>
            <w:r>
              <w:rPr/>
              <w:t xml:space="preserve">   </w:t>
            </w:r>
            <w:r>
              <w:rPr/>
              <w:t xml:space="preserve">-  </w:t>
            </w:r>
          </w:p>
          <w:p>
            <w:pPr>
              <w:pStyle w:val="Normal"/>
              <w:rPr/>
            </w:pPr>
            <w:r>
              <w:rPr/>
            </w:r>
          </w:p>
        </w:tc>
        <w:tc>
          <w:tcPr>
            <w:tcW w:w="585" w:type="dxa"/>
            <w:tcBorders>
              <w:start w:val="single" w:sz="2" w:space="0" w:color="000000"/>
            </w:tcBorders>
            <w:shd w:fill="auto" w:val="clear"/>
            <w:tcMar>
              <w:start w:w="102" w:type="dxa"/>
            </w:tcMar>
          </w:tcPr>
          <w:p>
            <w:pPr>
              <w:pStyle w:val="Normal"/>
              <w:rPr/>
            </w:pPr>
            <w:r>
              <w:rPr/>
              <w:t xml:space="preserve">   </w:t>
            </w:r>
            <w:r>
              <w:rPr/>
              <w:t xml:space="preserve">-  </w:t>
            </w:r>
          </w:p>
          <w:p>
            <w:pPr>
              <w:pStyle w:val="Normal"/>
              <w:rPr/>
            </w:pPr>
            <w:r>
              <w:rPr/>
            </w:r>
          </w:p>
        </w:tc>
        <w:tc>
          <w:tcPr>
            <w:tcW w:w="63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630" w:type="dxa"/>
            <w:tcBorders>
              <w:start w:val="single" w:sz="2" w:space="0" w:color="000000"/>
            </w:tcBorders>
            <w:shd w:fill="auto" w:val="clear"/>
            <w:tcMar>
              <w:start w:w="102" w:type="dxa"/>
            </w:tcMar>
          </w:tcPr>
          <w:p>
            <w:pPr>
              <w:pStyle w:val="Normal"/>
              <w:rPr/>
            </w:pPr>
            <w:r>
              <w:rPr/>
              <w:t xml:space="preserve">    </w:t>
            </w:r>
            <w:r>
              <w:rPr/>
              <w:t xml:space="preserve">-  </w:t>
            </w:r>
          </w:p>
          <w:p>
            <w:pPr>
              <w:pStyle w:val="Normal"/>
              <w:rPr/>
            </w:pPr>
            <w:r>
              <w:rPr/>
            </w:r>
          </w:p>
        </w:tc>
        <w:tc>
          <w:tcPr>
            <w:tcW w:w="615" w:type="dxa"/>
            <w:tcBorders>
              <w:start w:val="single" w:sz="2" w:space="0" w:color="000000"/>
            </w:tcBorders>
            <w:shd w:fill="auto" w:val="clear"/>
            <w:tcMar>
              <w:start w:w="102" w:type="dxa"/>
            </w:tcMar>
          </w:tcPr>
          <w:p>
            <w:pPr>
              <w:pStyle w:val="Normal"/>
              <w:rPr/>
            </w:pPr>
            <w:r>
              <w:rPr/>
              <w:t xml:space="preserve">    </w:t>
            </w:r>
            <w:r>
              <w:rPr/>
              <w:t xml:space="preserve">-  </w:t>
            </w:r>
          </w:p>
          <w:p>
            <w:pPr>
              <w:pStyle w:val="Normal"/>
              <w:rPr/>
            </w:pPr>
            <w:r>
              <w:rPr/>
            </w:r>
          </w:p>
        </w:tc>
        <w:tc>
          <w:tcPr>
            <w:tcW w:w="65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    </w:t>
            </w:r>
            <w:r>
              <w:rPr/>
              <w:t>-</w:t>
            </w:r>
          </w:p>
          <w:p>
            <w:pPr>
              <w:pStyle w:val="Normal"/>
              <w:rPr/>
            </w:pPr>
            <w:r>
              <w:rPr/>
            </w:r>
          </w:p>
        </w:tc>
      </w:tr>
      <w:tr>
        <w:trPr/>
        <w:tc>
          <w:tcPr>
            <w:tcW w:w="379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61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61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57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58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58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63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63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61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65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  </w:t>
            </w:r>
          </w:p>
          <w:p>
            <w:pPr>
              <w:pStyle w:val="Normal"/>
              <w:rPr/>
            </w:pPr>
            <w:r>
              <w:rPr/>
            </w:r>
          </w:p>
        </w:tc>
      </w:tr>
    </w:tbl>
    <w:p>
      <w:pPr>
        <w:pStyle w:val="Normal"/>
        <w:ind w:firstLine="270"/>
        <w:jc w:val="both"/>
        <w:rPr/>
      </w:pPr>
      <w:r>
        <w:rPr/>
      </w:r>
    </w:p>
    <w:p>
      <w:pPr>
        <w:pStyle w:val="Normal"/>
        <w:ind w:firstLine="270"/>
        <w:jc w:val="both"/>
        <w:rPr/>
      </w:pPr>
      <w:r>
        <w:rPr/>
        <w:t xml:space="preserve">Примечания: 1. Таблица составлена для водозаборов, устраиваемых по трем схемам: схема "а" - в одном створе; схема "б" - то же, но при нескольких водоприемниках, снабженных средствами борьбы с шугой, наносами и другими затруднениями забора воды; схема "в" - в двух створах, удаленных на расстояние, исключающее возможность одновременного перерыва забора воды. </w:t>
      </w:r>
    </w:p>
    <w:p>
      <w:pPr>
        <w:pStyle w:val="Normal"/>
        <w:ind w:firstLine="270"/>
        <w:jc w:val="both"/>
        <w:rPr/>
      </w:pPr>
      <w:r>
        <w:rPr/>
      </w:r>
    </w:p>
    <w:p>
      <w:pPr>
        <w:pStyle w:val="Normal"/>
        <w:ind w:firstLine="270"/>
        <w:jc w:val="both"/>
        <w:rPr/>
      </w:pPr>
      <w:r>
        <w:rPr/>
        <w:t>2. В водозаборных сооружениях I и II категорий надлежит предусматривать секционирование водоприемной части.</w:t>
      </w:r>
    </w:p>
    <w:p>
      <w:pPr>
        <w:pStyle w:val="Normal"/>
        <w:ind w:firstLine="270"/>
        <w:jc w:val="both"/>
        <w:rPr/>
      </w:pPr>
      <w:r>
        <w:rPr/>
      </w:r>
    </w:p>
    <w:p>
      <w:pPr>
        <w:pStyle w:val="Normal"/>
        <w:ind w:firstLine="225"/>
        <w:jc w:val="both"/>
        <w:rPr/>
      </w:pPr>
      <w:r>
        <w:rPr/>
        <w:t>0,6-0,2 м/с - в береговые незатопляемые водоприемники;</w:t>
      </w:r>
    </w:p>
    <w:p>
      <w:pPr>
        <w:pStyle w:val="Normal"/>
        <w:ind w:firstLine="225"/>
        <w:jc w:val="both"/>
        <w:rPr/>
      </w:pPr>
      <w:r>
        <w:rPr/>
      </w:r>
    </w:p>
    <w:p>
      <w:pPr>
        <w:pStyle w:val="Normal"/>
        <w:ind w:firstLine="225"/>
        <w:jc w:val="both"/>
        <w:rPr/>
      </w:pPr>
      <w:r>
        <w:rPr/>
        <w:t xml:space="preserve">0,3-0,1 м/с - в затопленные водоприемники. </w:t>
      </w:r>
    </w:p>
    <w:p>
      <w:pPr>
        <w:pStyle w:val="Normal"/>
        <w:ind w:firstLine="225"/>
        <w:jc w:val="both"/>
        <w:rPr/>
      </w:pPr>
      <w:r>
        <w:rPr/>
      </w:r>
    </w:p>
    <w:p>
      <w:pPr>
        <w:pStyle w:val="Normal"/>
        <w:ind w:firstLine="225"/>
        <w:jc w:val="both"/>
        <w:rPr/>
      </w:pPr>
      <w:r>
        <w:rPr/>
        <w:t xml:space="preserve">С учетом требований рыбозащиты: </w:t>
      </w:r>
    </w:p>
    <w:p>
      <w:pPr>
        <w:pStyle w:val="Normal"/>
        <w:ind w:firstLine="135"/>
        <w:jc w:val="both"/>
        <w:rPr/>
      </w:pPr>
      <w:r>
        <w:rPr/>
      </w:r>
    </w:p>
    <w:p>
      <w:pPr>
        <w:pStyle w:val="Normal"/>
        <w:ind w:firstLine="225"/>
        <w:jc w:val="both"/>
        <w:rPr/>
      </w:pPr>
      <w:r>
        <w:rPr/>
        <w:t>в водотоках со скоростями течения свыше 0,4 м/с допустимая скорость втекания - 0,25 м/с;</w:t>
      </w:r>
    </w:p>
    <w:p>
      <w:pPr>
        <w:pStyle w:val="Normal"/>
        <w:ind w:firstLine="225"/>
        <w:jc w:val="both"/>
        <w:rPr/>
      </w:pPr>
      <w:r>
        <w:rPr/>
      </w:r>
    </w:p>
    <w:p>
      <w:pPr>
        <w:pStyle w:val="Normal"/>
        <w:ind w:firstLine="225"/>
        <w:jc w:val="both"/>
        <w:rPr/>
      </w:pPr>
      <w:r>
        <w:rPr/>
        <w:t>в водотоках со скоростями течения не свыше 0,4 м/с и в водоемах - 0,1 м/с.</w:t>
      </w:r>
    </w:p>
    <w:p>
      <w:pPr>
        <w:pStyle w:val="Normal"/>
        <w:ind w:firstLine="225"/>
        <w:jc w:val="both"/>
        <w:rPr/>
      </w:pPr>
      <w:r>
        <w:rPr/>
      </w:r>
    </w:p>
    <w:p>
      <w:pPr>
        <w:pStyle w:val="Normal"/>
        <w:ind w:firstLine="225"/>
        <w:jc w:val="both"/>
        <w:rPr/>
      </w:pPr>
      <w:r>
        <w:rPr/>
        <w:t xml:space="preserve">Для очень тяжелых шуголедовых условий скорость втекания воды в водоприемные окна следует снижать до 0,06 м/с.    </w:t>
      </w:r>
    </w:p>
    <w:p>
      <w:pPr>
        <w:pStyle w:val="Normal"/>
        <w:ind w:firstLine="225"/>
        <w:jc w:val="both"/>
        <w:rPr/>
      </w:pPr>
      <w:r>
        <w:rPr/>
      </w:r>
    </w:p>
    <w:p>
      <w:pPr>
        <w:pStyle w:val="Normal"/>
        <w:ind w:firstLine="225"/>
        <w:jc w:val="both"/>
        <w:rPr/>
      </w:pPr>
      <w:r>
        <w:rPr/>
      </w:r>
    </w:p>
    <w:tbl>
      <w:tblPr>
        <w:tblW w:w="8550" w:type="dxa"/>
        <w:jc w:val="start"/>
        <w:tblInd w:w="15" w:type="dxa"/>
        <w:tblBorders/>
        <w:tblCellMar>
          <w:top w:w="0" w:type="dxa"/>
          <w:start w:w="15" w:type="dxa"/>
          <w:bottom w:w="0" w:type="dxa"/>
          <w:end w:w="15" w:type="dxa"/>
        </w:tblCellMar>
      </w:tblPr>
      <w:tblGrid>
        <w:gridCol w:w="7155"/>
        <w:gridCol w:w="780"/>
        <w:gridCol w:w="615"/>
      </w:tblGrid>
      <w:tr>
        <w:trPr/>
        <w:tc>
          <w:tcPr>
            <w:tcW w:w="7155" w:type="dxa"/>
            <w:tcBorders/>
            <w:shd w:fill="auto" w:val="clear"/>
          </w:tcPr>
          <w:p>
            <w:pPr>
              <w:pStyle w:val="Normal"/>
              <w:rPr/>
            </w:pPr>
            <w:r>
              <w:rPr>
                <w:vanish/>
              </w:rPr>
              <w:t>#G0</w:t>
            </w:r>
            <w:r>
              <w:rPr/>
              <w:t xml:space="preserve">    5.95. Определение площади водоприемного отверстия (брутто) одной секции </w:t>
            </w:r>
          </w:p>
          <w:p>
            <w:pPr>
              <w:pStyle w:val="Normal"/>
              <w:rPr/>
            </w:pPr>
            <w:r>
              <w:rPr/>
            </w:r>
          </w:p>
        </w:tc>
        <w:tc>
          <w:tcPr>
            <w:tcW w:w="780" w:type="dxa"/>
            <w:tcBorders/>
            <w:shd w:fill="auto" w:val="clear"/>
          </w:tcPr>
          <w:p>
            <w:pPr>
              <w:pStyle w:val="Normal"/>
              <w:rPr/>
            </w:pPr>
            <w:r>
              <w:rPr/>
              <w:drawing>
                <wp:inline distT="0" distB="0" distL="0" distR="0">
                  <wp:extent cx="276225" cy="184150"/>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276225" cy="184150"/>
                          </a:xfrm>
                          <a:prstGeom prst="rect">
                            <a:avLst/>
                          </a:prstGeom>
                        </pic:spPr>
                      </pic:pic>
                    </a:graphicData>
                  </a:graphic>
                </wp:inline>
              </w:drawing>
            </w:r>
          </w:p>
        </w:tc>
        <w:tc>
          <w:tcPr>
            <w:tcW w:w="615" w:type="dxa"/>
            <w:tcBorders/>
            <w:shd w:fill="auto" w:val="clear"/>
          </w:tcPr>
          <w:p>
            <w:pPr>
              <w:pStyle w:val="Normal"/>
              <w:rPr/>
            </w:pPr>
            <w:r>
              <w:rPr/>
              <w:t>кв.м,</w:t>
            </w:r>
          </w:p>
          <w:p>
            <w:pPr>
              <w:pStyle w:val="Normal"/>
              <w:rPr/>
            </w:pPr>
            <w:r>
              <w:rPr/>
            </w:r>
          </w:p>
        </w:tc>
      </w:tr>
    </w:tbl>
    <w:p>
      <w:pPr>
        <w:pStyle w:val="Normal"/>
        <w:jc w:val="both"/>
        <w:rPr/>
      </w:pPr>
      <w:r>
        <w:rPr/>
        <w:t>следует производить при одновременной работе всех секций водозабора (кроме резервных) по формуле</w:t>
      </w:r>
    </w:p>
    <w:p>
      <w:pPr>
        <w:pStyle w:val="Normal"/>
        <w:jc w:val="both"/>
        <w:rPr/>
      </w:pPr>
      <w:r>
        <w:rPr/>
        <w:tab/>
        <w:tab/>
      </w:r>
    </w:p>
    <w:p>
      <w:pPr>
        <w:pStyle w:val="Normal"/>
        <w:jc w:val="both"/>
        <w:rPr/>
      </w:pPr>
      <w:r>
        <w:rPr/>
        <w:drawing>
          <wp:inline distT="0" distB="0" distL="0" distR="0">
            <wp:extent cx="3490595" cy="207645"/>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3490595" cy="207645"/>
                    </a:xfrm>
                    <a:prstGeom prst="rect">
                      <a:avLst/>
                    </a:prstGeom>
                  </pic:spPr>
                </pic:pic>
              </a:graphicData>
            </a:graphic>
          </wp:inline>
        </w:drawing>
      </w:r>
      <w:r>
        <w:rPr/>
        <w:tab/>
      </w:r>
    </w:p>
    <w:tbl>
      <w:tblPr>
        <w:tblW w:w="8580" w:type="dxa"/>
        <w:jc w:val="start"/>
        <w:tblInd w:w="15" w:type="dxa"/>
        <w:tblBorders/>
        <w:tblCellMar>
          <w:top w:w="0" w:type="dxa"/>
          <w:start w:w="15" w:type="dxa"/>
          <w:bottom w:w="0" w:type="dxa"/>
          <w:end w:w="15" w:type="dxa"/>
        </w:tblCellMar>
      </w:tblPr>
      <w:tblGrid>
        <w:gridCol w:w="450"/>
        <w:gridCol w:w="495"/>
        <w:gridCol w:w="7635"/>
      </w:tblGrid>
      <w:tr>
        <w:trPr/>
        <w:tc>
          <w:tcPr>
            <w:tcW w:w="450" w:type="dxa"/>
            <w:tcBorders/>
            <w:shd w:fill="auto" w:val="clear"/>
          </w:tcPr>
          <w:p>
            <w:pPr>
              <w:pStyle w:val="Normal"/>
              <w:rPr/>
            </w:pPr>
            <w:r>
              <w:rPr>
                <w:vanish/>
              </w:rPr>
              <w:t>#G0</w:t>
            </w:r>
            <w:r>
              <w:rPr/>
              <w:t xml:space="preserve">   где </w:t>
            </w:r>
          </w:p>
          <w:p>
            <w:pPr>
              <w:pStyle w:val="Normal"/>
              <w:rPr/>
            </w:pPr>
            <w:r>
              <w:rPr/>
            </w:r>
          </w:p>
        </w:tc>
        <w:tc>
          <w:tcPr>
            <w:tcW w:w="495" w:type="dxa"/>
            <w:tcBorders/>
            <w:shd w:fill="auto" w:val="clear"/>
          </w:tcPr>
          <w:p>
            <w:pPr>
              <w:pStyle w:val="Normal"/>
              <w:rPr/>
            </w:pPr>
            <w:r>
              <w:rPr/>
              <w:t xml:space="preserve">  </w:t>
            </w:r>
          </w:p>
          <w:p>
            <w:pPr>
              <w:pStyle w:val="Normal"/>
              <w:rPr/>
            </w:pPr>
            <w:r>
              <w:rPr/>
              <w:drawing>
                <wp:inline distT="0" distB="0" distL="0" distR="0">
                  <wp:extent cx="219075" cy="184150"/>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219075" cy="184150"/>
                          </a:xfrm>
                          <a:prstGeom prst="rect">
                            <a:avLst/>
                          </a:prstGeom>
                        </pic:spPr>
                      </pic:pic>
                    </a:graphicData>
                  </a:graphic>
                </wp:inline>
              </w:drawing>
            </w:r>
          </w:p>
        </w:tc>
        <w:tc>
          <w:tcPr>
            <w:tcW w:w="7635" w:type="dxa"/>
            <w:tcBorders/>
            <w:shd w:fill="auto" w:val="clear"/>
          </w:tcPr>
          <w:p>
            <w:pPr>
              <w:pStyle w:val="Normal"/>
              <w:rPr/>
            </w:pPr>
            <w:r>
              <w:rPr/>
              <w:t xml:space="preserve">  </w:t>
            </w:r>
          </w:p>
          <w:p>
            <w:pPr>
              <w:pStyle w:val="Normal"/>
              <w:ind w:firstLine="45"/>
              <w:jc w:val="both"/>
              <w:rPr/>
            </w:pPr>
            <w:r>
              <w:rPr/>
              <w:t>- скорость втекания в водоприемные отверстия, м/с, отнесенная к их сечению в свету;</w:t>
            </w:r>
          </w:p>
          <w:p>
            <w:pPr>
              <w:pStyle w:val="Normal"/>
              <w:ind w:firstLine="45"/>
              <w:jc w:val="both"/>
              <w:rPr/>
            </w:pPr>
            <w:r>
              <w:rPr/>
            </w:r>
          </w:p>
        </w:tc>
      </w:tr>
    </w:tbl>
    <w:p>
      <w:pPr>
        <w:pStyle w:val="Normal"/>
        <w:rPr/>
      </w:pPr>
      <w:r>
        <w:rPr/>
        <w:t xml:space="preserve">       </w:t>
      </w:r>
    </w:p>
    <w:p>
      <w:pPr>
        <w:pStyle w:val="Normal"/>
        <w:ind w:firstLine="585"/>
        <w:jc w:val="both"/>
        <w:rPr/>
      </w:pPr>
      <w:r>
        <w:rPr/>
        <w:t>1,25 - коэффициент, учитывающий засорение отверстий;</w:t>
      </w:r>
    </w:p>
    <w:p>
      <w:pPr>
        <w:pStyle w:val="Normal"/>
        <w:ind w:firstLine="135"/>
        <w:jc w:val="both"/>
        <w:rPr/>
      </w:pPr>
      <w:r>
        <w:rPr/>
      </w:r>
    </w:p>
    <w:tbl>
      <w:tblPr>
        <w:tblW w:w="6915" w:type="dxa"/>
        <w:jc w:val="start"/>
        <w:tblInd w:w="525" w:type="dxa"/>
        <w:tblBorders/>
        <w:tblCellMar>
          <w:top w:w="0" w:type="dxa"/>
          <w:start w:w="15" w:type="dxa"/>
          <w:bottom w:w="0" w:type="dxa"/>
          <w:end w:w="15" w:type="dxa"/>
        </w:tblCellMar>
      </w:tblPr>
      <w:tblGrid>
        <w:gridCol w:w="585"/>
        <w:gridCol w:w="6330"/>
      </w:tblGrid>
      <w:tr>
        <w:trPr/>
        <w:tc>
          <w:tcPr>
            <w:tcW w:w="585" w:type="dxa"/>
            <w:tcBorders/>
            <w:shd w:fill="auto" w:val="clear"/>
          </w:tcPr>
          <w:p>
            <w:pPr>
              <w:pStyle w:val="Normal"/>
              <w:rPr>
                <w:sz w:val="24"/>
              </w:rPr>
            </w:pPr>
            <w:r>
              <w:rPr/>
              <w:drawing>
                <wp:inline distT="0" distB="0" distL="0" distR="0">
                  <wp:extent cx="161290" cy="184150"/>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161290" cy="184150"/>
                          </a:xfrm>
                          <a:prstGeom prst="rect">
                            <a:avLst/>
                          </a:prstGeom>
                        </pic:spPr>
                      </pic:pic>
                    </a:graphicData>
                  </a:graphic>
                </wp:inline>
              </w:drawing>
            </w:r>
          </w:p>
        </w:tc>
        <w:tc>
          <w:tcPr>
            <w:tcW w:w="6330" w:type="dxa"/>
            <w:tcBorders/>
            <w:shd w:fill="auto" w:val="clear"/>
          </w:tcPr>
          <w:p>
            <w:pPr>
              <w:pStyle w:val="Normal"/>
              <w:rPr/>
            </w:pPr>
            <w:r>
              <w:rPr>
                <w:vanish/>
              </w:rPr>
              <w:t>#G0</w:t>
            </w:r>
            <w:r>
              <w:rPr/>
              <w:t xml:space="preserve"> -  расчетный расход одной секции, куб.м/с; </w:t>
            </w:r>
          </w:p>
          <w:p>
            <w:pPr>
              <w:pStyle w:val="Normal"/>
              <w:rPr/>
            </w:pPr>
            <w:r>
              <w:rPr/>
            </w:r>
          </w:p>
        </w:tc>
      </w:tr>
    </w:tbl>
    <w:p>
      <w:pPr>
        <w:pStyle w:val="Normal"/>
        <w:ind w:firstLine="225"/>
        <w:jc w:val="both"/>
        <w:rPr/>
      </w:pPr>
      <w:r>
        <w:rPr/>
      </w:r>
    </w:p>
    <w:tbl>
      <w:tblPr>
        <w:tblW w:w="7965" w:type="dxa"/>
        <w:jc w:val="start"/>
        <w:tblInd w:w="435" w:type="dxa"/>
        <w:tblBorders/>
        <w:tblCellMar>
          <w:top w:w="0" w:type="dxa"/>
          <w:start w:w="15" w:type="dxa"/>
          <w:bottom w:w="0" w:type="dxa"/>
          <w:end w:w="15" w:type="dxa"/>
        </w:tblCellMar>
      </w:tblPr>
      <w:tblGrid>
        <w:gridCol w:w="705"/>
        <w:gridCol w:w="7260"/>
      </w:tblGrid>
      <w:tr>
        <w:trPr/>
        <w:tc>
          <w:tcPr>
            <w:tcW w:w="705" w:type="dxa"/>
            <w:tcBorders/>
            <w:shd w:fill="auto" w:val="clear"/>
          </w:tcPr>
          <w:p>
            <w:pPr>
              <w:pStyle w:val="Normal"/>
              <w:rPr>
                <w:sz w:val="24"/>
              </w:rPr>
            </w:pPr>
            <w:r>
              <w:rPr/>
              <w:drawing>
                <wp:inline distT="0" distB="0" distL="0" distR="0">
                  <wp:extent cx="230505" cy="172720"/>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230505" cy="172720"/>
                          </a:xfrm>
                          <a:prstGeom prst="rect">
                            <a:avLst/>
                          </a:prstGeom>
                        </pic:spPr>
                      </pic:pic>
                    </a:graphicData>
                  </a:graphic>
                </wp:inline>
              </w:drawing>
            </w:r>
          </w:p>
        </w:tc>
        <w:tc>
          <w:tcPr>
            <w:tcW w:w="7260" w:type="dxa"/>
            <w:tcBorders/>
            <w:shd w:fill="auto" w:val="clear"/>
          </w:tcPr>
          <w:p>
            <w:pPr>
              <w:pStyle w:val="Normal"/>
              <w:rPr/>
            </w:pPr>
            <w:r>
              <w:rPr>
                <w:vanish/>
              </w:rPr>
              <w:t>#G0</w:t>
            </w:r>
            <w:r>
              <w:rPr/>
              <w:t>- коэффициент, учитывающий стеснение отверстий стержнями решеток или сеток,</w:t>
            </w:r>
          </w:p>
          <w:p>
            <w:pPr>
              <w:pStyle w:val="Normal"/>
              <w:rPr/>
            </w:pPr>
            <w:r>
              <w:rPr/>
            </w:r>
          </w:p>
        </w:tc>
      </w:tr>
    </w:tbl>
    <w:p>
      <w:pPr>
        <w:pStyle w:val="Normal"/>
        <w:jc w:val="both"/>
        <w:rPr/>
      </w:pPr>
      <w:r>
        <w:rPr/>
        <w:t xml:space="preserve">принимаемый     </w:t>
      </w:r>
    </w:p>
    <w:tbl>
      <w:tblPr>
        <w:tblW w:w="7455" w:type="dxa"/>
        <w:jc w:val="start"/>
        <w:tblInd w:w="15" w:type="dxa"/>
        <w:tblBorders/>
        <w:tblCellMar>
          <w:top w:w="0" w:type="dxa"/>
          <w:start w:w="15" w:type="dxa"/>
          <w:bottom w:w="0" w:type="dxa"/>
          <w:end w:w="15" w:type="dxa"/>
        </w:tblCellMar>
      </w:tblPr>
      <w:tblGrid>
        <w:gridCol w:w="2310"/>
        <w:gridCol w:w="1575"/>
        <w:gridCol w:w="2445"/>
        <w:gridCol w:w="1125"/>
      </w:tblGrid>
      <w:tr>
        <w:trPr/>
        <w:tc>
          <w:tcPr>
            <w:tcW w:w="2310" w:type="dxa"/>
            <w:tcBorders/>
            <w:shd w:fill="auto" w:val="clear"/>
          </w:tcPr>
          <w:p>
            <w:pPr>
              <w:pStyle w:val="Normal"/>
              <w:rPr/>
            </w:pPr>
            <w:r>
              <w:rPr/>
              <w:drawing>
                <wp:inline distT="0" distB="0" distL="0" distR="0">
                  <wp:extent cx="1209675" cy="184150"/>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1209675" cy="184150"/>
                          </a:xfrm>
                          <a:prstGeom prst="rect">
                            <a:avLst/>
                          </a:prstGeom>
                        </pic:spPr>
                      </pic:pic>
                    </a:graphicData>
                  </a:graphic>
                </wp:inline>
              </w:drawing>
            </w:r>
            <w:r>
              <w:rPr>
                <w:vanish/>
              </w:rPr>
              <w:t>#G0</w:t>
            </w:r>
          </w:p>
          <w:p>
            <w:pPr>
              <w:pStyle w:val="Normal"/>
              <w:rPr/>
            </w:pPr>
            <w:r>
              <w:rPr/>
            </w:r>
          </w:p>
        </w:tc>
        <w:tc>
          <w:tcPr>
            <w:tcW w:w="1575" w:type="dxa"/>
            <w:tcBorders/>
            <w:shd w:fill="auto" w:val="clear"/>
          </w:tcPr>
          <w:p>
            <w:pPr>
              <w:pStyle w:val="Normal"/>
              <w:rPr/>
            </w:pPr>
            <w:r>
              <w:rPr/>
              <w:t xml:space="preserve">    </w:t>
            </w:r>
            <w:r>
              <w:rPr/>
              <w:t xml:space="preserve">для решеток и </w:t>
            </w:r>
          </w:p>
          <w:p>
            <w:pPr>
              <w:pStyle w:val="Normal"/>
              <w:rPr/>
            </w:pPr>
            <w:r>
              <w:rPr/>
            </w:r>
          </w:p>
        </w:tc>
        <w:tc>
          <w:tcPr>
            <w:tcW w:w="2445" w:type="dxa"/>
            <w:tcBorders/>
            <w:shd w:fill="auto" w:val="clear"/>
          </w:tcPr>
          <w:p>
            <w:pPr>
              <w:pStyle w:val="Normal"/>
              <w:rPr/>
            </w:pPr>
            <w:r>
              <w:rPr/>
              <w:drawing>
                <wp:inline distT="0" distB="0" distL="0" distR="0">
                  <wp:extent cx="1348105" cy="253365"/>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1348105" cy="253365"/>
                          </a:xfrm>
                          <a:prstGeom prst="rect">
                            <a:avLst/>
                          </a:prstGeom>
                        </pic:spPr>
                      </pic:pic>
                    </a:graphicData>
                  </a:graphic>
                </wp:inline>
              </w:drawing>
            </w:r>
          </w:p>
        </w:tc>
        <w:tc>
          <w:tcPr>
            <w:tcW w:w="1125" w:type="dxa"/>
            <w:tcBorders/>
            <w:shd w:fill="auto" w:val="clear"/>
          </w:tcPr>
          <w:p>
            <w:pPr>
              <w:pStyle w:val="Normal"/>
              <w:rPr/>
            </w:pPr>
            <w:r>
              <w:rPr/>
              <w:t xml:space="preserve">  </w:t>
            </w:r>
            <w:r>
              <w:rPr/>
              <w:t>для сеток,</w:t>
            </w:r>
          </w:p>
          <w:p>
            <w:pPr>
              <w:pStyle w:val="Normal"/>
              <w:rPr/>
            </w:pPr>
            <w:r>
              <w:rPr/>
            </w:r>
          </w:p>
        </w:tc>
      </w:tr>
    </w:tbl>
    <w:p>
      <w:pPr>
        <w:pStyle w:val="Normal"/>
        <w:jc w:val="both"/>
        <w:rPr/>
      </w:pPr>
      <w:r>
        <w:rPr/>
      </w:r>
    </w:p>
    <w:p>
      <w:pPr>
        <w:pStyle w:val="Normal"/>
        <w:ind w:firstLine="90"/>
        <w:jc w:val="both"/>
        <w:rPr/>
      </w:pPr>
      <w:r>
        <w:rPr/>
      </w:r>
    </w:p>
    <w:tbl>
      <w:tblPr>
        <w:tblW w:w="5205" w:type="dxa"/>
        <w:jc w:val="start"/>
        <w:tblInd w:w="165" w:type="dxa"/>
        <w:tblBorders/>
        <w:tblCellMar>
          <w:top w:w="0" w:type="dxa"/>
          <w:start w:w="15" w:type="dxa"/>
          <w:bottom w:w="0" w:type="dxa"/>
          <w:end w:w="15" w:type="dxa"/>
        </w:tblCellMar>
      </w:tblPr>
      <w:tblGrid>
        <w:gridCol w:w="450"/>
        <w:gridCol w:w="600"/>
        <w:gridCol w:w="4155"/>
      </w:tblGrid>
      <w:tr>
        <w:trPr/>
        <w:tc>
          <w:tcPr>
            <w:tcW w:w="450" w:type="dxa"/>
            <w:tcBorders/>
            <w:shd w:fill="auto" w:val="clear"/>
          </w:tcPr>
          <w:p>
            <w:pPr>
              <w:pStyle w:val="Normal"/>
              <w:rPr/>
            </w:pPr>
            <w:r>
              <w:rPr>
                <w:vanish/>
              </w:rPr>
              <w:t>#G0</w:t>
            </w:r>
            <w:r>
              <w:rPr/>
              <w:t xml:space="preserve"> где </w:t>
            </w:r>
          </w:p>
          <w:p>
            <w:pPr>
              <w:pStyle w:val="Normal"/>
              <w:rPr/>
            </w:pPr>
            <w:r>
              <w:rPr/>
            </w:r>
          </w:p>
        </w:tc>
        <w:tc>
          <w:tcPr>
            <w:tcW w:w="600" w:type="dxa"/>
            <w:tcBorders/>
            <w:shd w:fill="auto" w:val="clear"/>
          </w:tcPr>
          <w:p>
            <w:pPr>
              <w:pStyle w:val="Normal"/>
              <w:rPr/>
            </w:pPr>
            <w:r>
              <w:rPr/>
              <w:drawing>
                <wp:inline distT="0" distB="0" distL="0" distR="0">
                  <wp:extent cx="184150" cy="172720"/>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184150" cy="172720"/>
                          </a:xfrm>
                          <a:prstGeom prst="rect">
                            <a:avLst/>
                          </a:prstGeom>
                        </pic:spPr>
                      </pic:pic>
                    </a:graphicData>
                  </a:graphic>
                </wp:inline>
              </w:drawing>
            </w:r>
          </w:p>
        </w:tc>
        <w:tc>
          <w:tcPr>
            <w:tcW w:w="4155" w:type="dxa"/>
            <w:tcBorders/>
            <w:shd w:fill="auto" w:val="clear"/>
          </w:tcPr>
          <w:p>
            <w:pPr>
              <w:pStyle w:val="Normal"/>
              <w:rPr/>
            </w:pPr>
            <w:r>
              <w:rPr/>
              <w:t xml:space="preserve"> </w:t>
            </w:r>
            <w:r>
              <w:rPr/>
              <w:t xml:space="preserve">-  расстояние между стержнями в свету, см; </w:t>
            </w:r>
          </w:p>
          <w:p>
            <w:pPr>
              <w:pStyle w:val="Normal"/>
              <w:rPr/>
            </w:pPr>
            <w:r>
              <w:rPr/>
            </w:r>
          </w:p>
        </w:tc>
      </w:tr>
    </w:tbl>
    <w:p>
      <w:pPr>
        <w:pStyle w:val="Normal"/>
        <w:ind w:firstLine="405"/>
        <w:jc w:val="both"/>
        <w:rPr/>
      </w:pPr>
      <w:r>
        <w:rPr/>
      </w:r>
    </w:p>
    <w:tbl>
      <w:tblPr>
        <w:tblW w:w="3780" w:type="dxa"/>
        <w:jc w:val="start"/>
        <w:tblInd w:w="645" w:type="dxa"/>
        <w:tblBorders/>
        <w:tblCellMar>
          <w:top w:w="0" w:type="dxa"/>
          <w:start w:w="15" w:type="dxa"/>
          <w:bottom w:w="0" w:type="dxa"/>
          <w:end w:w="15" w:type="dxa"/>
        </w:tblCellMar>
      </w:tblPr>
      <w:tblGrid>
        <w:gridCol w:w="570"/>
        <w:gridCol w:w="3210"/>
      </w:tblGrid>
      <w:tr>
        <w:trPr/>
        <w:tc>
          <w:tcPr>
            <w:tcW w:w="570" w:type="dxa"/>
            <w:tcBorders/>
            <w:shd w:fill="auto" w:val="clear"/>
          </w:tcPr>
          <w:p>
            <w:pPr>
              <w:pStyle w:val="Normal"/>
              <w:rPr>
                <w:sz w:val="24"/>
              </w:rPr>
            </w:pPr>
            <w:r>
              <w:rPr/>
              <w:drawing>
                <wp:inline distT="0" distB="0" distL="0" distR="0">
                  <wp:extent cx="195580" cy="172720"/>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195580" cy="172720"/>
                          </a:xfrm>
                          <a:prstGeom prst="rect">
                            <a:avLst/>
                          </a:prstGeom>
                        </pic:spPr>
                      </pic:pic>
                    </a:graphicData>
                  </a:graphic>
                </wp:inline>
              </w:drawing>
            </w:r>
          </w:p>
        </w:tc>
        <w:tc>
          <w:tcPr>
            <w:tcW w:w="3210" w:type="dxa"/>
            <w:tcBorders/>
            <w:shd w:fill="auto" w:val="clear"/>
          </w:tcPr>
          <w:p>
            <w:pPr>
              <w:pStyle w:val="Normal"/>
              <w:rPr/>
            </w:pPr>
            <w:r>
              <w:rPr>
                <w:vanish/>
              </w:rPr>
              <w:t>#G0</w:t>
            </w:r>
            <w:r>
              <w:rPr/>
              <w:t xml:space="preserve"> - толщина стержней, см. </w:t>
            </w:r>
          </w:p>
          <w:p>
            <w:pPr>
              <w:pStyle w:val="Normal"/>
              <w:rPr/>
            </w:pPr>
            <w:r>
              <w:rPr/>
            </w:r>
          </w:p>
        </w:tc>
      </w:tr>
    </w:tbl>
    <w:p>
      <w:pPr>
        <w:pStyle w:val="Normal"/>
        <w:ind w:firstLine="495"/>
        <w:jc w:val="both"/>
        <w:rPr/>
      </w:pPr>
      <w:r>
        <w:rPr/>
      </w:r>
    </w:p>
    <w:p>
      <w:pPr>
        <w:pStyle w:val="Normal"/>
        <w:ind w:firstLine="270"/>
        <w:jc w:val="both"/>
        <w:rPr/>
      </w:pPr>
      <w:r>
        <w:rPr/>
        <w:t xml:space="preserve">В водоприемниках фильтрующего типа площадь водоприемного фильтра следует определять по формуле (5) при значении коэффициента     </w:t>
      </w:r>
    </w:p>
    <w:tbl>
      <w:tblPr>
        <w:tblW w:w="8580" w:type="dxa"/>
        <w:jc w:val="start"/>
        <w:tblInd w:w="165" w:type="dxa"/>
        <w:tblBorders/>
        <w:tblCellMar>
          <w:top w:w="0" w:type="dxa"/>
          <w:start w:w="15" w:type="dxa"/>
          <w:bottom w:w="0" w:type="dxa"/>
          <w:end w:w="15" w:type="dxa"/>
        </w:tblCellMar>
      </w:tblPr>
      <w:tblGrid>
        <w:gridCol w:w="450"/>
        <w:gridCol w:w="480"/>
        <w:gridCol w:w="7650"/>
      </w:tblGrid>
      <w:tr>
        <w:trPr/>
        <w:tc>
          <w:tcPr>
            <w:tcW w:w="450" w:type="dxa"/>
            <w:tcBorders/>
            <w:shd w:fill="auto" w:val="clear"/>
          </w:tcPr>
          <w:p>
            <w:pPr>
              <w:pStyle w:val="Normal"/>
              <w:rPr/>
            </w:pPr>
            <w:r>
              <w:rPr/>
              <w:drawing>
                <wp:inline distT="0" distB="0" distL="0" distR="0">
                  <wp:extent cx="668020" cy="184150"/>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668020" cy="184150"/>
                          </a:xfrm>
                          <a:prstGeom prst="rect">
                            <a:avLst/>
                          </a:prstGeom>
                        </pic:spPr>
                      </pic:pic>
                    </a:graphicData>
                  </a:graphic>
                </wp:inline>
              </w:drawing>
            </w:r>
            <w:r>
              <w:rPr>
                <w:vanish/>
              </w:rPr>
              <w:t>#G0</w:t>
            </w:r>
            <w:r>
              <w:rPr/>
              <w:t xml:space="preserve">  где     </w:t>
            </w:r>
          </w:p>
          <w:p>
            <w:pPr>
              <w:pStyle w:val="Normal"/>
              <w:rPr/>
            </w:pPr>
            <w:r>
              <w:rPr/>
            </w:r>
          </w:p>
        </w:tc>
        <w:tc>
          <w:tcPr>
            <w:tcW w:w="480" w:type="dxa"/>
            <w:tcBorders/>
            <w:shd w:fill="auto" w:val="clear"/>
          </w:tcPr>
          <w:p>
            <w:pPr>
              <w:pStyle w:val="Normal"/>
              <w:rPr/>
            </w:pPr>
            <w:r>
              <w:rPr/>
              <w:t xml:space="preserve">  </w:t>
            </w:r>
          </w:p>
          <w:p>
            <w:pPr>
              <w:pStyle w:val="Normal"/>
              <w:rPr/>
            </w:pPr>
            <w:r>
              <w:rPr/>
              <w:drawing>
                <wp:inline distT="0" distB="0" distL="0" distR="0">
                  <wp:extent cx="184150" cy="184150"/>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184150" cy="184150"/>
                          </a:xfrm>
                          <a:prstGeom prst="rect">
                            <a:avLst/>
                          </a:prstGeom>
                        </pic:spPr>
                      </pic:pic>
                    </a:graphicData>
                  </a:graphic>
                </wp:inline>
              </w:drawing>
            </w:r>
          </w:p>
        </w:tc>
        <w:tc>
          <w:tcPr>
            <w:tcW w:w="7650" w:type="dxa"/>
            <w:tcBorders/>
            <w:shd w:fill="auto" w:val="clear"/>
          </w:tcPr>
          <w:p>
            <w:pPr>
              <w:pStyle w:val="Normal"/>
              <w:rPr/>
            </w:pPr>
            <w:r>
              <w:rPr/>
              <w:t xml:space="preserve">  </w:t>
            </w:r>
          </w:p>
          <w:p>
            <w:pPr>
              <w:pStyle w:val="Normal"/>
              <w:jc w:val="both"/>
              <w:rPr/>
            </w:pPr>
            <w:r>
              <w:rPr/>
              <w:t xml:space="preserve">- пористость фильтра, принимаемая для гравийно-щебеночных фильтров 0,3-0,5 м и </w:t>
            </w:r>
          </w:p>
          <w:p>
            <w:pPr>
              <w:pStyle w:val="Normal"/>
              <w:jc w:val="both"/>
              <w:rPr/>
            </w:pPr>
            <w:r>
              <w:rPr/>
            </w:r>
          </w:p>
        </w:tc>
      </w:tr>
      <w:tr>
        <w:trPr/>
        <w:tc>
          <w:tcPr>
            <w:tcW w:w="450" w:type="dxa"/>
            <w:tcBorders/>
            <w:shd w:fill="auto" w:val="clear"/>
          </w:tcPr>
          <w:p>
            <w:pPr>
              <w:pStyle w:val="Normal"/>
              <w:rPr/>
            </w:pPr>
            <w:r>
              <w:rPr/>
              <w:t xml:space="preserve">  </w:t>
            </w:r>
          </w:p>
          <w:p>
            <w:pPr>
              <w:pStyle w:val="Normal"/>
              <w:rPr/>
            </w:pPr>
            <w:r>
              <w:rPr/>
            </w:r>
          </w:p>
        </w:tc>
        <w:tc>
          <w:tcPr>
            <w:tcW w:w="480" w:type="dxa"/>
            <w:tcBorders/>
            <w:shd w:fill="auto" w:val="clear"/>
          </w:tcPr>
          <w:p>
            <w:pPr>
              <w:pStyle w:val="Normal"/>
              <w:rPr/>
            </w:pPr>
            <w:r>
              <w:rPr/>
              <w:t xml:space="preserve">   </w:t>
            </w:r>
          </w:p>
          <w:p>
            <w:pPr>
              <w:pStyle w:val="Normal"/>
              <w:rPr/>
            </w:pPr>
            <w:r>
              <w:rPr/>
            </w:r>
          </w:p>
        </w:tc>
        <w:tc>
          <w:tcPr>
            <w:tcW w:w="7650" w:type="dxa"/>
            <w:tcBorders/>
            <w:shd w:fill="auto" w:val="clear"/>
          </w:tcPr>
          <w:p>
            <w:pPr>
              <w:pStyle w:val="Normal"/>
              <w:rPr/>
            </w:pPr>
            <w:r>
              <w:rPr/>
              <w:t xml:space="preserve">  </w:t>
            </w:r>
            <w:r>
              <w:rPr/>
              <w:t>пороэластовых -  0,25-0,35 м.</w:t>
            </w:r>
          </w:p>
          <w:p>
            <w:pPr>
              <w:pStyle w:val="Normal"/>
              <w:ind w:firstLine="225"/>
              <w:jc w:val="both"/>
              <w:rPr/>
            </w:pPr>
            <w:r>
              <w:rPr/>
            </w:r>
          </w:p>
          <w:p>
            <w:pPr>
              <w:pStyle w:val="Normal"/>
              <w:ind w:firstLine="225"/>
              <w:jc w:val="both"/>
              <w:rPr/>
            </w:pPr>
            <w:r>
              <w:rPr/>
            </w:r>
          </w:p>
        </w:tc>
      </w:tr>
    </w:tbl>
    <w:p>
      <w:pPr>
        <w:pStyle w:val="Normal"/>
        <w:ind w:firstLine="270"/>
        <w:jc w:val="both"/>
        <w:rPr/>
      </w:pPr>
      <w:r>
        <w:rPr/>
        <w:t>5.96. Низ водоприемных отверстий должен быть расположен не менее 0,5 м выше дна водоема или водотока, верх водоприемных отверстий или затопленных сооружений -  не менее 0,2 м от нижней кромки льда.</w:t>
      </w:r>
    </w:p>
    <w:p>
      <w:pPr>
        <w:pStyle w:val="Normal"/>
        <w:ind w:firstLine="225"/>
        <w:jc w:val="both"/>
        <w:rPr/>
      </w:pPr>
      <w:r>
        <w:rPr/>
      </w:r>
    </w:p>
    <w:p>
      <w:pPr>
        <w:pStyle w:val="Normal"/>
        <w:ind w:firstLine="270"/>
        <w:jc w:val="both"/>
        <w:rPr/>
      </w:pPr>
      <w:r>
        <w:rPr/>
        <w:t>5.97. Для борьбы с оледенением и закупоркой шугой водоприемников в тяжелых шуголедовых условиях следует предусматривать электрообогрев решеток, подвод к водоприемным отверстиям теплой воды или сжатого воздуха или импульсную промывку в сочетании с обратной. Стержни сороудерживающих решеток должны быть изготовлены из гидрофобных материалов или покрыты ими.</w:t>
      </w:r>
    </w:p>
    <w:p>
      <w:pPr>
        <w:pStyle w:val="Normal"/>
        <w:ind w:firstLine="270"/>
        <w:jc w:val="both"/>
        <w:rPr/>
      </w:pPr>
      <w:r>
        <w:rPr/>
      </w:r>
    </w:p>
    <w:p>
      <w:pPr>
        <w:pStyle w:val="Normal"/>
        <w:ind w:firstLine="270"/>
        <w:jc w:val="both"/>
        <w:rPr/>
      </w:pPr>
      <w:r>
        <w:rPr/>
        <w:t>Примечание. Для удаления шуги из береговых водоприемных колодцев и сеточных камер должны предусматриваться соответствующие приспособления.</w:t>
      </w:r>
    </w:p>
    <w:p>
      <w:pPr>
        <w:pStyle w:val="Normal"/>
        <w:ind w:firstLine="270"/>
        <w:jc w:val="both"/>
        <w:rPr/>
      </w:pPr>
      <w:r>
        <w:rPr/>
      </w:r>
    </w:p>
    <w:p>
      <w:pPr>
        <w:pStyle w:val="Normal"/>
        <w:ind w:firstLine="270"/>
        <w:jc w:val="both"/>
        <w:rPr/>
      </w:pPr>
      <w:r>
        <w:rPr/>
        <w:t>5.98. В случае необходимости следует предусматривать меры борьбы с обрастанием элементов водозаборного сооружения дрейсеной, балянусом, мидиями и т.п. путем обработки воды хлором или раствором медного купороса.</w:t>
      </w:r>
    </w:p>
    <w:p>
      <w:pPr>
        <w:pStyle w:val="Normal"/>
        <w:ind w:firstLine="225"/>
        <w:jc w:val="both"/>
        <w:rPr/>
      </w:pPr>
      <w:r>
        <w:rPr/>
      </w:r>
    </w:p>
    <w:p>
      <w:pPr>
        <w:pStyle w:val="Normal"/>
        <w:ind w:firstLine="270"/>
        <w:jc w:val="both"/>
        <w:rPr/>
      </w:pPr>
      <w:r>
        <w:rPr/>
        <w:t>Дозы, периодичность и продолжительность обработки воды реагентами надлежит определять на основании данных технологических исследований.</w:t>
      </w:r>
    </w:p>
    <w:p>
      <w:pPr>
        <w:pStyle w:val="Normal"/>
        <w:ind w:firstLine="225"/>
        <w:jc w:val="both"/>
        <w:rPr/>
      </w:pPr>
      <w:r>
        <w:rPr/>
      </w:r>
    </w:p>
    <w:p>
      <w:pPr>
        <w:pStyle w:val="Normal"/>
        <w:ind w:firstLine="270"/>
        <w:jc w:val="both"/>
        <w:rPr/>
      </w:pPr>
      <w:r>
        <w:rPr/>
        <w:t>При отсутствии этих данных дозу хлора следует принимать на 2 мг/л более хлорпоглощаемости воды, но не менее 5 мг/л.</w:t>
      </w:r>
    </w:p>
    <w:p>
      <w:pPr>
        <w:pStyle w:val="Normal"/>
        <w:ind w:firstLine="270"/>
        <w:jc w:val="both"/>
        <w:rPr/>
      </w:pPr>
      <w:r>
        <w:rPr/>
      </w:r>
    </w:p>
    <w:p>
      <w:pPr>
        <w:pStyle w:val="Normal"/>
        <w:ind w:firstLine="225"/>
        <w:jc w:val="both"/>
        <w:rPr/>
      </w:pPr>
      <w:r>
        <w:rPr/>
        <w:t>Периодичность и продолжительность хлорирования рекомендуется принимать при хлорпоглощаемости воды:</w:t>
      </w:r>
    </w:p>
    <w:p>
      <w:pPr>
        <w:pStyle w:val="Normal"/>
        <w:ind w:firstLine="225"/>
        <w:jc w:val="both"/>
        <w:rPr/>
      </w:pPr>
      <w:r>
        <w:rPr/>
      </w:r>
    </w:p>
    <w:p>
      <w:pPr>
        <w:pStyle w:val="Normal"/>
        <w:ind w:firstLine="270"/>
        <w:jc w:val="both"/>
        <w:rPr/>
      </w:pPr>
      <w:r>
        <w:rPr/>
        <w:t>до 3 мг/л - весной и осенью в течение 7 - 10 дней;</w:t>
      </w:r>
    </w:p>
    <w:p>
      <w:pPr>
        <w:pStyle w:val="Normal"/>
        <w:ind w:firstLine="225"/>
        <w:jc w:val="both"/>
        <w:rPr/>
      </w:pPr>
      <w:r>
        <w:rPr/>
      </w:r>
    </w:p>
    <w:p>
      <w:pPr>
        <w:pStyle w:val="Normal"/>
        <w:ind w:firstLine="270"/>
        <w:jc w:val="both"/>
        <w:rPr/>
      </w:pPr>
      <w:r>
        <w:rPr/>
        <w:t>свыше 3 мг/л  - с мая по октябрь в те дни, когда средняя суточная температура воздуха превышает +10 град.С.</w:t>
      </w:r>
    </w:p>
    <w:p>
      <w:pPr>
        <w:pStyle w:val="Normal"/>
        <w:ind w:firstLine="270"/>
        <w:jc w:val="both"/>
        <w:rPr/>
      </w:pPr>
      <w:r>
        <w:rPr/>
      </w:r>
    </w:p>
    <w:p>
      <w:pPr>
        <w:pStyle w:val="Normal"/>
        <w:ind w:firstLine="225"/>
        <w:jc w:val="both"/>
        <w:rPr/>
      </w:pPr>
      <w:r>
        <w:rPr/>
        <w:t>Дозу медного купороса (по меди) необходимо принимать 1 - 1,5 мг/л.</w:t>
      </w:r>
    </w:p>
    <w:p>
      <w:pPr>
        <w:pStyle w:val="Normal"/>
        <w:ind w:firstLine="225"/>
        <w:jc w:val="both"/>
        <w:rPr/>
      </w:pPr>
      <w:r>
        <w:rPr/>
      </w:r>
    </w:p>
    <w:p>
      <w:pPr>
        <w:pStyle w:val="Normal"/>
        <w:ind w:firstLine="225"/>
        <w:jc w:val="both"/>
        <w:rPr/>
      </w:pPr>
      <w:r>
        <w:rPr/>
        <w:t>Периодичность и продолжительность купоросования надлежит предусматривать через каждые двое суток в течение 1 ч.</w:t>
      </w:r>
    </w:p>
    <w:p>
      <w:pPr>
        <w:pStyle w:val="Normal"/>
        <w:ind w:firstLine="270"/>
        <w:jc w:val="both"/>
        <w:rPr/>
      </w:pPr>
      <w:r>
        <w:rPr/>
      </w:r>
    </w:p>
    <w:p>
      <w:pPr>
        <w:pStyle w:val="Normal"/>
        <w:ind w:firstLine="270"/>
        <w:jc w:val="both"/>
        <w:rPr/>
      </w:pPr>
      <w:r>
        <w:rPr/>
        <w:t>Примечания: 1. Допускается применение лакокрасочных и пластмассовых покрытий элементов водозаборных сооружений.</w:t>
      </w:r>
    </w:p>
    <w:p>
      <w:pPr>
        <w:pStyle w:val="Normal"/>
        <w:ind w:firstLine="270"/>
        <w:jc w:val="both"/>
        <w:rPr/>
      </w:pPr>
      <w:r>
        <w:rPr/>
      </w:r>
    </w:p>
    <w:p>
      <w:pPr>
        <w:pStyle w:val="Normal"/>
        <w:ind w:firstLine="225"/>
        <w:jc w:val="both"/>
        <w:rPr/>
      </w:pPr>
      <w:r>
        <w:rPr/>
        <w:t>2. В период проведения обратной промывки водоприемников и самотечных водоводов подача реагентов в водоприемники не допускается.</w:t>
      </w:r>
    </w:p>
    <w:p>
      <w:pPr>
        <w:pStyle w:val="Normal"/>
        <w:ind w:firstLine="270"/>
        <w:jc w:val="both"/>
        <w:rPr/>
      </w:pPr>
      <w:r>
        <w:rPr/>
      </w:r>
    </w:p>
    <w:p>
      <w:pPr>
        <w:pStyle w:val="Normal"/>
        <w:ind w:firstLine="270"/>
        <w:jc w:val="both"/>
        <w:rPr/>
      </w:pPr>
      <w:r>
        <w:rPr/>
        <w:t>5.99. Ориентировочные скорости движения воды в самотечных и сифонных водоводах при нормальном режиме работы водозаборных сооружений допускается принимать по табл. 14.</w:t>
      </w:r>
    </w:p>
    <w:p>
      <w:pPr>
        <w:pStyle w:val="Normal"/>
        <w:ind w:firstLine="270"/>
        <w:jc w:val="both"/>
        <w:rPr/>
      </w:pPr>
      <w:r>
        <w:rPr/>
      </w:r>
    </w:p>
    <w:p>
      <w:pPr>
        <w:pStyle w:val="Normal"/>
        <w:jc w:val="end"/>
        <w:rPr/>
      </w:pPr>
      <w:r>
        <w:rPr/>
        <w:t>Таблица 14</w:t>
      </w:r>
    </w:p>
    <w:p>
      <w:pPr>
        <w:pStyle w:val="Normal"/>
        <w:jc w:val="end"/>
        <w:rPr/>
      </w:pPr>
      <w:r>
        <w:rPr/>
      </w:r>
    </w:p>
    <w:p>
      <w:pPr>
        <w:pStyle w:val="Normal"/>
        <w:jc w:val="end"/>
        <w:rPr/>
      </w:pPr>
      <w:r>
        <w:rPr/>
      </w:r>
    </w:p>
    <w:tbl>
      <w:tblPr>
        <w:tblW w:w="6350"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2145"/>
        <w:gridCol w:w="2145"/>
        <w:gridCol w:w="2045"/>
        <w:gridCol w:w="15"/>
      </w:tblGrid>
      <w:tr>
        <w:trPr/>
        <w:tc>
          <w:tcPr>
            <w:tcW w:w="2145" w:type="dxa"/>
            <w:tcBorders>
              <w:top w:val="single" w:sz="2" w:space="0" w:color="000000"/>
              <w:start w:val="single" w:sz="2" w:space="0" w:color="000000"/>
            </w:tcBorders>
            <w:shd w:fill="auto" w:val="clear"/>
            <w:tcMar>
              <w:start w:w="102" w:type="dxa"/>
            </w:tcMar>
          </w:tcPr>
          <w:p>
            <w:pPr>
              <w:pStyle w:val="Normal"/>
              <w:jc w:val="center"/>
              <w:rPr/>
            </w:pPr>
            <w:r>
              <w:rPr>
                <w:vanish/>
              </w:rPr>
              <w:t>#G0</w:t>
            </w:r>
            <w:r>
              <w:rPr/>
              <w:t xml:space="preserve">Диаметры водоводов, мм </w:t>
            </w:r>
          </w:p>
          <w:p>
            <w:pPr>
              <w:pStyle w:val="Normal"/>
              <w:jc w:val="center"/>
              <w:rPr/>
            </w:pPr>
            <w:r>
              <w:rPr/>
            </w:r>
          </w:p>
        </w:tc>
        <w:tc>
          <w:tcPr>
            <w:tcW w:w="4205" w:type="dxa"/>
            <w:gridSpan w:val="2"/>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Скорости движения воды, м/с, в водозаборах категорий </w:t>
            </w:r>
          </w:p>
          <w:p>
            <w:pPr>
              <w:pStyle w:val="Normal"/>
              <w:rPr/>
            </w:pPr>
            <w:r>
              <w:rPr/>
            </w:r>
          </w:p>
        </w:tc>
      </w:tr>
      <w:tr>
        <w:trPr/>
        <w:tc>
          <w:tcPr>
            <w:tcW w:w="214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214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I </w:t>
            </w:r>
          </w:p>
          <w:p>
            <w:pPr>
              <w:pStyle w:val="Normal"/>
              <w:jc w:val="center"/>
              <w:rPr/>
            </w:pPr>
            <w:r>
              <w:rPr/>
            </w:r>
          </w:p>
        </w:tc>
        <w:tc>
          <w:tcPr>
            <w:tcW w:w="204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II и III </w:t>
            </w:r>
          </w:p>
          <w:p>
            <w:pPr>
              <w:pStyle w:val="Normal"/>
              <w:rPr/>
            </w:pPr>
            <w:r>
              <w:rPr/>
            </w:r>
          </w:p>
        </w:tc>
      </w:tr>
      <w:tr>
        <w:trPr/>
        <w:tc>
          <w:tcPr>
            <w:tcW w:w="2145" w:type="dxa"/>
            <w:tcBorders>
              <w:start w:val="single" w:sz="2" w:space="0" w:color="000000"/>
            </w:tcBorders>
            <w:shd w:fill="auto" w:val="clear"/>
            <w:tcMar>
              <w:start w:w="102" w:type="dxa"/>
            </w:tcMar>
          </w:tcPr>
          <w:p>
            <w:pPr>
              <w:pStyle w:val="Normal"/>
              <w:rPr/>
            </w:pPr>
            <w:r>
              <w:rPr/>
              <w:t xml:space="preserve">300-500 </w:t>
            </w:r>
          </w:p>
          <w:p>
            <w:pPr>
              <w:pStyle w:val="Normal"/>
              <w:rPr/>
            </w:pPr>
            <w:r>
              <w:rPr/>
            </w:r>
          </w:p>
        </w:tc>
        <w:tc>
          <w:tcPr>
            <w:tcW w:w="2145" w:type="dxa"/>
            <w:tcBorders>
              <w:start w:val="single" w:sz="2" w:space="0" w:color="000000"/>
            </w:tcBorders>
            <w:shd w:fill="auto" w:val="clear"/>
            <w:tcMar>
              <w:start w:w="102" w:type="dxa"/>
            </w:tcMar>
          </w:tcPr>
          <w:p>
            <w:pPr>
              <w:pStyle w:val="Normal"/>
              <w:rPr/>
            </w:pPr>
            <w:r>
              <w:rPr/>
              <w:t xml:space="preserve">0,7-1 </w:t>
            </w:r>
          </w:p>
          <w:p>
            <w:pPr>
              <w:pStyle w:val="Normal"/>
              <w:rPr/>
            </w:pPr>
            <w:r>
              <w:rPr/>
            </w:r>
          </w:p>
        </w:tc>
        <w:tc>
          <w:tcPr>
            <w:tcW w:w="204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1-1,5 </w:t>
            </w:r>
          </w:p>
          <w:p>
            <w:pPr>
              <w:pStyle w:val="Normal"/>
              <w:rPr/>
            </w:pPr>
            <w:r>
              <w:rPr/>
            </w:r>
          </w:p>
        </w:tc>
      </w:tr>
      <w:tr>
        <w:trPr/>
        <w:tc>
          <w:tcPr>
            <w:tcW w:w="2145" w:type="dxa"/>
            <w:tcBorders>
              <w:start w:val="single" w:sz="2" w:space="0" w:color="000000"/>
            </w:tcBorders>
            <w:shd w:fill="auto" w:val="clear"/>
            <w:tcMar>
              <w:start w:w="102" w:type="dxa"/>
            </w:tcMar>
          </w:tcPr>
          <w:p>
            <w:pPr>
              <w:pStyle w:val="Normal"/>
              <w:rPr/>
            </w:pPr>
            <w:r>
              <w:rPr/>
              <w:t xml:space="preserve">500-800 </w:t>
            </w:r>
          </w:p>
          <w:p>
            <w:pPr>
              <w:pStyle w:val="Normal"/>
              <w:rPr/>
            </w:pPr>
            <w:r>
              <w:rPr/>
            </w:r>
          </w:p>
        </w:tc>
        <w:tc>
          <w:tcPr>
            <w:tcW w:w="2145" w:type="dxa"/>
            <w:tcBorders>
              <w:start w:val="single" w:sz="2" w:space="0" w:color="000000"/>
            </w:tcBorders>
            <w:shd w:fill="auto" w:val="clear"/>
            <w:tcMar>
              <w:start w:w="102" w:type="dxa"/>
            </w:tcMar>
          </w:tcPr>
          <w:p>
            <w:pPr>
              <w:pStyle w:val="Normal"/>
              <w:rPr/>
            </w:pPr>
            <w:r>
              <w:rPr/>
              <w:t xml:space="preserve">1-1,4 </w:t>
            </w:r>
          </w:p>
          <w:p>
            <w:pPr>
              <w:pStyle w:val="Normal"/>
              <w:rPr/>
            </w:pPr>
            <w:r>
              <w:rPr/>
            </w:r>
          </w:p>
        </w:tc>
        <w:tc>
          <w:tcPr>
            <w:tcW w:w="204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1,5-1,9 </w:t>
            </w:r>
          </w:p>
          <w:p>
            <w:pPr>
              <w:pStyle w:val="Normal"/>
              <w:rPr/>
            </w:pPr>
            <w:r>
              <w:rPr/>
            </w:r>
          </w:p>
        </w:tc>
      </w:tr>
      <w:tr>
        <w:trPr/>
        <w:tc>
          <w:tcPr>
            <w:tcW w:w="214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Более 800 </w:t>
            </w:r>
          </w:p>
          <w:p>
            <w:pPr>
              <w:pStyle w:val="Normal"/>
              <w:rPr/>
            </w:pPr>
            <w:r>
              <w:rPr/>
            </w:r>
          </w:p>
        </w:tc>
        <w:tc>
          <w:tcPr>
            <w:tcW w:w="214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1,5 </w:t>
            </w:r>
          </w:p>
          <w:p>
            <w:pPr>
              <w:pStyle w:val="Normal"/>
              <w:rPr/>
            </w:pPr>
            <w:r>
              <w:rPr/>
            </w:r>
          </w:p>
        </w:tc>
        <w:tc>
          <w:tcPr>
            <w:tcW w:w="204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2 </w:t>
            </w:r>
          </w:p>
          <w:p>
            <w:pPr>
              <w:pStyle w:val="Normal"/>
              <w:rPr/>
            </w:pPr>
            <w:r>
              <w:rPr/>
            </w:r>
          </w:p>
        </w:tc>
      </w:tr>
    </w:tbl>
    <w:p>
      <w:pPr>
        <w:pStyle w:val="Normal"/>
        <w:ind w:firstLine="270"/>
        <w:jc w:val="both"/>
        <w:rPr/>
      </w:pPr>
      <w:r>
        <w:rPr/>
      </w:r>
    </w:p>
    <w:p>
      <w:pPr>
        <w:pStyle w:val="Normal"/>
        <w:ind w:firstLine="270"/>
        <w:jc w:val="both"/>
        <w:rPr/>
      </w:pPr>
      <w:r>
        <w:rPr/>
        <w:t>Примечание. При наличии возможности обрастания водоводов дрейсеной, балянусом, мидиями и т.п. расчет потерь в водоводе следует производить при значении коэффициента шероховатости 0,02.</w:t>
      </w:r>
    </w:p>
    <w:p>
      <w:pPr>
        <w:pStyle w:val="Normal"/>
        <w:ind w:firstLine="270"/>
        <w:jc w:val="both"/>
        <w:rPr/>
      </w:pPr>
      <w:r>
        <w:rPr/>
      </w:r>
    </w:p>
    <w:p>
      <w:pPr>
        <w:pStyle w:val="Normal"/>
        <w:ind w:firstLine="270"/>
        <w:jc w:val="both"/>
        <w:rPr/>
      </w:pPr>
      <w:r>
        <w:rPr/>
        <w:t>5.100. Сифонные водоводы допускается применять в водозаборах II и III категорий.</w:t>
      </w:r>
    </w:p>
    <w:p>
      <w:pPr>
        <w:pStyle w:val="Normal"/>
        <w:ind w:firstLine="270"/>
        <w:jc w:val="both"/>
        <w:rPr/>
      </w:pPr>
      <w:r>
        <w:rPr/>
      </w:r>
    </w:p>
    <w:p>
      <w:pPr>
        <w:pStyle w:val="Normal"/>
        <w:ind w:firstLine="225"/>
        <w:jc w:val="both"/>
        <w:rPr/>
      </w:pPr>
      <w:r>
        <w:rPr/>
        <w:t>Применение сифонных водоводов в водозаборах I категории должно быть обосновано.</w:t>
      </w:r>
    </w:p>
    <w:p>
      <w:pPr>
        <w:pStyle w:val="Normal"/>
        <w:ind w:firstLine="225"/>
        <w:jc w:val="both"/>
        <w:rPr/>
      </w:pPr>
      <w:r>
        <w:rPr/>
      </w:r>
    </w:p>
    <w:p>
      <w:pPr>
        <w:pStyle w:val="Normal"/>
        <w:ind w:firstLine="225"/>
        <w:jc w:val="both"/>
        <w:rPr/>
      </w:pPr>
      <w:r>
        <w:rPr/>
        <w:t>5.101. Сифонные и самотечные водоводы, как правило, следует принимать из стальных труб. Допускается применение пластмассовых и железобетонных труб.</w:t>
      </w:r>
    </w:p>
    <w:p>
      <w:pPr>
        <w:pStyle w:val="Normal"/>
        <w:ind w:firstLine="225"/>
        <w:jc w:val="both"/>
        <w:rPr/>
      </w:pPr>
      <w:r>
        <w:rPr/>
      </w:r>
    </w:p>
    <w:p>
      <w:pPr>
        <w:pStyle w:val="Normal"/>
        <w:ind w:firstLine="225"/>
        <w:jc w:val="both"/>
        <w:rPr/>
      </w:pPr>
      <w:r>
        <w:rPr/>
        <w:t>5.102. Для самотечных водоводов на участке примыкания к подземной части водоприемных колодцев и насосных станций, выполняемых опускным способом, рекомендуется метод бестраншейной прокладки.</w:t>
      </w:r>
    </w:p>
    <w:p>
      <w:pPr>
        <w:pStyle w:val="Normal"/>
        <w:ind w:firstLine="225"/>
        <w:jc w:val="both"/>
        <w:rPr/>
      </w:pPr>
      <w:r>
        <w:rPr/>
      </w:r>
    </w:p>
    <w:p>
      <w:pPr>
        <w:pStyle w:val="Normal"/>
        <w:ind w:firstLine="270"/>
        <w:jc w:val="both"/>
        <w:rPr/>
      </w:pPr>
      <w:r>
        <w:rPr/>
        <w:t>5.103. Стальные самотечные и сифонные водоводы должны проверяться на всплывание и устраиваться с противокоррозионной оклеечной изоляцией, а при необходимости  - и с катодной или протекторной защитой. При пересечении самотечными или сифонными водоводами участков с вечномерзлыми грунтами должны быть предусмотрены мероприятия, исключающие замерзание воды внутри водовода.</w:t>
      </w:r>
    </w:p>
    <w:p>
      <w:pPr>
        <w:pStyle w:val="Normal"/>
        <w:ind w:firstLine="180"/>
        <w:jc w:val="both"/>
        <w:rPr/>
      </w:pPr>
      <w:r>
        <w:rPr/>
      </w:r>
    </w:p>
    <w:p>
      <w:pPr>
        <w:pStyle w:val="Normal"/>
        <w:ind w:firstLine="315"/>
        <w:jc w:val="both"/>
        <w:rPr/>
      </w:pPr>
      <w:r>
        <w:rPr/>
        <w:t>5.104. Самотечные и сифонные водоводы в пределах русла водотока должны защищаться снаружи от истираний донными наносами и от повреждений якорями путем заглубления водоводов под дно с учетом местных условий, но не менее чем на 0,5 м, или обсыпки грунтом с укреплением его от размыва.</w:t>
      </w:r>
    </w:p>
    <w:p>
      <w:pPr>
        <w:pStyle w:val="Normal"/>
        <w:ind w:firstLine="225"/>
        <w:jc w:val="both"/>
        <w:rPr/>
      </w:pPr>
      <w:r>
        <w:rPr/>
      </w:r>
    </w:p>
    <w:p>
      <w:pPr>
        <w:pStyle w:val="Normal"/>
        <w:ind w:firstLine="270"/>
        <w:jc w:val="both"/>
        <w:rPr/>
      </w:pPr>
      <w:r>
        <w:rPr/>
        <w:t>5.105. Выбор типа сеток для предварительной очистки воды следует производить с учетом особенностей водоема и производительности водозабора.</w:t>
      </w:r>
    </w:p>
    <w:p>
      <w:pPr>
        <w:pStyle w:val="Normal"/>
        <w:ind w:firstLine="270"/>
        <w:jc w:val="both"/>
        <w:rPr/>
      </w:pPr>
      <w:r>
        <w:rPr/>
      </w:r>
    </w:p>
    <w:p>
      <w:pPr>
        <w:pStyle w:val="Normal"/>
        <w:ind w:firstLine="225"/>
        <w:jc w:val="both"/>
        <w:rPr/>
      </w:pPr>
      <w:r>
        <w:rPr/>
        <w:t>Вращающиеся сетки следует применять в средних, тяжелых и очень тяжелых условиях загрязненности источника согласно табл. 12, а также при производительности водозабора более 1 куб.м/с.</w:t>
      </w:r>
    </w:p>
    <w:p>
      <w:pPr>
        <w:pStyle w:val="Normal"/>
        <w:ind w:firstLine="225"/>
        <w:jc w:val="both"/>
        <w:rPr/>
      </w:pPr>
      <w:r>
        <w:rPr/>
      </w:r>
    </w:p>
    <w:p>
      <w:pPr>
        <w:pStyle w:val="Normal"/>
        <w:ind w:firstLine="270"/>
        <w:jc w:val="both"/>
        <w:rPr/>
      </w:pPr>
      <w:r>
        <w:rPr/>
        <w:t>5.106. При наличии рыбозащитных устройств в месте водоотбора рабочую площадь плоских или вращающихся сеток следует определять при минимальном уровне воды в сеточном колодце и скорости в отверстиях сетки, принимаемой не более 1 м/с.</w:t>
      </w:r>
    </w:p>
    <w:p>
      <w:pPr>
        <w:pStyle w:val="Normal"/>
        <w:ind w:firstLine="270"/>
        <w:jc w:val="both"/>
        <w:rPr/>
      </w:pPr>
      <w:r>
        <w:rPr/>
      </w:r>
    </w:p>
    <w:p>
      <w:pPr>
        <w:pStyle w:val="Normal"/>
        <w:ind w:firstLine="225"/>
        <w:jc w:val="both"/>
        <w:rPr/>
      </w:pPr>
      <w:r>
        <w:rPr/>
        <w:t>5.107. При применении в качестве рыбозащитных мероприятий фильтрующих элементов или устройства водоприемников фильтрующего типа в отдельных случаях следует рассматривать возможность отказа от установки водоочистных сеток.</w:t>
      </w:r>
    </w:p>
    <w:p>
      <w:pPr>
        <w:pStyle w:val="Normal"/>
        <w:ind w:firstLine="225"/>
        <w:jc w:val="both"/>
        <w:rPr/>
      </w:pPr>
      <w:r>
        <w:rPr/>
      </w:r>
    </w:p>
    <w:p>
      <w:pPr>
        <w:pStyle w:val="Normal"/>
        <w:ind w:firstLine="270"/>
        <w:jc w:val="both"/>
        <w:rPr/>
      </w:pPr>
      <w:r>
        <w:rPr/>
        <w:t>5.108. Насосные станции водозаборных сооружений следует проектировать в соответствии с указаниями разд. 7.</w:t>
      </w:r>
    </w:p>
    <w:p>
      <w:pPr>
        <w:pStyle w:val="Normal"/>
        <w:ind w:firstLine="270"/>
        <w:jc w:val="both"/>
        <w:rPr/>
      </w:pPr>
      <w:r>
        <w:rPr/>
      </w:r>
    </w:p>
    <w:p>
      <w:pPr>
        <w:pStyle w:val="Normal"/>
        <w:ind w:firstLine="225"/>
        <w:jc w:val="both"/>
        <w:rPr/>
      </w:pPr>
      <w:r>
        <w:rPr/>
        <w:t>При этом в насосных станциях водозаборов рекомендуется применять насосы с вертикальным валом.</w:t>
      </w:r>
    </w:p>
    <w:p>
      <w:pPr>
        <w:pStyle w:val="Normal"/>
        <w:ind w:firstLine="225"/>
        <w:jc w:val="both"/>
        <w:rPr/>
      </w:pPr>
      <w:r>
        <w:rPr/>
      </w:r>
    </w:p>
    <w:p>
      <w:pPr>
        <w:pStyle w:val="Normal"/>
        <w:ind w:firstLine="270"/>
        <w:jc w:val="both"/>
        <w:rPr/>
      </w:pPr>
      <w:r>
        <w:rPr/>
        <w:t>5.109. При проектировании водозаборных сооружений следует предусматривать устройства для удаления осадка из водоприемных камер (колодцев).</w:t>
      </w:r>
    </w:p>
    <w:p>
      <w:pPr>
        <w:pStyle w:val="Normal"/>
        <w:ind w:firstLine="270"/>
        <w:jc w:val="both"/>
        <w:rPr/>
      </w:pPr>
      <w:r>
        <w:rPr/>
      </w:r>
    </w:p>
    <w:p>
      <w:pPr>
        <w:pStyle w:val="Normal"/>
        <w:ind w:firstLine="225"/>
        <w:jc w:val="both"/>
        <w:rPr/>
      </w:pPr>
      <w:r>
        <w:rPr/>
        <w:t>Для промывки сеток следует использовать воду из напорных водоводов. В случае недостаточности напора для их промывки следует предусматривать установку подкачивающих насосов.</w:t>
      </w:r>
    </w:p>
    <w:p>
      <w:pPr>
        <w:pStyle w:val="Normal"/>
        <w:ind w:firstLine="270"/>
        <w:jc w:val="both"/>
        <w:rPr/>
      </w:pPr>
      <w:r>
        <w:rPr/>
      </w:r>
    </w:p>
    <w:p>
      <w:pPr>
        <w:pStyle w:val="Normal"/>
        <w:jc w:val="center"/>
        <w:rPr/>
      </w:pPr>
      <w:r>
        <w:rPr/>
      </w:r>
    </w:p>
    <w:p>
      <w:pPr>
        <w:pStyle w:val="Heading"/>
        <w:jc w:val="center"/>
        <w:rPr/>
      </w:pPr>
      <w:r>
        <w:rPr/>
        <w:t>6. ВОДОПОДГОТОВКА</w:t>
      </w:r>
    </w:p>
    <w:p>
      <w:pPr>
        <w:pStyle w:val="Heading"/>
        <w:jc w:val="center"/>
        <w:rPr/>
      </w:pPr>
      <w:r>
        <w:rPr/>
      </w:r>
    </w:p>
    <w:p>
      <w:pPr>
        <w:pStyle w:val="Heading"/>
        <w:jc w:val="center"/>
        <w:rPr/>
      </w:pPr>
      <w:r>
        <w:rPr/>
        <w:t>Общие указания</w:t>
      </w:r>
    </w:p>
    <w:p>
      <w:pPr>
        <w:pStyle w:val="Heading"/>
        <w:jc w:val="center"/>
        <w:rPr/>
      </w:pPr>
      <w:r>
        <w:rPr/>
      </w:r>
    </w:p>
    <w:p>
      <w:pPr>
        <w:pStyle w:val="Normal"/>
        <w:ind w:firstLine="270"/>
        <w:jc w:val="both"/>
        <w:rPr/>
      </w:pPr>
      <w:r>
        <w:rPr/>
      </w:r>
    </w:p>
    <w:p>
      <w:pPr>
        <w:pStyle w:val="Normal"/>
        <w:ind w:firstLine="270"/>
        <w:jc w:val="both"/>
        <w:rPr/>
      </w:pPr>
      <w:r>
        <w:rPr/>
        <w:t>6.1. Требования настоящего раздела не распространяются на установки водоподготовки теплоэнергетических объектов.</w:t>
      </w:r>
    </w:p>
    <w:p>
      <w:pPr>
        <w:pStyle w:val="Normal"/>
        <w:ind w:firstLine="270"/>
        <w:jc w:val="both"/>
        <w:rPr/>
      </w:pPr>
      <w:r>
        <w:rPr/>
      </w:r>
    </w:p>
    <w:p>
      <w:pPr>
        <w:pStyle w:val="Normal"/>
        <w:ind w:firstLine="315"/>
        <w:jc w:val="both"/>
        <w:rPr/>
      </w:pPr>
      <w:r>
        <w:rPr/>
        <w:t xml:space="preserve">Проектирование установок водоподготовки котельных с котлами, работающими под давлением до 4 МПа (40 кгс/кв.см), а также систем теплоснабжения и горячего водоснабжения должно производиться в соответствии с указаниями СНиП II-35-76 и </w:t>
      </w:r>
      <w:r>
        <w:rPr>
          <w:vanish/>
        </w:rPr>
        <w:t>#M12291 9056427</w:t>
      </w:r>
      <w:r>
        <w:rPr/>
        <w:t>СНиП 2.04.07-86*</w:t>
      </w:r>
      <w:r>
        <w:rPr>
          <w:vanish/>
        </w:rPr>
        <w:t>#S</w:t>
      </w:r>
      <w:r>
        <w:rPr/>
        <w:t>.</w:t>
      </w:r>
    </w:p>
    <w:p>
      <w:pPr>
        <w:pStyle w:val="Normal"/>
        <w:ind w:firstLine="225"/>
        <w:jc w:val="both"/>
        <w:rPr/>
      </w:pPr>
      <w:r>
        <w:rPr/>
      </w:r>
    </w:p>
    <w:p>
      <w:pPr>
        <w:pStyle w:val="Normal"/>
        <w:ind w:firstLine="270"/>
        <w:jc w:val="both"/>
        <w:rPr/>
      </w:pPr>
      <w:r>
        <w:rPr/>
        <w:t>6.2. Метод обработки воды, состав и расчетные параметры сооружений водоподготовки и расчетные дозы реагентов надлежит устанавливать в зависимости от качества воды в источнике водоснабжения, назначения водопровода, производительности станции и местных условий на основании данных технологических изысканий и опыта эксплуатации сооружений, работающих в аналогичных условиях.</w:t>
      </w:r>
    </w:p>
    <w:p>
      <w:pPr>
        <w:pStyle w:val="Normal"/>
        <w:ind w:firstLine="225"/>
        <w:jc w:val="both"/>
        <w:rPr/>
      </w:pPr>
      <w:r>
        <w:rPr/>
      </w:r>
    </w:p>
    <w:p>
      <w:pPr>
        <w:pStyle w:val="Normal"/>
        <w:ind w:firstLine="270"/>
        <w:jc w:val="both"/>
        <w:rPr/>
      </w:pPr>
      <w:r>
        <w:rPr/>
        <w:t>6.3. Для подготовки воды питьевого качества могут быть приняты только те методы, по которым получены положительные гигиенические заключения.</w:t>
      </w:r>
    </w:p>
    <w:p>
      <w:pPr>
        <w:pStyle w:val="Normal"/>
        <w:ind w:firstLine="225"/>
        <w:jc w:val="both"/>
        <w:rPr/>
      </w:pPr>
      <w:r>
        <w:rPr/>
      </w:r>
    </w:p>
    <w:p>
      <w:pPr>
        <w:pStyle w:val="Normal"/>
        <w:ind w:firstLine="270"/>
        <w:jc w:val="both"/>
        <w:rPr/>
      </w:pPr>
      <w:r>
        <w:rPr/>
        <w:t>6.4. Необходимо предусматривать повторное использование промывных вод фильтров, воды от обезвоживания и складирования осадков станций водоподготовки. При обосновании допускается сброс их в водотоки или водоемы при соблюдении требований «Правил охраны поверхностных вод от загрязнений сточными водами» или на канализационные очистные сооружения.</w:t>
      </w:r>
    </w:p>
    <w:p>
      <w:pPr>
        <w:pStyle w:val="Normal"/>
        <w:ind w:firstLine="270"/>
        <w:jc w:val="both"/>
        <w:rPr/>
      </w:pPr>
      <w:r>
        <w:rPr/>
      </w:r>
    </w:p>
    <w:p>
      <w:pPr>
        <w:pStyle w:val="Normal"/>
        <w:ind w:firstLine="225"/>
        <w:jc w:val="both"/>
        <w:rPr/>
      </w:pPr>
      <w:r>
        <w:rPr/>
        <w:t>6.5. При проектировании оборудования, арматуры и трубопроводов станций водоподготовки следует учитывать требования разд. 12. Сооружения станций водоподготовки должны быть оборудованы приборами и устройствами для определения основных параметров их работы согласно разд. 13, а также устройствами для отбора проб до и после каждого сооружения.</w:t>
      </w:r>
    </w:p>
    <w:p>
      <w:pPr>
        <w:pStyle w:val="Normal"/>
        <w:ind w:firstLine="225"/>
        <w:jc w:val="both"/>
        <w:rPr/>
      </w:pPr>
      <w:r>
        <w:rPr/>
      </w:r>
    </w:p>
    <w:p>
      <w:pPr>
        <w:pStyle w:val="Normal"/>
        <w:ind w:firstLine="270"/>
        <w:jc w:val="both"/>
        <w:rPr/>
      </w:pPr>
      <w:r>
        <w:rPr/>
        <w:t>6.6. Полный расход воды, поступающей на станцию, надлежит определять с учетом расхода воды на собственные нужды станции.</w:t>
      </w:r>
    </w:p>
    <w:p>
      <w:pPr>
        <w:pStyle w:val="Normal"/>
        <w:ind w:firstLine="225"/>
        <w:jc w:val="both"/>
        <w:rPr/>
      </w:pPr>
      <w:r>
        <w:rPr/>
      </w:r>
    </w:p>
    <w:p>
      <w:pPr>
        <w:pStyle w:val="Normal"/>
        <w:ind w:firstLine="270"/>
        <w:jc w:val="both"/>
        <w:rPr/>
      </w:pPr>
      <w:r>
        <w:rPr/>
        <w:t>Ориентировочно среднесуточные (за год) расходы исходной воды на собственные нужды станций осветления, обезжелезивания и др. следует принимать: при повторном использовании промывной воды в размере 3-4% количества воды, подаваемой потребителям, без повторного использования - 10-14%, для станций умягчения - 20-30%. Расходы воды на собственные нужды станций надлежит уточнять расчетами.</w:t>
      </w:r>
    </w:p>
    <w:p>
      <w:pPr>
        <w:pStyle w:val="Normal"/>
        <w:ind w:firstLine="270"/>
        <w:jc w:val="both"/>
        <w:rPr/>
      </w:pPr>
      <w:r>
        <w:rPr/>
      </w:r>
    </w:p>
    <w:p>
      <w:pPr>
        <w:pStyle w:val="Normal"/>
        <w:ind w:firstLine="225"/>
        <w:jc w:val="both"/>
        <w:rPr/>
      </w:pPr>
      <w:r>
        <w:rPr/>
        <w:t xml:space="preserve">6.7. Станции водоподготовки должны рассчитываться на равномерную работу в течение суток максимального водопотребления, причем должна предусматриваться возможность отключения отдельных сооружений для профилактического осмотра, чистки, текущего и капитального ремонтов. </w:t>
      </w:r>
    </w:p>
    <w:p>
      <w:pPr>
        <w:pStyle w:val="Normal"/>
        <w:ind w:firstLine="225"/>
        <w:jc w:val="both"/>
        <w:rPr/>
      </w:pPr>
      <w:r>
        <w:rPr/>
      </w:r>
    </w:p>
    <w:p>
      <w:pPr>
        <w:pStyle w:val="Normal"/>
        <w:ind w:firstLine="225"/>
        <w:jc w:val="both"/>
        <w:rPr/>
      </w:pPr>
      <w:r>
        <w:rPr/>
        <w:t>Для станций производительностью до 5000 куб.м/сут допускается предусматривать работу в течение части суток.</w:t>
      </w:r>
    </w:p>
    <w:p>
      <w:pPr>
        <w:pStyle w:val="Normal"/>
        <w:ind w:firstLine="225"/>
        <w:jc w:val="both"/>
        <w:rPr/>
      </w:pPr>
      <w:r>
        <w:rPr/>
      </w:r>
    </w:p>
    <w:p>
      <w:pPr>
        <w:pStyle w:val="Normal"/>
        <w:ind w:firstLine="270"/>
        <w:jc w:val="both"/>
        <w:rPr/>
      </w:pPr>
      <w:r>
        <w:rPr/>
        <w:t>6.8. Коммуникации станций водоподготовки надлежит рассчитывать на возможность пропуска расхода воды на 20-30 % больше расчетного.</w:t>
      </w:r>
    </w:p>
    <w:p>
      <w:pPr>
        <w:pStyle w:val="Normal"/>
        <w:ind w:firstLine="270"/>
        <w:jc w:val="both"/>
        <w:rPr/>
      </w:pPr>
      <w:r>
        <w:rPr/>
      </w:r>
    </w:p>
    <w:p>
      <w:pPr>
        <w:pStyle w:val="Heading"/>
        <w:jc w:val="center"/>
        <w:rPr/>
      </w:pPr>
      <w:r>
        <w:rPr/>
      </w:r>
    </w:p>
    <w:p>
      <w:pPr>
        <w:pStyle w:val="Heading"/>
        <w:jc w:val="center"/>
        <w:rPr/>
      </w:pPr>
      <w:r>
        <w:rPr/>
        <w:t>ОСВЕТЛЕНИЕ И ОБЕСЦВЕЧИВАНИЕ ВОДЫ</w:t>
      </w:r>
    </w:p>
    <w:p>
      <w:pPr>
        <w:pStyle w:val="Heading"/>
        <w:jc w:val="center"/>
        <w:rPr/>
      </w:pPr>
      <w:r>
        <w:rPr/>
      </w:r>
    </w:p>
    <w:p>
      <w:pPr>
        <w:pStyle w:val="Heading"/>
        <w:jc w:val="center"/>
        <w:rPr/>
      </w:pPr>
      <w:r>
        <w:rPr/>
        <w:t xml:space="preserve">Общие указания </w:t>
      </w:r>
    </w:p>
    <w:p>
      <w:pPr>
        <w:pStyle w:val="Normal"/>
        <w:ind w:firstLine="270"/>
        <w:jc w:val="both"/>
        <w:rPr/>
      </w:pPr>
      <w:r>
        <w:rPr/>
      </w:r>
    </w:p>
    <w:p>
      <w:pPr>
        <w:pStyle w:val="Normal"/>
        <w:ind w:firstLine="270"/>
        <w:jc w:val="both"/>
        <w:rPr/>
      </w:pPr>
      <w:r>
        <w:rPr/>
      </w:r>
    </w:p>
    <w:p>
      <w:pPr>
        <w:pStyle w:val="Normal"/>
        <w:ind w:firstLine="225"/>
        <w:jc w:val="both"/>
        <w:rPr/>
      </w:pPr>
      <w:r>
        <w:rPr/>
        <w:t>6.9. Воды источников водоснабжения подразделяются:</w:t>
      </w:r>
    </w:p>
    <w:p>
      <w:pPr>
        <w:pStyle w:val="Normal"/>
        <w:ind w:firstLine="225"/>
        <w:jc w:val="both"/>
        <w:rPr/>
      </w:pPr>
      <w:r>
        <w:rPr/>
      </w:r>
    </w:p>
    <w:p>
      <w:pPr>
        <w:pStyle w:val="Normal"/>
        <w:ind w:firstLine="270"/>
        <w:jc w:val="both"/>
        <w:rPr/>
      </w:pPr>
      <w:r>
        <w:rPr/>
        <w:t xml:space="preserve">а) в зависимости от расчетной максимальной мутности (ориентировочно количество взвешенных веществ) на: </w:t>
      </w:r>
    </w:p>
    <w:p>
      <w:pPr>
        <w:pStyle w:val="Normal"/>
        <w:ind w:firstLine="225"/>
        <w:jc w:val="both"/>
        <w:rPr/>
      </w:pPr>
      <w:r>
        <w:rPr/>
      </w:r>
    </w:p>
    <w:p>
      <w:pPr>
        <w:pStyle w:val="Normal"/>
        <w:ind w:firstLine="270"/>
        <w:jc w:val="both"/>
        <w:rPr/>
      </w:pPr>
      <w:r>
        <w:rPr/>
        <w:t xml:space="preserve">маломутные - до 50 мг/л; </w:t>
      </w:r>
    </w:p>
    <w:p>
      <w:pPr>
        <w:pStyle w:val="Normal"/>
        <w:ind w:firstLine="270"/>
        <w:jc w:val="both"/>
        <w:rPr/>
      </w:pPr>
      <w:r>
        <w:rPr/>
      </w:r>
    </w:p>
    <w:p>
      <w:pPr>
        <w:pStyle w:val="Normal"/>
        <w:ind w:firstLine="225"/>
        <w:jc w:val="both"/>
        <w:rPr/>
      </w:pPr>
      <w:r>
        <w:rPr/>
        <w:t xml:space="preserve">средней мутности - св. 50 до 250 мг/л; </w:t>
      </w:r>
    </w:p>
    <w:p>
      <w:pPr>
        <w:pStyle w:val="Normal"/>
        <w:ind w:firstLine="225"/>
        <w:jc w:val="both"/>
        <w:rPr/>
      </w:pPr>
      <w:r>
        <w:rPr/>
      </w:r>
    </w:p>
    <w:p>
      <w:pPr>
        <w:pStyle w:val="Normal"/>
        <w:ind w:firstLine="225"/>
        <w:jc w:val="both"/>
        <w:rPr/>
      </w:pPr>
      <w:r>
        <w:rPr/>
        <w:t xml:space="preserve">мутные - св. 250 до 1500 мг/л; </w:t>
      </w:r>
    </w:p>
    <w:p>
      <w:pPr>
        <w:pStyle w:val="Normal"/>
        <w:ind w:firstLine="225"/>
        <w:jc w:val="both"/>
        <w:rPr/>
      </w:pPr>
      <w:r>
        <w:rPr/>
      </w:r>
    </w:p>
    <w:p>
      <w:pPr>
        <w:pStyle w:val="Normal"/>
        <w:ind w:firstLine="225"/>
        <w:jc w:val="both"/>
        <w:rPr/>
      </w:pPr>
      <w:r>
        <w:rPr/>
        <w:t>высокомутные - св. 1500 мг/л;</w:t>
      </w:r>
    </w:p>
    <w:p>
      <w:pPr>
        <w:pStyle w:val="Normal"/>
        <w:ind w:firstLine="225"/>
        <w:jc w:val="both"/>
        <w:rPr/>
      </w:pPr>
      <w:r>
        <w:rPr/>
      </w:r>
    </w:p>
    <w:p>
      <w:pPr>
        <w:pStyle w:val="Normal"/>
        <w:ind w:firstLine="270"/>
        <w:jc w:val="both"/>
        <w:rPr/>
      </w:pPr>
      <w:r>
        <w:rPr/>
        <w:t xml:space="preserve">б) в зависимости от расчетного максимального содержания гумусовых веществ, обусловливающих цветность воды, на: </w:t>
      </w:r>
    </w:p>
    <w:p>
      <w:pPr>
        <w:pStyle w:val="Normal"/>
        <w:ind w:firstLine="225"/>
        <w:jc w:val="both"/>
        <w:rPr/>
      </w:pPr>
      <w:r>
        <w:rPr/>
      </w:r>
    </w:p>
    <w:p>
      <w:pPr>
        <w:pStyle w:val="Normal"/>
        <w:ind w:firstLine="270"/>
        <w:jc w:val="both"/>
        <w:rPr/>
      </w:pPr>
      <w:r>
        <w:rPr/>
        <w:t xml:space="preserve">малоцветные  - до 35 град.; </w:t>
      </w:r>
    </w:p>
    <w:p>
      <w:pPr>
        <w:pStyle w:val="Normal"/>
        <w:ind w:firstLine="270"/>
        <w:jc w:val="both"/>
        <w:rPr/>
      </w:pPr>
      <w:r>
        <w:rPr/>
      </w:r>
    </w:p>
    <w:p>
      <w:pPr>
        <w:pStyle w:val="Normal"/>
        <w:ind w:firstLine="225"/>
        <w:jc w:val="both"/>
        <w:rPr/>
      </w:pPr>
      <w:r>
        <w:rPr/>
        <w:t xml:space="preserve">средней цветности   - св. 35 до 120 град.; </w:t>
      </w:r>
    </w:p>
    <w:p>
      <w:pPr>
        <w:pStyle w:val="Normal"/>
        <w:ind w:firstLine="225"/>
        <w:jc w:val="both"/>
        <w:rPr/>
      </w:pPr>
      <w:r>
        <w:rPr/>
      </w:r>
    </w:p>
    <w:p>
      <w:pPr>
        <w:pStyle w:val="Normal"/>
        <w:ind w:firstLine="225"/>
        <w:jc w:val="both"/>
        <w:rPr/>
      </w:pPr>
      <w:r>
        <w:rPr/>
        <w:t xml:space="preserve">высокой цветности - св. 120 град. </w:t>
      </w:r>
    </w:p>
    <w:p>
      <w:pPr>
        <w:pStyle w:val="Normal"/>
        <w:ind w:firstLine="225"/>
        <w:jc w:val="both"/>
        <w:rPr/>
      </w:pPr>
      <w:r>
        <w:rPr/>
      </w:r>
    </w:p>
    <w:p>
      <w:pPr>
        <w:pStyle w:val="Normal"/>
        <w:ind w:firstLine="270"/>
        <w:jc w:val="both"/>
        <w:rPr/>
      </w:pPr>
      <w:r>
        <w:rPr/>
        <w:t>Расчетные максимальные значения мутности и цветности для проектирования сооружений станций водоподготовки следует определять по данным анализов воды за период не менее чем за последние три года до выбора источника водоснабжения.</w:t>
      </w:r>
    </w:p>
    <w:p>
      <w:pPr>
        <w:pStyle w:val="Normal"/>
        <w:ind w:firstLine="225"/>
        <w:jc w:val="both"/>
        <w:rPr/>
      </w:pPr>
      <w:r>
        <w:rPr/>
      </w:r>
    </w:p>
    <w:p>
      <w:pPr>
        <w:pStyle w:val="Normal"/>
        <w:ind w:firstLine="270"/>
        <w:jc w:val="both"/>
        <w:rPr/>
      </w:pPr>
      <w:r>
        <w:rPr/>
        <w:t>6.10. При выборе сооружений для осветления и обесцвечивания воды рекомендуется руководствоваться указаниями пп. 6.2 и 6.3, а для предварительного выбора  - данными табл. 15.</w:t>
      </w:r>
    </w:p>
    <w:p>
      <w:pPr>
        <w:pStyle w:val="Normal"/>
        <w:ind w:firstLine="270"/>
        <w:jc w:val="both"/>
        <w:rPr/>
      </w:pPr>
      <w:r>
        <w:rPr/>
      </w:r>
    </w:p>
    <w:p>
      <w:pPr>
        <w:pStyle w:val="Normal"/>
        <w:jc w:val="end"/>
        <w:rPr/>
      </w:pPr>
      <w:r>
        <w:rPr/>
        <w:t>Таблица 15</w:t>
      </w:r>
    </w:p>
    <w:p>
      <w:pPr>
        <w:pStyle w:val="Normal"/>
        <w:jc w:val="end"/>
        <w:rPr/>
      </w:pPr>
      <w:r>
        <w:rPr/>
      </w:r>
    </w:p>
    <w:p>
      <w:pPr>
        <w:pStyle w:val="Normal"/>
        <w:jc w:val="end"/>
        <w:rPr/>
      </w:pPr>
      <w:r>
        <w:rPr/>
      </w:r>
    </w:p>
    <w:tbl>
      <w:tblPr>
        <w:tblW w:w="10550"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3750"/>
        <w:gridCol w:w="15"/>
        <w:gridCol w:w="1395"/>
        <w:gridCol w:w="15"/>
        <w:gridCol w:w="1140"/>
        <w:gridCol w:w="15"/>
        <w:gridCol w:w="1005"/>
        <w:gridCol w:w="1170"/>
        <w:gridCol w:w="15"/>
        <w:gridCol w:w="2015"/>
        <w:gridCol w:w="15"/>
      </w:tblGrid>
      <w:tr>
        <w:trPr/>
        <w:tc>
          <w:tcPr>
            <w:tcW w:w="3765" w:type="dxa"/>
            <w:gridSpan w:val="2"/>
            <w:tcBorders>
              <w:top w:val="single" w:sz="2" w:space="0" w:color="000000"/>
              <w:start w:val="single" w:sz="2" w:space="0" w:color="000000"/>
            </w:tcBorders>
            <w:shd w:fill="auto" w:val="clear"/>
            <w:tcMar>
              <w:start w:w="102" w:type="dxa"/>
            </w:tcMar>
          </w:tcPr>
          <w:p>
            <w:pPr>
              <w:pStyle w:val="Normal"/>
              <w:rPr/>
            </w:pPr>
            <w:r>
              <w:rPr>
                <w:vanish/>
              </w:rPr>
              <w:t>#G0</w:t>
            </w:r>
            <w:r>
              <w:rPr/>
              <w:t xml:space="preserve">  </w:t>
            </w:r>
          </w:p>
          <w:p>
            <w:pPr>
              <w:pStyle w:val="Normal"/>
              <w:rPr/>
            </w:pPr>
            <w:r>
              <w:rPr/>
            </w:r>
          </w:p>
        </w:tc>
        <w:tc>
          <w:tcPr>
            <w:tcW w:w="4755" w:type="dxa"/>
            <w:gridSpan w:val="7"/>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Условия применения </w:t>
            </w:r>
          </w:p>
          <w:p>
            <w:pPr>
              <w:pStyle w:val="Normal"/>
              <w:jc w:val="center"/>
              <w:rPr/>
            </w:pPr>
            <w:r>
              <w:rPr/>
            </w:r>
          </w:p>
        </w:tc>
        <w:tc>
          <w:tcPr>
            <w:tcW w:w="2030" w:type="dxa"/>
            <w:tcBorders>
              <w:top w:val="single" w:sz="2" w:space="0" w:color="000000"/>
              <w:start w:val="single" w:sz="2" w:space="0" w:color="000000"/>
              <w:end w:val="single" w:sz="2" w:space="0" w:color="000000"/>
              <w:insideV w:val="single" w:sz="2" w:space="0" w:color="000000"/>
            </w:tcBorders>
            <w:shd w:fill="auto" w:val="clear"/>
            <w:tcMar>
              <w:start w:w="102" w:type="dxa"/>
            </w:tcMar>
          </w:tcPr>
          <w:p>
            <w:pPr>
              <w:pStyle w:val="Normal"/>
              <w:rPr/>
            </w:pPr>
            <w:r>
              <w:rPr/>
              <w:t xml:space="preserve">Производительность </w:t>
            </w:r>
          </w:p>
          <w:p>
            <w:pPr>
              <w:pStyle w:val="Normal"/>
              <w:rPr/>
            </w:pPr>
            <w:r>
              <w:rPr/>
            </w:r>
          </w:p>
        </w:tc>
      </w:tr>
      <w:tr>
        <w:trPr/>
        <w:tc>
          <w:tcPr>
            <w:tcW w:w="3765" w:type="dxa"/>
            <w:gridSpan w:val="2"/>
            <w:tcBorders>
              <w:start w:val="single" w:sz="2" w:space="0" w:color="000000"/>
            </w:tcBorders>
            <w:shd w:fill="auto" w:val="clear"/>
            <w:tcMar>
              <w:start w:w="102" w:type="dxa"/>
            </w:tcMar>
          </w:tcPr>
          <w:p>
            <w:pPr>
              <w:pStyle w:val="Normal"/>
              <w:rPr/>
            </w:pPr>
            <w:r>
              <w:rPr/>
              <w:t xml:space="preserve">Основные сооружения </w:t>
            </w:r>
          </w:p>
          <w:p>
            <w:pPr>
              <w:pStyle w:val="Normal"/>
              <w:rPr/>
            </w:pPr>
            <w:r>
              <w:rPr/>
            </w:r>
          </w:p>
        </w:tc>
        <w:tc>
          <w:tcPr>
            <w:tcW w:w="2565" w:type="dxa"/>
            <w:gridSpan w:val="4"/>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Мутность, мг/л </w:t>
            </w:r>
          </w:p>
          <w:p>
            <w:pPr>
              <w:pStyle w:val="Normal"/>
              <w:rPr/>
            </w:pPr>
            <w:r>
              <w:rPr/>
            </w:r>
          </w:p>
        </w:tc>
        <w:tc>
          <w:tcPr>
            <w:tcW w:w="2175"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Цветность, град </w:t>
            </w:r>
          </w:p>
          <w:p>
            <w:pPr>
              <w:pStyle w:val="Normal"/>
              <w:rPr/>
            </w:pPr>
            <w:r>
              <w:rPr/>
            </w:r>
          </w:p>
        </w:tc>
        <w:tc>
          <w:tcPr>
            <w:tcW w:w="2045"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станции,</w:t>
            </w:r>
          </w:p>
          <w:p>
            <w:pPr>
              <w:pStyle w:val="Normal"/>
              <w:rPr/>
            </w:pPr>
            <w:r>
              <w:rPr/>
            </w:r>
          </w:p>
        </w:tc>
      </w:tr>
      <w:tr>
        <w:trPr/>
        <w:tc>
          <w:tcPr>
            <w:tcW w:w="3765"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139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исходная вода </w:t>
            </w:r>
          </w:p>
          <w:p>
            <w:pPr>
              <w:pStyle w:val="Normal"/>
              <w:jc w:val="center"/>
              <w:rPr/>
            </w:pPr>
            <w:r>
              <w:rPr/>
            </w:r>
          </w:p>
        </w:tc>
        <w:tc>
          <w:tcPr>
            <w:tcW w:w="1170" w:type="dxa"/>
            <w:gridSpan w:val="3"/>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очищенная вода </w:t>
            </w:r>
          </w:p>
          <w:p>
            <w:pPr>
              <w:pStyle w:val="Normal"/>
              <w:rPr/>
            </w:pPr>
            <w:r>
              <w:rPr/>
            </w:r>
          </w:p>
        </w:tc>
        <w:tc>
          <w:tcPr>
            <w:tcW w:w="100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исходная вода </w:t>
            </w:r>
          </w:p>
          <w:p>
            <w:pPr>
              <w:pStyle w:val="Normal"/>
              <w:rPr/>
            </w:pPr>
            <w:r>
              <w:rPr/>
            </w:r>
          </w:p>
        </w:tc>
        <w:tc>
          <w:tcPr>
            <w:tcW w:w="117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очищенная вода </w:t>
            </w:r>
          </w:p>
          <w:p>
            <w:pPr>
              <w:pStyle w:val="Normal"/>
              <w:rPr/>
            </w:pPr>
            <w:r>
              <w:rPr/>
            </w:r>
          </w:p>
        </w:tc>
        <w:tc>
          <w:tcPr>
            <w:tcW w:w="2045" w:type="dxa"/>
            <w:gridSpan w:val="2"/>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куб.м/сут </w:t>
            </w:r>
          </w:p>
          <w:p>
            <w:pPr>
              <w:pStyle w:val="Normal"/>
              <w:rPr/>
            </w:pPr>
            <w:r>
              <w:rPr/>
            </w:r>
          </w:p>
        </w:tc>
      </w:tr>
      <w:tr>
        <w:trPr/>
        <w:tc>
          <w:tcPr>
            <w:tcW w:w="10535" w:type="dxa"/>
            <w:gridSpan w:val="10"/>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t>Обработка воды с применением коагулянтов и флокулянтов</w:t>
            </w:r>
          </w:p>
          <w:p>
            <w:pPr>
              <w:pStyle w:val="Normal"/>
              <w:rPr/>
            </w:pPr>
            <w:r>
              <w:rPr/>
            </w:r>
          </w:p>
          <w:p>
            <w:pPr>
              <w:pStyle w:val="Normal"/>
              <w:rPr/>
            </w:pPr>
            <w:r>
              <w:rPr/>
            </w:r>
          </w:p>
        </w:tc>
      </w:tr>
      <w:tr>
        <w:trPr/>
        <w:tc>
          <w:tcPr>
            <w:tcW w:w="3750" w:type="dxa"/>
            <w:tcBorders>
              <w:start w:val="single" w:sz="2" w:space="0" w:color="000000"/>
            </w:tcBorders>
            <w:shd w:fill="auto" w:val="clear"/>
            <w:tcMar>
              <w:start w:w="102" w:type="dxa"/>
            </w:tcMar>
          </w:tcPr>
          <w:p>
            <w:pPr>
              <w:pStyle w:val="Normal"/>
              <w:jc w:val="both"/>
              <w:rPr/>
            </w:pPr>
            <w:r>
              <w:rPr/>
              <w:t>1. Скорые фильтры (одноступенчатое фильтрование):</w:t>
            </w:r>
          </w:p>
          <w:p>
            <w:pPr>
              <w:pStyle w:val="Normal"/>
              <w:jc w:val="both"/>
              <w:rPr/>
            </w:pPr>
            <w:r>
              <w:rPr/>
            </w:r>
          </w:p>
          <w:p>
            <w:pPr>
              <w:pStyle w:val="Normal"/>
              <w:ind w:firstLine="315"/>
              <w:jc w:val="both"/>
              <w:rPr/>
            </w:pPr>
            <w:r>
              <w:rPr/>
              <w:t xml:space="preserve">а) напорные </w:t>
            </w:r>
          </w:p>
          <w:p>
            <w:pPr>
              <w:pStyle w:val="Normal"/>
              <w:ind w:firstLine="315"/>
              <w:jc w:val="both"/>
              <w:rPr/>
            </w:pPr>
            <w:r>
              <w:rPr/>
            </w:r>
          </w:p>
        </w:tc>
        <w:tc>
          <w:tcPr>
            <w:tcW w:w="1410" w:type="dxa"/>
            <w:gridSpan w:val="2"/>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r>
          </w:p>
          <w:p>
            <w:pPr>
              <w:pStyle w:val="Normal"/>
              <w:jc w:val="center"/>
              <w:rPr/>
            </w:pPr>
            <w:r>
              <w:rPr/>
              <w:t xml:space="preserve">До    30 </w:t>
            </w:r>
          </w:p>
          <w:p>
            <w:pPr>
              <w:pStyle w:val="Normal"/>
              <w:jc w:val="center"/>
              <w:rPr/>
            </w:pPr>
            <w:r>
              <w:rPr/>
            </w:r>
          </w:p>
        </w:tc>
        <w:tc>
          <w:tcPr>
            <w:tcW w:w="1170" w:type="dxa"/>
            <w:gridSpan w:val="3"/>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До 1,5 </w:t>
            </w:r>
          </w:p>
          <w:p>
            <w:pPr>
              <w:pStyle w:val="Normal"/>
              <w:rPr/>
            </w:pPr>
            <w:r>
              <w:rPr/>
            </w:r>
          </w:p>
        </w:tc>
        <w:tc>
          <w:tcPr>
            <w:tcW w:w="1005"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До  50 </w:t>
            </w:r>
          </w:p>
          <w:p>
            <w:pPr>
              <w:pStyle w:val="Normal"/>
              <w:rPr/>
            </w:pPr>
            <w:r>
              <w:rPr/>
            </w:r>
          </w:p>
        </w:tc>
        <w:tc>
          <w:tcPr>
            <w:tcW w:w="1170"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До 20 </w:t>
            </w:r>
          </w:p>
          <w:p>
            <w:pPr>
              <w:pStyle w:val="Normal"/>
              <w:rPr/>
            </w:pPr>
            <w:r>
              <w:rPr/>
            </w:r>
          </w:p>
        </w:tc>
        <w:tc>
          <w:tcPr>
            <w:tcW w:w="2030" w:type="dxa"/>
            <w:gridSpan w:val="2"/>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До  5000 </w:t>
            </w:r>
          </w:p>
          <w:p>
            <w:pPr>
              <w:pStyle w:val="Normal"/>
              <w:rPr/>
            </w:pPr>
            <w:r>
              <w:rPr/>
            </w:r>
          </w:p>
        </w:tc>
      </w:tr>
      <w:tr>
        <w:trPr/>
        <w:tc>
          <w:tcPr>
            <w:tcW w:w="3750" w:type="dxa"/>
            <w:tcBorders>
              <w:start w:val="single" w:sz="2" w:space="0" w:color="000000"/>
            </w:tcBorders>
            <w:shd w:fill="auto" w:val="clear"/>
            <w:tcMar>
              <w:start w:w="102" w:type="dxa"/>
            </w:tcMar>
          </w:tcPr>
          <w:p>
            <w:pPr>
              <w:pStyle w:val="Normal"/>
              <w:ind w:firstLine="315"/>
              <w:jc w:val="both"/>
              <w:rPr/>
            </w:pPr>
            <w:r>
              <w:rPr/>
              <w:t xml:space="preserve">б) открытые </w:t>
            </w:r>
          </w:p>
          <w:p>
            <w:pPr>
              <w:pStyle w:val="Normal"/>
              <w:ind w:firstLine="315"/>
              <w:jc w:val="both"/>
              <w:rPr/>
            </w:pPr>
            <w:r>
              <w:rPr/>
            </w:r>
          </w:p>
        </w:tc>
        <w:tc>
          <w:tcPr>
            <w:tcW w:w="1410" w:type="dxa"/>
            <w:gridSpan w:val="2"/>
            <w:tcBorders>
              <w:start w:val="single" w:sz="2" w:space="0" w:color="000000"/>
            </w:tcBorders>
            <w:shd w:fill="auto" w:val="clear"/>
            <w:tcMar>
              <w:start w:w="102" w:type="dxa"/>
            </w:tcMar>
          </w:tcPr>
          <w:p>
            <w:pPr>
              <w:pStyle w:val="Normal"/>
              <w:jc w:val="center"/>
              <w:rPr/>
            </w:pPr>
            <w:r>
              <w:rPr/>
              <w:t xml:space="preserve">«      20 </w:t>
            </w:r>
          </w:p>
          <w:p>
            <w:pPr>
              <w:pStyle w:val="Normal"/>
              <w:jc w:val="center"/>
              <w:rPr/>
            </w:pPr>
            <w:r>
              <w:rPr/>
            </w:r>
          </w:p>
        </w:tc>
        <w:tc>
          <w:tcPr>
            <w:tcW w:w="1170" w:type="dxa"/>
            <w:gridSpan w:val="3"/>
            <w:tcBorders>
              <w:start w:val="single" w:sz="2" w:space="0" w:color="000000"/>
            </w:tcBorders>
            <w:shd w:fill="auto" w:val="clear"/>
            <w:tcMar>
              <w:start w:w="102" w:type="dxa"/>
            </w:tcMar>
          </w:tcPr>
          <w:p>
            <w:pPr>
              <w:pStyle w:val="Normal"/>
              <w:rPr/>
            </w:pPr>
            <w:r>
              <w:rPr/>
              <w:t xml:space="preserve">«   1,5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    50 </w:t>
            </w:r>
          </w:p>
          <w:p>
            <w:pPr>
              <w:pStyle w:val="Normal"/>
              <w:rPr/>
            </w:pPr>
            <w:r>
              <w:rPr/>
            </w:r>
          </w:p>
        </w:tc>
        <w:tc>
          <w:tcPr>
            <w:tcW w:w="1170" w:type="dxa"/>
            <w:tcBorders>
              <w:start w:val="single" w:sz="2" w:space="0" w:color="000000"/>
            </w:tcBorders>
            <w:shd w:fill="auto" w:val="clear"/>
            <w:tcMar>
              <w:start w:w="102" w:type="dxa"/>
            </w:tcMar>
          </w:tcPr>
          <w:p>
            <w:pPr>
              <w:pStyle w:val="Normal"/>
              <w:rPr/>
            </w:pPr>
            <w:r>
              <w:rPr/>
              <w:t xml:space="preserve">«   20 </w:t>
            </w:r>
          </w:p>
          <w:p>
            <w:pPr>
              <w:pStyle w:val="Normal"/>
              <w:rPr/>
            </w:pPr>
            <w:r>
              <w:rPr/>
            </w:r>
          </w:p>
        </w:tc>
        <w:tc>
          <w:tcPr>
            <w:tcW w:w="203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  50000 </w:t>
            </w:r>
          </w:p>
          <w:p>
            <w:pPr>
              <w:pStyle w:val="Normal"/>
              <w:rPr/>
            </w:pPr>
            <w:r>
              <w:rPr/>
            </w:r>
          </w:p>
        </w:tc>
      </w:tr>
      <w:tr>
        <w:trPr/>
        <w:tc>
          <w:tcPr>
            <w:tcW w:w="3750" w:type="dxa"/>
            <w:tcBorders>
              <w:start w:val="single" w:sz="2" w:space="0" w:color="000000"/>
            </w:tcBorders>
            <w:shd w:fill="auto" w:val="clear"/>
            <w:tcMar>
              <w:start w:w="102" w:type="dxa"/>
            </w:tcMar>
          </w:tcPr>
          <w:p>
            <w:pPr>
              <w:pStyle w:val="Normal"/>
              <w:jc w:val="both"/>
              <w:rPr/>
            </w:pPr>
            <w:r>
              <w:rPr/>
              <w:t xml:space="preserve">2. Вертикальные отстойники - скорые фильтры </w:t>
            </w:r>
          </w:p>
          <w:p>
            <w:pPr>
              <w:pStyle w:val="Normal"/>
              <w:jc w:val="both"/>
              <w:rPr/>
            </w:pPr>
            <w:r>
              <w:rPr/>
            </w:r>
          </w:p>
        </w:tc>
        <w:tc>
          <w:tcPr>
            <w:tcW w:w="1410" w:type="dxa"/>
            <w:gridSpan w:val="2"/>
            <w:tcBorders>
              <w:start w:val="single" w:sz="2" w:space="0" w:color="000000"/>
            </w:tcBorders>
            <w:shd w:fill="auto" w:val="clear"/>
            <w:tcMar>
              <w:start w:w="102" w:type="dxa"/>
            </w:tcMar>
          </w:tcPr>
          <w:p>
            <w:pPr>
              <w:pStyle w:val="Normal"/>
              <w:jc w:val="center"/>
              <w:rPr/>
            </w:pPr>
            <w:r>
              <w:rPr/>
              <w:t xml:space="preserve">«  1500 </w:t>
            </w:r>
          </w:p>
          <w:p>
            <w:pPr>
              <w:pStyle w:val="Normal"/>
              <w:jc w:val="center"/>
              <w:rPr/>
            </w:pPr>
            <w:r>
              <w:rPr/>
            </w:r>
          </w:p>
        </w:tc>
        <w:tc>
          <w:tcPr>
            <w:tcW w:w="1170" w:type="dxa"/>
            <w:gridSpan w:val="3"/>
            <w:tcBorders>
              <w:start w:val="single" w:sz="2" w:space="0" w:color="000000"/>
            </w:tcBorders>
            <w:shd w:fill="auto" w:val="clear"/>
            <w:tcMar>
              <w:start w:w="102" w:type="dxa"/>
            </w:tcMar>
          </w:tcPr>
          <w:p>
            <w:pPr>
              <w:pStyle w:val="Normal"/>
              <w:rPr/>
            </w:pPr>
            <w:r>
              <w:rPr/>
              <w:t xml:space="preserve">«   1,5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  120 </w:t>
            </w:r>
          </w:p>
          <w:p>
            <w:pPr>
              <w:pStyle w:val="Normal"/>
              <w:rPr/>
            </w:pPr>
            <w:r>
              <w:rPr/>
            </w:r>
          </w:p>
        </w:tc>
        <w:tc>
          <w:tcPr>
            <w:tcW w:w="1170" w:type="dxa"/>
            <w:tcBorders>
              <w:start w:val="single" w:sz="2" w:space="0" w:color="000000"/>
            </w:tcBorders>
            <w:shd w:fill="auto" w:val="clear"/>
            <w:tcMar>
              <w:start w:w="102" w:type="dxa"/>
            </w:tcMar>
          </w:tcPr>
          <w:p>
            <w:pPr>
              <w:pStyle w:val="Normal"/>
              <w:rPr/>
            </w:pPr>
            <w:r>
              <w:rPr/>
              <w:t xml:space="preserve">«   20 </w:t>
            </w:r>
          </w:p>
          <w:p>
            <w:pPr>
              <w:pStyle w:val="Normal"/>
              <w:rPr/>
            </w:pPr>
            <w:r>
              <w:rPr/>
            </w:r>
          </w:p>
        </w:tc>
        <w:tc>
          <w:tcPr>
            <w:tcW w:w="203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    5000 </w:t>
            </w:r>
          </w:p>
          <w:p>
            <w:pPr>
              <w:pStyle w:val="Normal"/>
              <w:rPr/>
            </w:pPr>
            <w:r>
              <w:rPr/>
            </w:r>
          </w:p>
        </w:tc>
      </w:tr>
      <w:tr>
        <w:trPr/>
        <w:tc>
          <w:tcPr>
            <w:tcW w:w="3750" w:type="dxa"/>
            <w:tcBorders>
              <w:start w:val="single" w:sz="2" w:space="0" w:color="000000"/>
            </w:tcBorders>
            <w:shd w:fill="auto" w:val="clear"/>
            <w:tcMar>
              <w:start w:w="102" w:type="dxa"/>
            </w:tcMar>
          </w:tcPr>
          <w:p>
            <w:pPr>
              <w:pStyle w:val="Normal"/>
              <w:jc w:val="both"/>
              <w:rPr/>
            </w:pPr>
            <w:r>
              <w:rPr/>
              <w:t xml:space="preserve">3. Горизонтальные отстойники - скорые фильтры </w:t>
            </w:r>
          </w:p>
          <w:p>
            <w:pPr>
              <w:pStyle w:val="Normal"/>
              <w:jc w:val="both"/>
              <w:rPr/>
            </w:pPr>
            <w:r>
              <w:rPr/>
            </w:r>
          </w:p>
        </w:tc>
        <w:tc>
          <w:tcPr>
            <w:tcW w:w="1410" w:type="dxa"/>
            <w:gridSpan w:val="2"/>
            <w:tcBorders>
              <w:start w:val="single" w:sz="2" w:space="0" w:color="000000"/>
            </w:tcBorders>
            <w:shd w:fill="auto" w:val="clear"/>
            <w:tcMar>
              <w:start w:w="102" w:type="dxa"/>
            </w:tcMar>
          </w:tcPr>
          <w:p>
            <w:pPr>
              <w:pStyle w:val="Normal"/>
              <w:jc w:val="center"/>
              <w:rPr/>
            </w:pPr>
            <w:r>
              <w:rPr/>
              <w:t xml:space="preserve">«  1500 </w:t>
            </w:r>
          </w:p>
          <w:p>
            <w:pPr>
              <w:pStyle w:val="Normal"/>
              <w:jc w:val="center"/>
              <w:rPr/>
            </w:pPr>
            <w:r>
              <w:rPr/>
            </w:r>
          </w:p>
        </w:tc>
        <w:tc>
          <w:tcPr>
            <w:tcW w:w="1170" w:type="dxa"/>
            <w:gridSpan w:val="3"/>
            <w:tcBorders>
              <w:start w:val="single" w:sz="2" w:space="0" w:color="000000"/>
            </w:tcBorders>
            <w:shd w:fill="auto" w:val="clear"/>
            <w:tcMar>
              <w:start w:w="102" w:type="dxa"/>
            </w:tcMar>
          </w:tcPr>
          <w:p>
            <w:pPr>
              <w:pStyle w:val="Normal"/>
              <w:rPr/>
            </w:pPr>
            <w:r>
              <w:rPr/>
              <w:t xml:space="preserve">«   1,5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  120 </w:t>
            </w:r>
          </w:p>
          <w:p>
            <w:pPr>
              <w:pStyle w:val="Normal"/>
              <w:rPr/>
            </w:pPr>
            <w:r>
              <w:rPr/>
            </w:r>
          </w:p>
        </w:tc>
        <w:tc>
          <w:tcPr>
            <w:tcW w:w="1170" w:type="dxa"/>
            <w:tcBorders>
              <w:start w:val="single" w:sz="2" w:space="0" w:color="000000"/>
            </w:tcBorders>
            <w:shd w:fill="auto" w:val="clear"/>
            <w:tcMar>
              <w:start w:w="102" w:type="dxa"/>
            </w:tcMar>
          </w:tcPr>
          <w:p>
            <w:pPr>
              <w:pStyle w:val="Normal"/>
              <w:rPr/>
            </w:pPr>
            <w:r>
              <w:rPr/>
              <w:t xml:space="preserve">«   20 </w:t>
            </w:r>
          </w:p>
          <w:p>
            <w:pPr>
              <w:pStyle w:val="Normal"/>
              <w:rPr/>
            </w:pPr>
            <w:r>
              <w:rPr/>
            </w:r>
          </w:p>
        </w:tc>
        <w:tc>
          <w:tcPr>
            <w:tcW w:w="203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Св. 30000 </w:t>
            </w:r>
          </w:p>
          <w:p>
            <w:pPr>
              <w:pStyle w:val="Normal"/>
              <w:rPr/>
            </w:pPr>
            <w:r>
              <w:rPr/>
            </w:r>
          </w:p>
        </w:tc>
      </w:tr>
      <w:tr>
        <w:trPr/>
        <w:tc>
          <w:tcPr>
            <w:tcW w:w="3750" w:type="dxa"/>
            <w:tcBorders>
              <w:start w:val="single" w:sz="2" w:space="0" w:color="000000"/>
            </w:tcBorders>
            <w:shd w:fill="auto" w:val="clear"/>
            <w:tcMar>
              <w:start w:w="102" w:type="dxa"/>
            </w:tcMar>
          </w:tcPr>
          <w:p>
            <w:pPr>
              <w:pStyle w:val="Normal"/>
              <w:jc w:val="both"/>
              <w:rPr/>
            </w:pPr>
            <w:r>
              <w:rPr/>
              <w:t>4. Контактные префильтры - скорые фильтры (двухступенчатое фильтрование)</w:t>
            </w:r>
          </w:p>
          <w:p>
            <w:pPr>
              <w:pStyle w:val="Normal"/>
              <w:jc w:val="both"/>
              <w:rPr/>
            </w:pPr>
            <w:r>
              <w:rPr/>
            </w:r>
          </w:p>
        </w:tc>
        <w:tc>
          <w:tcPr>
            <w:tcW w:w="1410" w:type="dxa"/>
            <w:gridSpan w:val="2"/>
            <w:tcBorders>
              <w:start w:val="single" w:sz="2" w:space="0" w:color="000000"/>
            </w:tcBorders>
            <w:shd w:fill="auto" w:val="clear"/>
            <w:tcMar>
              <w:start w:w="102" w:type="dxa"/>
            </w:tcMar>
          </w:tcPr>
          <w:p>
            <w:pPr>
              <w:pStyle w:val="Normal"/>
              <w:jc w:val="center"/>
              <w:rPr/>
            </w:pPr>
            <w:r>
              <w:rPr/>
              <w:t xml:space="preserve">«   300 </w:t>
            </w:r>
          </w:p>
          <w:p>
            <w:pPr>
              <w:pStyle w:val="Normal"/>
              <w:jc w:val="center"/>
              <w:rPr/>
            </w:pPr>
            <w:r>
              <w:rPr/>
            </w:r>
          </w:p>
        </w:tc>
        <w:tc>
          <w:tcPr>
            <w:tcW w:w="1170" w:type="dxa"/>
            <w:gridSpan w:val="3"/>
            <w:tcBorders>
              <w:start w:val="single" w:sz="2" w:space="0" w:color="000000"/>
            </w:tcBorders>
            <w:shd w:fill="auto" w:val="clear"/>
            <w:tcMar>
              <w:start w:w="102" w:type="dxa"/>
            </w:tcMar>
          </w:tcPr>
          <w:p>
            <w:pPr>
              <w:pStyle w:val="Normal"/>
              <w:rPr/>
            </w:pPr>
            <w:r>
              <w:rPr/>
              <w:t xml:space="preserve">«   1,5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  120 </w:t>
            </w:r>
          </w:p>
          <w:p>
            <w:pPr>
              <w:pStyle w:val="Normal"/>
              <w:rPr/>
            </w:pPr>
            <w:r>
              <w:rPr/>
            </w:r>
          </w:p>
        </w:tc>
        <w:tc>
          <w:tcPr>
            <w:tcW w:w="1170" w:type="dxa"/>
            <w:tcBorders>
              <w:start w:val="single" w:sz="2" w:space="0" w:color="000000"/>
            </w:tcBorders>
            <w:shd w:fill="auto" w:val="clear"/>
            <w:tcMar>
              <w:start w:w="102" w:type="dxa"/>
            </w:tcMar>
          </w:tcPr>
          <w:p>
            <w:pPr>
              <w:pStyle w:val="Normal"/>
              <w:rPr/>
            </w:pPr>
            <w:r>
              <w:rPr/>
              <w:t xml:space="preserve">«   20 </w:t>
            </w:r>
          </w:p>
          <w:p>
            <w:pPr>
              <w:pStyle w:val="Normal"/>
              <w:rPr/>
            </w:pPr>
            <w:r>
              <w:rPr/>
            </w:r>
          </w:p>
        </w:tc>
        <w:tc>
          <w:tcPr>
            <w:tcW w:w="203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Любая </w:t>
            </w:r>
          </w:p>
          <w:p>
            <w:pPr>
              <w:pStyle w:val="Normal"/>
              <w:rPr/>
            </w:pPr>
            <w:r>
              <w:rPr/>
            </w:r>
          </w:p>
        </w:tc>
      </w:tr>
      <w:tr>
        <w:trPr/>
        <w:tc>
          <w:tcPr>
            <w:tcW w:w="3750" w:type="dxa"/>
            <w:tcBorders>
              <w:start w:val="single" w:sz="2" w:space="0" w:color="000000"/>
            </w:tcBorders>
            <w:shd w:fill="auto" w:val="clear"/>
            <w:tcMar>
              <w:start w:w="102" w:type="dxa"/>
            </w:tcMar>
          </w:tcPr>
          <w:p>
            <w:pPr>
              <w:pStyle w:val="Normal"/>
              <w:jc w:val="both"/>
              <w:rPr/>
            </w:pPr>
            <w:r>
              <w:rPr/>
              <w:t xml:space="preserve">5. Осветлители со взвешенным осадком - скорые фильтры </w:t>
            </w:r>
          </w:p>
          <w:p>
            <w:pPr>
              <w:pStyle w:val="Normal"/>
              <w:jc w:val="both"/>
              <w:rPr/>
            </w:pPr>
            <w:r>
              <w:rPr/>
            </w:r>
          </w:p>
        </w:tc>
        <w:tc>
          <w:tcPr>
            <w:tcW w:w="1410" w:type="dxa"/>
            <w:gridSpan w:val="2"/>
            <w:tcBorders>
              <w:start w:val="single" w:sz="2" w:space="0" w:color="000000"/>
            </w:tcBorders>
            <w:shd w:fill="auto" w:val="clear"/>
            <w:tcMar>
              <w:start w:w="102" w:type="dxa"/>
            </w:tcMar>
          </w:tcPr>
          <w:p>
            <w:pPr>
              <w:pStyle w:val="Normal"/>
              <w:jc w:val="center"/>
              <w:rPr/>
            </w:pPr>
            <w:r>
              <w:rPr/>
              <w:t>Не менее 50</w:t>
            </w:r>
          </w:p>
          <w:p>
            <w:pPr>
              <w:pStyle w:val="Normal"/>
              <w:jc w:val="center"/>
              <w:rPr/>
            </w:pPr>
            <w:r>
              <w:rPr/>
              <w:t xml:space="preserve">до 1500 </w:t>
            </w:r>
          </w:p>
          <w:p>
            <w:pPr>
              <w:pStyle w:val="Normal"/>
              <w:jc w:val="center"/>
              <w:rPr/>
            </w:pPr>
            <w:r>
              <w:rPr/>
            </w:r>
          </w:p>
        </w:tc>
        <w:tc>
          <w:tcPr>
            <w:tcW w:w="1170" w:type="dxa"/>
            <w:gridSpan w:val="3"/>
            <w:tcBorders>
              <w:start w:val="single" w:sz="2" w:space="0" w:color="000000"/>
            </w:tcBorders>
            <w:shd w:fill="auto" w:val="clear"/>
            <w:tcMar>
              <w:start w:w="102" w:type="dxa"/>
            </w:tcMar>
          </w:tcPr>
          <w:p>
            <w:pPr>
              <w:pStyle w:val="Normal"/>
              <w:rPr/>
            </w:pPr>
            <w:r>
              <w:rPr/>
              <w:t xml:space="preserve">«   1,5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  120 </w:t>
            </w:r>
          </w:p>
          <w:p>
            <w:pPr>
              <w:pStyle w:val="Normal"/>
              <w:rPr/>
            </w:pPr>
            <w:r>
              <w:rPr/>
            </w:r>
          </w:p>
        </w:tc>
        <w:tc>
          <w:tcPr>
            <w:tcW w:w="1170" w:type="dxa"/>
            <w:tcBorders>
              <w:start w:val="single" w:sz="2" w:space="0" w:color="000000"/>
            </w:tcBorders>
            <w:shd w:fill="auto" w:val="clear"/>
            <w:tcMar>
              <w:start w:w="102" w:type="dxa"/>
            </w:tcMar>
          </w:tcPr>
          <w:p>
            <w:pPr>
              <w:pStyle w:val="Normal"/>
              <w:rPr/>
            </w:pPr>
            <w:r>
              <w:rPr/>
              <w:t xml:space="preserve">«   20 </w:t>
            </w:r>
          </w:p>
          <w:p>
            <w:pPr>
              <w:pStyle w:val="Normal"/>
              <w:rPr/>
            </w:pPr>
            <w:r>
              <w:rPr/>
            </w:r>
          </w:p>
        </w:tc>
        <w:tc>
          <w:tcPr>
            <w:tcW w:w="203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Св. 5000 </w:t>
            </w:r>
          </w:p>
          <w:p>
            <w:pPr>
              <w:pStyle w:val="Normal"/>
              <w:rPr/>
            </w:pPr>
            <w:r>
              <w:rPr/>
            </w:r>
          </w:p>
        </w:tc>
      </w:tr>
      <w:tr>
        <w:trPr/>
        <w:tc>
          <w:tcPr>
            <w:tcW w:w="3750" w:type="dxa"/>
            <w:tcBorders>
              <w:start w:val="single" w:sz="2" w:space="0" w:color="000000"/>
            </w:tcBorders>
            <w:shd w:fill="auto" w:val="clear"/>
            <w:tcMar>
              <w:start w:w="102" w:type="dxa"/>
            </w:tcMar>
          </w:tcPr>
          <w:p>
            <w:pPr>
              <w:pStyle w:val="Normal"/>
              <w:jc w:val="both"/>
              <w:rPr/>
            </w:pPr>
            <w:r>
              <w:rPr/>
              <w:t xml:space="preserve">6. Две ступени отстойников - скорые фильтры </w:t>
            </w:r>
          </w:p>
          <w:p>
            <w:pPr>
              <w:pStyle w:val="Normal"/>
              <w:jc w:val="both"/>
              <w:rPr/>
            </w:pPr>
            <w:r>
              <w:rPr/>
            </w:r>
          </w:p>
        </w:tc>
        <w:tc>
          <w:tcPr>
            <w:tcW w:w="1410" w:type="dxa"/>
            <w:gridSpan w:val="2"/>
            <w:tcBorders>
              <w:start w:val="single" w:sz="2" w:space="0" w:color="000000"/>
            </w:tcBorders>
            <w:shd w:fill="auto" w:val="clear"/>
            <w:tcMar>
              <w:start w:w="102" w:type="dxa"/>
            </w:tcMar>
          </w:tcPr>
          <w:p>
            <w:pPr>
              <w:pStyle w:val="Normal"/>
              <w:jc w:val="center"/>
              <w:rPr/>
            </w:pPr>
            <w:r>
              <w:rPr/>
              <w:t xml:space="preserve">Более 1500 </w:t>
            </w:r>
          </w:p>
          <w:p>
            <w:pPr>
              <w:pStyle w:val="Normal"/>
              <w:jc w:val="center"/>
              <w:rPr/>
            </w:pPr>
            <w:r>
              <w:rPr/>
            </w:r>
          </w:p>
        </w:tc>
        <w:tc>
          <w:tcPr>
            <w:tcW w:w="1170" w:type="dxa"/>
            <w:gridSpan w:val="3"/>
            <w:tcBorders>
              <w:start w:val="single" w:sz="2" w:space="0" w:color="000000"/>
            </w:tcBorders>
            <w:shd w:fill="auto" w:val="clear"/>
            <w:tcMar>
              <w:start w:w="102" w:type="dxa"/>
            </w:tcMar>
          </w:tcPr>
          <w:p>
            <w:pPr>
              <w:pStyle w:val="Normal"/>
              <w:rPr/>
            </w:pPr>
            <w:r>
              <w:rPr/>
              <w:t xml:space="preserve">«   1,5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  120 </w:t>
            </w:r>
          </w:p>
          <w:p>
            <w:pPr>
              <w:pStyle w:val="Normal"/>
              <w:rPr/>
            </w:pPr>
            <w:r>
              <w:rPr/>
            </w:r>
          </w:p>
        </w:tc>
        <w:tc>
          <w:tcPr>
            <w:tcW w:w="1170" w:type="dxa"/>
            <w:tcBorders>
              <w:start w:val="single" w:sz="2" w:space="0" w:color="000000"/>
            </w:tcBorders>
            <w:shd w:fill="auto" w:val="clear"/>
            <w:tcMar>
              <w:start w:w="102" w:type="dxa"/>
            </w:tcMar>
          </w:tcPr>
          <w:p>
            <w:pPr>
              <w:pStyle w:val="Normal"/>
              <w:rPr/>
            </w:pPr>
            <w:r>
              <w:rPr/>
              <w:t xml:space="preserve">«   20 </w:t>
            </w:r>
          </w:p>
          <w:p>
            <w:pPr>
              <w:pStyle w:val="Normal"/>
              <w:rPr/>
            </w:pPr>
            <w:r>
              <w:rPr/>
            </w:r>
          </w:p>
        </w:tc>
        <w:tc>
          <w:tcPr>
            <w:tcW w:w="203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Любая </w:t>
            </w:r>
          </w:p>
          <w:p>
            <w:pPr>
              <w:pStyle w:val="Normal"/>
              <w:rPr/>
            </w:pPr>
            <w:r>
              <w:rPr/>
            </w:r>
          </w:p>
        </w:tc>
      </w:tr>
      <w:tr>
        <w:trPr/>
        <w:tc>
          <w:tcPr>
            <w:tcW w:w="3750" w:type="dxa"/>
            <w:tcBorders>
              <w:start w:val="single" w:sz="2" w:space="0" w:color="000000"/>
            </w:tcBorders>
            <w:shd w:fill="auto" w:val="clear"/>
            <w:tcMar>
              <w:start w:w="102" w:type="dxa"/>
            </w:tcMar>
          </w:tcPr>
          <w:p>
            <w:pPr>
              <w:pStyle w:val="Normal"/>
              <w:jc w:val="both"/>
              <w:rPr/>
            </w:pPr>
            <w:r>
              <w:rPr/>
              <w:t xml:space="preserve">7. Контактные осветлители </w:t>
            </w:r>
          </w:p>
          <w:p>
            <w:pPr>
              <w:pStyle w:val="Normal"/>
              <w:jc w:val="both"/>
              <w:rPr/>
            </w:pPr>
            <w:r>
              <w:rPr/>
            </w:r>
          </w:p>
        </w:tc>
        <w:tc>
          <w:tcPr>
            <w:tcW w:w="1410" w:type="dxa"/>
            <w:gridSpan w:val="2"/>
            <w:tcBorders>
              <w:start w:val="single" w:sz="2" w:space="0" w:color="000000"/>
            </w:tcBorders>
            <w:shd w:fill="auto" w:val="clear"/>
            <w:tcMar>
              <w:start w:w="102" w:type="dxa"/>
            </w:tcMar>
          </w:tcPr>
          <w:p>
            <w:pPr>
              <w:pStyle w:val="Normal"/>
              <w:jc w:val="center"/>
              <w:rPr/>
            </w:pPr>
            <w:r>
              <w:rPr/>
              <w:t xml:space="preserve">До  120 </w:t>
            </w:r>
          </w:p>
          <w:p>
            <w:pPr>
              <w:pStyle w:val="Normal"/>
              <w:jc w:val="center"/>
              <w:rPr/>
            </w:pPr>
            <w:r>
              <w:rPr/>
            </w:r>
          </w:p>
        </w:tc>
        <w:tc>
          <w:tcPr>
            <w:tcW w:w="1170" w:type="dxa"/>
            <w:gridSpan w:val="3"/>
            <w:tcBorders>
              <w:start w:val="single" w:sz="2" w:space="0" w:color="000000"/>
            </w:tcBorders>
            <w:shd w:fill="auto" w:val="clear"/>
            <w:tcMar>
              <w:start w:w="102" w:type="dxa"/>
            </w:tcMar>
          </w:tcPr>
          <w:p>
            <w:pPr>
              <w:pStyle w:val="Normal"/>
              <w:rPr/>
            </w:pPr>
            <w:r>
              <w:rPr/>
              <w:t xml:space="preserve">«   1,5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  120 </w:t>
            </w:r>
          </w:p>
          <w:p>
            <w:pPr>
              <w:pStyle w:val="Normal"/>
              <w:rPr/>
            </w:pPr>
            <w:r>
              <w:rPr/>
            </w:r>
          </w:p>
        </w:tc>
        <w:tc>
          <w:tcPr>
            <w:tcW w:w="1170" w:type="dxa"/>
            <w:tcBorders>
              <w:start w:val="single" w:sz="2" w:space="0" w:color="000000"/>
            </w:tcBorders>
            <w:shd w:fill="auto" w:val="clear"/>
            <w:tcMar>
              <w:start w:w="102" w:type="dxa"/>
            </w:tcMar>
          </w:tcPr>
          <w:p>
            <w:pPr>
              <w:pStyle w:val="Normal"/>
              <w:rPr/>
            </w:pPr>
            <w:r>
              <w:rPr/>
              <w:t xml:space="preserve">«   20 </w:t>
            </w:r>
          </w:p>
          <w:p>
            <w:pPr>
              <w:pStyle w:val="Normal"/>
              <w:rPr/>
            </w:pPr>
            <w:r>
              <w:rPr/>
            </w:r>
          </w:p>
        </w:tc>
        <w:tc>
          <w:tcPr>
            <w:tcW w:w="203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w:t>
            </w:r>
          </w:p>
          <w:p>
            <w:pPr>
              <w:pStyle w:val="Normal"/>
              <w:rPr/>
            </w:pPr>
            <w:r>
              <w:rPr/>
            </w:r>
          </w:p>
        </w:tc>
      </w:tr>
      <w:tr>
        <w:trPr/>
        <w:tc>
          <w:tcPr>
            <w:tcW w:w="3750" w:type="dxa"/>
            <w:tcBorders>
              <w:start w:val="single" w:sz="2" w:space="0" w:color="000000"/>
            </w:tcBorders>
            <w:shd w:fill="auto" w:val="clear"/>
            <w:tcMar>
              <w:start w:w="102" w:type="dxa"/>
            </w:tcMar>
          </w:tcPr>
          <w:p>
            <w:pPr>
              <w:pStyle w:val="Normal"/>
              <w:jc w:val="both"/>
              <w:rPr/>
            </w:pPr>
            <w:r>
              <w:rPr/>
              <w:t xml:space="preserve">8. Горизонтальные отстойники и осветлители со взвешенным осадком для частичного осветления воды </w:t>
            </w:r>
          </w:p>
          <w:p>
            <w:pPr>
              <w:pStyle w:val="Normal"/>
              <w:jc w:val="both"/>
              <w:rPr/>
            </w:pPr>
            <w:r>
              <w:rPr/>
            </w:r>
          </w:p>
        </w:tc>
        <w:tc>
          <w:tcPr>
            <w:tcW w:w="1410" w:type="dxa"/>
            <w:gridSpan w:val="2"/>
            <w:tcBorders>
              <w:start w:val="single" w:sz="2" w:space="0" w:color="000000"/>
            </w:tcBorders>
            <w:shd w:fill="auto" w:val="clear"/>
            <w:tcMar>
              <w:start w:w="102" w:type="dxa"/>
            </w:tcMar>
          </w:tcPr>
          <w:p>
            <w:pPr>
              <w:pStyle w:val="Normal"/>
              <w:jc w:val="center"/>
              <w:rPr/>
            </w:pPr>
            <w:r>
              <w:rPr/>
              <w:t xml:space="preserve">«  1500 </w:t>
            </w:r>
          </w:p>
          <w:p>
            <w:pPr>
              <w:pStyle w:val="Normal"/>
              <w:jc w:val="center"/>
              <w:rPr/>
            </w:pPr>
            <w:r>
              <w:rPr/>
            </w:r>
          </w:p>
        </w:tc>
        <w:tc>
          <w:tcPr>
            <w:tcW w:w="1170" w:type="dxa"/>
            <w:gridSpan w:val="3"/>
            <w:tcBorders>
              <w:start w:val="single" w:sz="2" w:space="0" w:color="000000"/>
            </w:tcBorders>
            <w:shd w:fill="auto" w:val="clear"/>
            <w:tcMar>
              <w:start w:w="102" w:type="dxa"/>
            </w:tcMar>
          </w:tcPr>
          <w:p>
            <w:pPr>
              <w:pStyle w:val="Normal"/>
              <w:rPr/>
            </w:pPr>
            <w:r>
              <w:rPr/>
              <w:t xml:space="preserve">8 - 15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  120 </w:t>
            </w:r>
          </w:p>
          <w:p>
            <w:pPr>
              <w:pStyle w:val="Normal"/>
              <w:rPr/>
            </w:pPr>
            <w:r>
              <w:rPr/>
            </w:r>
          </w:p>
        </w:tc>
        <w:tc>
          <w:tcPr>
            <w:tcW w:w="1170" w:type="dxa"/>
            <w:tcBorders>
              <w:start w:val="single" w:sz="2" w:space="0" w:color="000000"/>
            </w:tcBorders>
            <w:shd w:fill="auto" w:val="clear"/>
            <w:tcMar>
              <w:start w:w="102" w:type="dxa"/>
            </w:tcMar>
          </w:tcPr>
          <w:p>
            <w:pPr>
              <w:pStyle w:val="Normal"/>
              <w:rPr/>
            </w:pPr>
            <w:r>
              <w:rPr/>
              <w:t xml:space="preserve">«   40 </w:t>
            </w:r>
          </w:p>
          <w:p>
            <w:pPr>
              <w:pStyle w:val="Normal"/>
              <w:rPr/>
            </w:pPr>
            <w:r>
              <w:rPr/>
            </w:r>
          </w:p>
        </w:tc>
        <w:tc>
          <w:tcPr>
            <w:tcW w:w="203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w:t>
            </w:r>
          </w:p>
          <w:p>
            <w:pPr>
              <w:pStyle w:val="Normal"/>
              <w:rPr/>
            </w:pPr>
            <w:r>
              <w:rPr/>
            </w:r>
          </w:p>
        </w:tc>
      </w:tr>
      <w:tr>
        <w:trPr/>
        <w:tc>
          <w:tcPr>
            <w:tcW w:w="3750" w:type="dxa"/>
            <w:tcBorders>
              <w:start w:val="single" w:sz="2" w:space="0" w:color="000000"/>
            </w:tcBorders>
            <w:shd w:fill="auto" w:val="clear"/>
            <w:tcMar>
              <w:start w:w="102" w:type="dxa"/>
            </w:tcMar>
          </w:tcPr>
          <w:p>
            <w:pPr>
              <w:pStyle w:val="Normal"/>
              <w:jc w:val="both"/>
              <w:rPr/>
            </w:pPr>
            <w:r>
              <w:rPr/>
              <w:t xml:space="preserve">9. Крупнозернистые фильтры для частичного осветления воды </w:t>
            </w:r>
          </w:p>
          <w:p>
            <w:pPr>
              <w:pStyle w:val="Normal"/>
              <w:jc w:val="both"/>
              <w:rPr/>
            </w:pPr>
            <w:r>
              <w:rPr/>
            </w:r>
          </w:p>
        </w:tc>
        <w:tc>
          <w:tcPr>
            <w:tcW w:w="1410" w:type="dxa"/>
            <w:gridSpan w:val="2"/>
            <w:tcBorders>
              <w:start w:val="single" w:sz="2" w:space="0" w:color="000000"/>
            </w:tcBorders>
            <w:shd w:fill="auto" w:val="clear"/>
            <w:tcMar>
              <w:start w:w="102" w:type="dxa"/>
            </w:tcMar>
          </w:tcPr>
          <w:p>
            <w:pPr>
              <w:pStyle w:val="Normal"/>
              <w:jc w:val="center"/>
              <w:rPr/>
            </w:pPr>
            <w:r>
              <w:rPr/>
              <w:t xml:space="preserve">«    80 </w:t>
            </w:r>
          </w:p>
          <w:p>
            <w:pPr>
              <w:pStyle w:val="Normal"/>
              <w:jc w:val="center"/>
              <w:rPr/>
            </w:pPr>
            <w:r>
              <w:rPr/>
            </w:r>
          </w:p>
        </w:tc>
        <w:tc>
          <w:tcPr>
            <w:tcW w:w="1170" w:type="dxa"/>
            <w:gridSpan w:val="3"/>
            <w:tcBorders>
              <w:start w:val="single" w:sz="2" w:space="0" w:color="000000"/>
            </w:tcBorders>
            <w:shd w:fill="auto" w:val="clear"/>
            <w:tcMar>
              <w:start w:w="102" w:type="dxa"/>
            </w:tcMar>
          </w:tcPr>
          <w:p>
            <w:pPr>
              <w:pStyle w:val="Normal"/>
              <w:rPr/>
            </w:pPr>
            <w:r>
              <w:rPr/>
              <w:t xml:space="preserve">До 10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  120 </w:t>
            </w:r>
          </w:p>
          <w:p>
            <w:pPr>
              <w:pStyle w:val="Normal"/>
              <w:rPr/>
            </w:pPr>
            <w:r>
              <w:rPr/>
            </w:r>
          </w:p>
        </w:tc>
        <w:tc>
          <w:tcPr>
            <w:tcW w:w="1170" w:type="dxa"/>
            <w:tcBorders>
              <w:start w:val="single" w:sz="2" w:space="0" w:color="000000"/>
            </w:tcBorders>
            <w:shd w:fill="auto" w:val="clear"/>
            <w:tcMar>
              <w:start w:w="102" w:type="dxa"/>
            </w:tcMar>
          </w:tcPr>
          <w:p>
            <w:pPr>
              <w:pStyle w:val="Normal"/>
              <w:rPr/>
            </w:pPr>
            <w:r>
              <w:rPr/>
              <w:t xml:space="preserve">«   30 </w:t>
            </w:r>
          </w:p>
          <w:p>
            <w:pPr>
              <w:pStyle w:val="Normal"/>
              <w:rPr/>
            </w:pPr>
            <w:r>
              <w:rPr/>
            </w:r>
          </w:p>
        </w:tc>
        <w:tc>
          <w:tcPr>
            <w:tcW w:w="203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w:t>
            </w:r>
          </w:p>
          <w:p>
            <w:pPr>
              <w:pStyle w:val="Normal"/>
              <w:rPr/>
            </w:pPr>
            <w:r>
              <w:rPr/>
            </w:r>
          </w:p>
        </w:tc>
      </w:tr>
      <w:tr>
        <w:trPr/>
        <w:tc>
          <w:tcPr>
            <w:tcW w:w="3750" w:type="dxa"/>
            <w:tcBorders>
              <w:start w:val="single" w:sz="2" w:space="0" w:color="000000"/>
            </w:tcBorders>
            <w:shd w:fill="auto" w:val="clear"/>
            <w:tcMar>
              <w:start w:w="102" w:type="dxa"/>
            </w:tcMar>
          </w:tcPr>
          <w:p>
            <w:pPr>
              <w:pStyle w:val="Normal"/>
              <w:jc w:val="both"/>
              <w:rPr/>
            </w:pPr>
            <w:r>
              <w:rPr/>
              <w:t xml:space="preserve">10. Радиальные отстойники для предварительного осветления высокомутных вод </w:t>
            </w:r>
          </w:p>
          <w:p>
            <w:pPr>
              <w:pStyle w:val="Normal"/>
              <w:jc w:val="both"/>
              <w:rPr/>
            </w:pPr>
            <w:r>
              <w:rPr/>
            </w:r>
          </w:p>
        </w:tc>
        <w:tc>
          <w:tcPr>
            <w:tcW w:w="1410" w:type="dxa"/>
            <w:gridSpan w:val="2"/>
            <w:tcBorders>
              <w:start w:val="single" w:sz="2" w:space="0" w:color="000000"/>
            </w:tcBorders>
            <w:shd w:fill="auto" w:val="clear"/>
            <w:tcMar>
              <w:start w:w="102" w:type="dxa"/>
            </w:tcMar>
          </w:tcPr>
          <w:p>
            <w:pPr>
              <w:pStyle w:val="Normal"/>
              <w:jc w:val="center"/>
              <w:rPr/>
            </w:pPr>
            <w:r>
              <w:rPr/>
              <w:t xml:space="preserve">Св. 1500 </w:t>
            </w:r>
          </w:p>
          <w:p>
            <w:pPr>
              <w:pStyle w:val="Normal"/>
              <w:jc w:val="center"/>
              <w:rPr/>
            </w:pPr>
            <w:r>
              <w:rPr/>
            </w:r>
          </w:p>
        </w:tc>
        <w:tc>
          <w:tcPr>
            <w:tcW w:w="1170" w:type="dxa"/>
            <w:gridSpan w:val="3"/>
            <w:tcBorders>
              <w:start w:val="single" w:sz="2" w:space="0" w:color="000000"/>
            </w:tcBorders>
            <w:shd w:fill="auto" w:val="clear"/>
            <w:tcMar>
              <w:start w:w="102" w:type="dxa"/>
            </w:tcMar>
          </w:tcPr>
          <w:p>
            <w:pPr>
              <w:pStyle w:val="Normal"/>
              <w:rPr/>
            </w:pPr>
            <w:r>
              <w:rPr/>
              <w:t xml:space="preserve">«  250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  120 </w:t>
            </w:r>
          </w:p>
          <w:p>
            <w:pPr>
              <w:pStyle w:val="Normal"/>
              <w:rPr/>
            </w:pPr>
            <w:r>
              <w:rPr/>
            </w:r>
          </w:p>
        </w:tc>
        <w:tc>
          <w:tcPr>
            <w:tcW w:w="1170" w:type="dxa"/>
            <w:tcBorders>
              <w:start w:val="single" w:sz="2" w:space="0" w:color="000000"/>
            </w:tcBorders>
            <w:shd w:fill="auto" w:val="clear"/>
            <w:tcMar>
              <w:start w:w="102" w:type="dxa"/>
            </w:tcMar>
          </w:tcPr>
          <w:p>
            <w:pPr>
              <w:pStyle w:val="Normal"/>
              <w:rPr/>
            </w:pPr>
            <w:r>
              <w:rPr/>
              <w:t xml:space="preserve">«   20 </w:t>
            </w:r>
          </w:p>
          <w:p>
            <w:pPr>
              <w:pStyle w:val="Normal"/>
              <w:rPr/>
            </w:pPr>
            <w:r>
              <w:rPr/>
            </w:r>
          </w:p>
        </w:tc>
        <w:tc>
          <w:tcPr>
            <w:tcW w:w="203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w:t>
            </w:r>
          </w:p>
          <w:p>
            <w:pPr>
              <w:pStyle w:val="Normal"/>
              <w:rPr/>
            </w:pPr>
            <w:r>
              <w:rPr/>
            </w:r>
          </w:p>
        </w:tc>
      </w:tr>
      <w:tr>
        <w:trPr/>
        <w:tc>
          <w:tcPr>
            <w:tcW w:w="3750" w:type="dxa"/>
            <w:tcBorders>
              <w:start w:val="single" w:sz="2" w:space="0" w:color="000000"/>
            </w:tcBorders>
            <w:shd w:fill="auto" w:val="clear"/>
            <w:tcMar>
              <w:start w:w="102" w:type="dxa"/>
            </w:tcMar>
          </w:tcPr>
          <w:p>
            <w:pPr>
              <w:pStyle w:val="Normal"/>
              <w:jc w:val="both"/>
              <w:rPr/>
            </w:pPr>
            <w:r>
              <w:rPr/>
              <w:t>11. Трубчатый отстойник и напорный фильтр заводского изготовления (типа «Струя»)</w:t>
            </w:r>
          </w:p>
          <w:p>
            <w:pPr>
              <w:pStyle w:val="Normal"/>
              <w:jc w:val="both"/>
              <w:rPr/>
            </w:pPr>
            <w:r>
              <w:rPr/>
            </w:r>
          </w:p>
          <w:p>
            <w:pPr>
              <w:pStyle w:val="Normal"/>
              <w:jc w:val="both"/>
              <w:rPr/>
            </w:pPr>
            <w:r>
              <w:rPr/>
            </w:r>
          </w:p>
        </w:tc>
        <w:tc>
          <w:tcPr>
            <w:tcW w:w="1410" w:type="dxa"/>
            <w:gridSpan w:val="2"/>
            <w:tcBorders>
              <w:start w:val="single" w:sz="2" w:space="0" w:color="000000"/>
            </w:tcBorders>
            <w:shd w:fill="auto" w:val="clear"/>
            <w:tcMar>
              <w:start w:w="102" w:type="dxa"/>
            </w:tcMar>
          </w:tcPr>
          <w:p>
            <w:pPr>
              <w:pStyle w:val="Normal"/>
              <w:jc w:val="center"/>
              <w:rPr/>
            </w:pPr>
            <w:r>
              <w:rPr/>
              <w:t xml:space="preserve">До 1000 </w:t>
            </w:r>
          </w:p>
          <w:p>
            <w:pPr>
              <w:pStyle w:val="Normal"/>
              <w:jc w:val="center"/>
              <w:rPr/>
            </w:pPr>
            <w:r>
              <w:rPr/>
            </w:r>
          </w:p>
        </w:tc>
        <w:tc>
          <w:tcPr>
            <w:tcW w:w="1170" w:type="dxa"/>
            <w:gridSpan w:val="3"/>
            <w:tcBorders>
              <w:start w:val="single" w:sz="2" w:space="0" w:color="000000"/>
            </w:tcBorders>
            <w:shd w:fill="auto" w:val="clear"/>
            <w:tcMar>
              <w:start w:w="102" w:type="dxa"/>
            </w:tcMar>
          </w:tcPr>
          <w:p>
            <w:pPr>
              <w:pStyle w:val="Normal"/>
              <w:rPr/>
            </w:pPr>
            <w:r>
              <w:rPr/>
              <w:t xml:space="preserve">«   1,5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  120 </w:t>
            </w:r>
          </w:p>
          <w:p>
            <w:pPr>
              <w:pStyle w:val="Normal"/>
              <w:rPr/>
            </w:pPr>
            <w:r>
              <w:rPr/>
            </w:r>
          </w:p>
        </w:tc>
        <w:tc>
          <w:tcPr>
            <w:tcW w:w="1170" w:type="dxa"/>
            <w:tcBorders>
              <w:start w:val="single" w:sz="2" w:space="0" w:color="000000"/>
            </w:tcBorders>
            <w:shd w:fill="auto" w:val="clear"/>
            <w:tcMar>
              <w:start w:w="102" w:type="dxa"/>
            </w:tcMar>
          </w:tcPr>
          <w:p>
            <w:pPr>
              <w:pStyle w:val="Normal"/>
              <w:rPr/>
            </w:pPr>
            <w:r>
              <w:rPr/>
              <w:t xml:space="preserve">«   20 </w:t>
            </w:r>
          </w:p>
          <w:p>
            <w:pPr>
              <w:pStyle w:val="Normal"/>
              <w:rPr/>
            </w:pPr>
            <w:r>
              <w:rPr/>
            </w:r>
          </w:p>
        </w:tc>
        <w:tc>
          <w:tcPr>
            <w:tcW w:w="203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До  800 </w:t>
            </w:r>
          </w:p>
          <w:p>
            <w:pPr>
              <w:pStyle w:val="Normal"/>
              <w:rPr/>
            </w:pPr>
            <w:r>
              <w:rPr/>
            </w:r>
          </w:p>
        </w:tc>
      </w:tr>
      <w:tr>
        <w:trPr/>
        <w:tc>
          <w:tcPr>
            <w:tcW w:w="10535" w:type="dxa"/>
            <w:gridSpan w:val="10"/>
            <w:tcBorders>
              <w:start w:val="single" w:sz="2" w:space="0" w:color="000000"/>
              <w:end w:val="single" w:sz="2" w:space="0" w:color="000000"/>
              <w:insideV w:val="single" w:sz="2" w:space="0" w:color="000000"/>
            </w:tcBorders>
            <w:shd w:fill="auto" w:val="clear"/>
            <w:tcMar>
              <w:start w:w="102" w:type="dxa"/>
            </w:tcMar>
          </w:tcPr>
          <w:p>
            <w:pPr>
              <w:pStyle w:val="Normal"/>
              <w:rPr/>
            </w:pPr>
            <w:r>
              <w:rPr/>
              <w:t>Обработка воды без применения коагулянтов и флокулянтов</w:t>
            </w:r>
          </w:p>
          <w:p>
            <w:pPr>
              <w:pStyle w:val="Normal"/>
              <w:rPr/>
            </w:pPr>
            <w:r>
              <w:rPr/>
            </w:r>
          </w:p>
          <w:p>
            <w:pPr>
              <w:pStyle w:val="Normal"/>
              <w:rPr/>
            </w:pPr>
            <w:r>
              <w:rPr/>
            </w:r>
          </w:p>
        </w:tc>
      </w:tr>
      <w:tr>
        <w:trPr/>
        <w:tc>
          <w:tcPr>
            <w:tcW w:w="3765" w:type="dxa"/>
            <w:gridSpan w:val="2"/>
            <w:tcBorders>
              <w:start w:val="single" w:sz="2" w:space="0" w:color="000000"/>
            </w:tcBorders>
            <w:shd w:fill="auto" w:val="clear"/>
            <w:tcMar>
              <w:start w:w="102" w:type="dxa"/>
            </w:tcMar>
          </w:tcPr>
          <w:p>
            <w:pPr>
              <w:pStyle w:val="Normal"/>
              <w:jc w:val="both"/>
              <w:rPr/>
            </w:pPr>
            <w:r>
              <w:rPr/>
              <w:t xml:space="preserve">12. Крупнозернистые фильтры для частичного осветления воды </w:t>
            </w:r>
          </w:p>
          <w:p>
            <w:pPr>
              <w:pStyle w:val="Normal"/>
              <w:jc w:val="both"/>
              <w:rPr/>
            </w:pPr>
            <w:r>
              <w:rPr/>
            </w:r>
          </w:p>
        </w:tc>
        <w:tc>
          <w:tcPr>
            <w:tcW w:w="1410" w:type="dxa"/>
            <w:gridSpan w:val="2"/>
            <w:tcBorders>
              <w:start w:val="single" w:sz="2" w:space="0" w:color="000000"/>
            </w:tcBorders>
            <w:shd w:fill="auto" w:val="clear"/>
            <w:tcMar>
              <w:start w:w="102" w:type="dxa"/>
            </w:tcMar>
          </w:tcPr>
          <w:p>
            <w:pPr>
              <w:pStyle w:val="Normal"/>
              <w:jc w:val="center"/>
              <w:rPr/>
            </w:pPr>
            <w:r>
              <w:rPr/>
              <w:t xml:space="preserve">До 150 </w:t>
            </w:r>
          </w:p>
          <w:p>
            <w:pPr>
              <w:pStyle w:val="Normal"/>
              <w:jc w:val="center"/>
              <w:rPr/>
            </w:pPr>
            <w:r>
              <w:rPr/>
            </w:r>
          </w:p>
        </w:tc>
        <w:tc>
          <w:tcPr>
            <w:tcW w:w="1140" w:type="dxa"/>
            <w:tcBorders>
              <w:start w:val="single" w:sz="2" w:space="0" w:color="000000"/>
            </w:tcBorders>
            <w:shd w:fill="auto" w:val="clear"/>
            <w:tcMar>
              <w:start w:w="102" w:type="dxa"/>
            </w:tcMar>
          </w:tcPr>
          <w:p>
            <w:pPr>
              <w:pStyle w:val="Normal"/>
              <w:rPr/>
            </w:pPr>
            <w:r>
              <w:rPr/>
              <w:t>30 - 50%</w:t>
            </w:r>
          </w:p>
          <w:p>
            <w:pPr>
              <w:pStyle w:val="Normal"/>
              <w:rPr/>
            </w:pPr>
            <w:r>
              <w:rPr/>
              <w:t xml:space="preserve">исходной </w:t>
            </w:r>
          </w:p>
          <w:p>
            <w:pPr>
              <w:pStyle w:val="Normal"/>
              <w:rPr/>
            </w:pPr>
            <w:r>
              <w:rPr/>
            </w:r>
          </w:p>
        </w:tc>
        <w:tc>
          <w:tcPr>
            <w:tcW w:w="1020" w:type="dxa"/>
            <w:gridSpan w:val="2"/>
            <w:tcBorders>
              <w:start w:val="single" w:sz="2" w:space="0" w:color="000000"/>
            </w:tcBorders>
            <w:shd w:fill="auto" w:val="clear"/>
            <w:tcMar>
              <w:start w:w="102" w:type="dxa"/>
            </w:tcMar>
          </w:tcPr>
          <w:p>
            <w:pPr>
              <w:pStyle w:val="Normal"/>
              <w:rPr/>
            </w:pPr>
            <w:r>
              <w:rPr/>
              <w:t xml:space="preserve">До 120 </w:t>
            </w:r>
          </w:p>
          <w:p>
            <w:pPr>
              <w:pStyle w:val="Normal"/>
              <w:rPr/>
            </w:pPr>
            <w:r>
              <w:rPr/>
            </w:r>
          </w:p>
        </w:tc>
        <w:tc>
          <w:tcPr>
            <w:tcW w:w="1170" w:type="dxa"/>
            <w:tcBorders>
              <w:start w:val="single" w:sz="2" w:space="0" w:color="000000"/>
            </w:tcBorders>
            <w:shd w:fill="auto" w:val="clear"/>
            <w:tcMar>
              <w:start w:w="102" w:type="dxa"/>
            </w:tcMar>
          </w:tcPr>
          <w:p>
            <w:pPr>
              <w:pStyle w:val="Normal"/>
              <w:rPr/>
            </w:pPr>
            <w:r>
              <w:rPr/>
              <w:t>Такая же,</w:t>
            </w:r>
          </w:p>
          <w:p>
            <w:pPr>
              <w:pStyle w:val="Normal"/>
              <w:rPr/>
            </w:pPr>
            <w:r>
              <w:rPr/>
              <w:t xml:space="preserve">как исходная </w:t>
            </w:r>
          </w:p>
          <w:p>
            <w:pPr>
              <w:pStyle w:val="Normal"/>
              <w:rPr/>
            </w:pPr>
            <w:r>
              <w:rPr/>
            </w:r>
          </w:p>
        </w:tc>
        <w:tc>
          <w:tcPr>
            <w:tcW w:w="203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Любая </w:t>
            </w:r>
          </w:p>
          <w:p>
            <w:pPr>
              <w:pStyle w:val="Normal"/>
              <w:rPr/>
            </w:pPr>
            <w:r>
              <w:rPr/>
            </w:r>
          </w:p>
        </w:tc>
      </w:tr>
      <w:tr>
        <w:trPr/>
        <w:tc>
          <w:tcPr>
            <w:tcW w:w="3765" w:type="dxa"/>
            <w:gridSpan w:val="2"/>
            <w:tcBorders>
              <w:start w:val="single" w:sz="2" w:space="0" w:color="000000"/>
            </w:tcBorders>
            <w:shd w:fill="auto" w:val="clear"/>
            <w:tcMar>
              <w:start w:w="102" w:type="dxa"/>
            </w:tcMar>
          </w:tcPr>
          <w:p>
            <w:pPr>
              <w:pStyle w:val="Normal"/>
              <w:jc w:val="both"/>
              <w:rPr/>
            </w:pPr>
            <w:r>
              <w:rPr/>
              <w:t xml:space="preserve">13. Радиальные отстойники для частичного осветления воды </w:t>
            </w:r>
          </w:p>
          <w:p>
            <w:pPr>
              <w:pStyle w:val="Normal"/>
              <w:jc w:val="both"/>
              <w:rPr/>
            </w:pPr>
            <w:r>
              <w:rPr/>
            </w:r>
          </w:p>
        </w:tc>
        <w:tc>
          <w:tcPr>
            <w:tcW w:w="1410" w:type="dxa"/>
            <w:gridSpan w:val="2"/>
            <w:tcBorders>
              <w:start w:val="single" w:sz="2" w:space="0" w:color="000000"/>
            </w:tcBorders>
            <w:shd w:fill="auto" w:val="clear"/>
            <w:tcMar>
              <w:start w:w="102" w:type="dxa"/>
            </w:tcMar>
          </w:tcPr>
          <w:p>
            <w:pPr>
              <w:pStyle w:val="Normal"/>
              <w:jc w:val="center"/>
              <w:rPr/>
            </w:pPr>
            <w:r>
              <w:rPr/>
              <w:t xml:space="preserve">Более 1500 </w:t>
            </w:r>
          </w:p>
          <w:p>
            <w:pPr>
              <w:pStyle w:val="Normal"/>
              <w:jc w:val="center"/>
              <w:rPr/>
            </w:pPr>
            <w:r>
              <w:rPr/>
            </w:r>
          </w:p>
        </w:tc>
        <w:tc>
          <w:tcPr>
            <w:tcW w:w="1140" w:type="dxa"/>
            <w:tcBorders>
              <w:start w:val="single" w:sz="2" w:space="0" w:color="000000"/>
            </w:tcBorders>
            <w:shd w:fill="auto" w:val="clear"/>
            <w:tcMar>
              <w:start w:w="102" w:type="dxa"/>
            </w:tcMar>
          </w:tcPr>
          <w:p>
            <w:pPr>
              <w:pStyle w:val="Normal"/>
              <w:rPr/>
            </w:pPr>
            <w:r>
              <w:rPr/>
              <w:t>30 - 50%</w:t>
            </w:r>
          </w:p>
          <w:p>
            <w:pPr>
              <w:pStyle w:val="Normal"/>
              <w:rPr/>
            </w:pPr>
            <w:r>
              <w:rPr/>
              <w:t xml:space="preserve">исходной </w:t>
            </w:r>
          </w:p>
          <w:p>
            <w:pPr>
              <w:pStyle w:val="Normal"/>
              <w:rPr/>
            </w:pPr>
            <w:r>
              <w:rPr/>
            </w:r>
          </w:p>
        </w:tc>
        <w:tc>
          <w:tcPr>
            <w:tcW w:w="1020" w:type="dxa"/>
            <w:gridSpan w:val="2"/>
            <w:tcBorders>
              <w:start w:val="single" w:sz="2" w:space="0" w:color="000000"/>
            </w:tcBorders>
            <w:shd w:fill="auto" w:val="clear"/>
            <w:tcMar>
              <w:start w:w="102" w:type="dxa"/>
            </w:tcMar>
          </w:tcPr>
          <w:p>
            <w:pPr>
              <w:pStyle w:val="Normal"/>
              <w:rPr/>
            </w:pPr>
            <w:r>
              <w:rPr/>
              <w:t xml:space="preserve">«  120 </w:t>
            </w:r>
          </w:p>
          <w:p>
            <w:pPr>
              <w:pStyle w:val="Normal"/>
              <w:rPr/>
            </w:pPr>
            <w:r>
              <w:rPr/>
            </w:r>
          </w:p>
        </w:tc>
        <w:tc>
          <w:tcPr>
            <w:tcW w:w="1170" w:type="dxa"/>
            <w:tcBorders>
              <w:start w:val="single" w:sz="2" w:space="0" w:color="000000"/>
            </w:tcBorders>
            <w:shd w:fill="auto" w:val="clear"/>
            <w:tcMar>
              <w:start w:w="102" w:type="dxa"/>
            </w:tcMar>
          </w:tcPr>
          <w:p>
            <w:pPr>
              <w:pStyle w:val="Normal"/>
              <w:rPr/>
            </w:pPr>
            <w:r>
              <w:rPr/>
              <w:t xml:space="preserve">То же </w:t>
            </w:r>
          </w:p>
          <w:p>
            <w:pPr>
              <w:pStyle w:val="Normal"/>
              <w:rPr/>
            </w:pPr>
            <w:r>
              <w:rPr/>
            </w:r>
          </w:p>
        </w:tc>
        <w:tc>
          <w:tcPr>
            <w:tcW w:w="203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w:t>
            </w:r>
          </w:p>
          <w:p>
            <w:pPr>
              <w:pStyle w:val="Normal"/>
              <w:rPr/>
            </w:pPr>
            <w:r>
              <w:rPr/>
            </w:r>
          </w:p>
        </w:tc>
      </w:tr>
      <w:tr>
        <w:trPr/>
        <w:tc>
          <w:tcPr>
            <w:tcW w:w="3765" w:type="dxa"/>
            <w:gridSpan w:val="2"/>
            <w:tcBorders>
              <w:start w:val="single" w:sz="2" w:space="0" w:color="000000"/>
              <w:bottom w:val="single" w:sz="2" w:space="0" w:color="000000"/>
              <w:insideH w:val="single" w:sz="2" w:space="0" w:color="000000"/>
            </w:tcBorders>
            <w:shd w:fill="auto" w:val="clear"/>
            <w:tcMar>
              <w:start w:w="102" w:type="dxa"/>
            </w:tcMar>
          </w:tcPr>
          <w:p>
            <w:pPr>
              <w:pStyle w:val="Normal"/>
              <w:jc w:val="both"/>
              <w:rPr/>
            </w:pPr>
            <w:r>
              <w:rPr/>
              <w:t>14. Медленные фильтры с механической или гидравлической регенерацией песка</w:t>
            </w:r>
          </w:p>
          <w:p>
            <w:pPr>
              <w:pStyle w:val="Normal"/>
              <w:jc w:val="both"/>
              <w:rPr/>
            </w:pPr>
            <w:r>
              <w:rPr/>
            </w:r>
          </w:p>
          <w:p>
            <w:pPr>
              <w:pStyle w:val="Normal"/>
              <w:jc w:val="both"/>
              <w:rPr/>
            </w:pPr>
            <w:r>
              <w:rPr/>
            </w:r>
          </w:p>
        </w:tc>
        <w:tc>
          <w:tcPr>
            <w:tcW w:w="1410" w:type="dxa"/>
            <w:gridSpan w:val="2"/>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До 1500 </w:t>
            </w:r>
          </w:p>
          <w:p>
            <w:pPr>
              <w:pStyle w:val="Normal"/>
              <w:jc w:val="center"/>
              <w:rPr/>
            </w:pPr>
            <w:r>
              <w:rPr/>
            </w:r>
          </w:p>
        </w:tc>
        <w:tc>
          <w:tcPr>
            <w:tcW w:w="114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1,5 </w:t>
            </w:r>
          </w:p>
          <w:p>
            <w:pPr>
              <w:pStyle w:val="Normal"/>
              <w:rPr/>
            </w:pPr>
            <w:r>
              <w:rPr/>
            </w:r>
          </w:p>
        </w:tc>
        <w:tc>
          <w:tcPr>
            <w:tcW w:w="1020"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50 </w:t>
            </w:r>
          </w:p>
          <w:p>
            <w:pPr>
              <w:pStyle w:val="Normal"/>
              <w:rPr/>
            </w:pPr>
            <w:r>
              <w:rPr/>
            </w:r>
          </w:p>
        </w:tc>
        <w:tc>
          <w:tcPr>
            <w:tcW w:w="117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До  20 </w:t>
            </w:r>
          </w:p>
          <w:p>
            <w:pPr>
              <w:pStyle w:val="Normal"/>
              <w:rPr/>
            </w:pPr>
            <w:r>
              <w:rPr/>
            </w:r>
          </w:p>
        </w:tc>
        <w:tc>
          <w:tcPr>
            <w:tcW w:w="2030" w:type="dxa"/>
            <w:gridSpan w:val="2"/>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w:t>
            </w:r>
          </w:p>
          <w:p>
            <w:pPr>
              <w:pStyle w:val="Normal"/>
              <w:rPr/>
            </w:pPr>
            <w:r>
              <w:rPr/>
            </w:r>
          </w:p>
        </w:tc>
      </w:tr>
    </w:tbl>
    <w:p>
      <w:pPr>
        <w:pStyle w:val="Normal"/>
        <w:jc w:val="both"/>
        <w:rPr/>
      </w:pPr>
      <w:r>
        <w:rPr/>
      </w:r>
    </w:p>
    <w:p>
      <w:pPr>
        <w:pStyle w:val="Normal"/>
        <w:ind w:firstLine="270"/>
        <w:jc w:val="both"/>
        <w:rPr/>
      </w:pPr>
      <w:r>
        <w:rPr/>
        <w:t xml:space="preserve">Примечания: 1. Мутность указана суммарная, включая образующуюся от введения реагентов. </w:t>
      </w:r>
    </w:p>
    <w:p>
      <w:pPr>
        <w:pStyle w:val="Normal"/>
        <w:ind w:firstLine="180"/>
        <w:jc w:val="both"/>
        <w:rPr/>
      </w:pPr>
      <w:r>
        <w:rPr/>
      </w:r>
    </w:p>
    <w:p>
      <w:pPr>
        <w:pStyle w:val="Normal"/>
        <w:ind w:firstLine="315"/>
        <w:jc w:val="both"/>
        <w:rPr/>
      </w:pPr>
      <w:r>
        <w:rPr/>
        <w:t>2. На водозаборных сооружениях или на станции водоподготовки необходимо предусматривать установку сеток с ячейками 0,5-2 мм. При среднемесячном содержании в воде планктона более 1000 кл/мл и продолжительности "цветения" более 1 мес в году в дополнение к сеткам на водозаборе следует предусматривать установку микрофильтров на водозаборе или на станции водоподготовки.</w:t>
      </w:r>
    </w:p>
    <w:p>
      <w:pPr>
        <w:pStyle w:val="Normal"/>
        <w:ind w:firstLine="225"/>
        <w:jc w:val="both"/>
        <w:rPr/>
      </w:pPr>
      <w:r>
        <w:rPr/>
      </w:r>
    </w:p>
    <w:p>
      <w:pPr>
        <w:pStyle w:val="Normal"/>
        <w:ind w:firstLine="270"/>
        <w:jc w:val="both"/>
        <w:rPr/>
      </w:pPr>
      <w:r>
        <w:rPr/>
        <w:t>3. При обосновании для обработки воды допускается применять сооружения, не указанные в табл. 15 (плавучие водозаборы-осветлители, гидроциклоны, флотационные установки и др.).</w:t>
      </w:r>
    </w:p>
    <w:p>
      <w:pPr>
        <w:pStyle w:val="Normal"/>
        <w:ind w:firstLine="270"/>
        <w:jc w:val="both"/>
        <w:rPr/>
      </w:pPr>
      <w:r>
        <w:rPr/>
      </w:r>
    </w:p>
    <w:p>
      <w:pPr>
        <w:pStyle w:val="Normal"/>
        <w:ind w:firstLine="270"/>
        <w:jc w:val="both"/>
        <w:rPr/>
      </w:pPr>
      <w:r>
        <w:rPr/>
        <w:t>4. Осветлители со взвешенным осадком следует применять при равномерной подаче воды на сооружения или постепенном изменении расхода воды в пределах не более 15% в 1 ч и колебании температуры воды не более ± 1 °С в 1 ч.</w:t>
      </w:r>
    </w:p>
    <w:p>
      <w:pPr>
        <w:pStyle w:val="Normal"/>
        <w:ind w:firstLine="225"/>
        <w:jc w:val="both"/>
        <w:rPr/>
      </w:pPr>
      <w:r>
        <w:rPr/>
      </w:r>
    </w:p>
    <w:p>
      <w:pPr>
        <w:pStyle w:val="Normal"/>
        <w:ind w:firstLine="225"/>
        <w:jc w:val="both"/>
        <w:rPr/>
      </w:pPr>
      <w:r>
        <w:rPr/>
      </w:r>
    </w:p>
    <w:p>
      <w:pPr>
        <w:pStyle w:val="Heading"/>
        <w:jc w:val="center"/>
        <w:rPr/>
      </w:pPr>
      <w:r>
        <w:rPr/>
        <w:t>Сетчатые барабанные фильтры</w:t>
      </w:r>
    </w:p>
    <w:p>
      <w:pPr>
        <w:pStyle w:val="Heading"/>
        <w:jc w:val="center"/>
        <w:rPr/>
      </w:pPr>
      <w:r>
        <w:rPr/>
      </w:r>
    </w:p>
    <w:p>
      <w:pPr>
        <w:pStyle w:val="Normal"/>
        <w:ind w:firstLine="270"/>
        <w:jc w:val="both"/>
        <w:rPr/>
      </w:pPr>
      <w:r>
        <w:rPr/>
      </w:r>
    </w:p>
    <w:p>
      <w:pPr>
        <w:pStyle w:val="Normal"/>
        <w:ind w:firstLine="270"/>
        <w:jc w:val="both"/>
        <w:rPr/>
      </w:pPr>
      <w:r>
        <w:rPr/>
        <w:t>6.11. Сетчатые барабанные фильтры следует применять для удаления из воды крупных плавающих и взвешенных примесей (барабанные сетки) и для удаления указанных примесей и планктона (микрофильтры).</w:t>
      </w:r>
    </w:p>
    <w:p>
      <w:pPr>
        <w:pStyle w:val="Normal"/>
        <w:ind w:firstLine="180"/>
        <w:jc w:val="both"/>
        <w:rPr/>
      </w:pPr>
      <w:r>
        <w:rPr/>
      </w:r>
    </w:p>
    <w:p>
      <w:pPr>
        <w:pStyle w:val="Normal"/>
        <w:ind w:firstLine="270"/>
        <w:jc w:val="both"/>
        <w:rPr/>
      </w:pPr>
      <w:r>
        <w:rPr/>
        <w:t>Сетчатые барабанные фильтры следует размещать на площадке станций водоподготовки, при обосновании допускается их размещение на водозаборных сооружениях.</w:t>
      </w:r>
    </w:p>
    <w:p>
      <w:pPr>
        <w:pStyle w:val="Normal"/>
        <w:ind w:firstLine="225"/>
        <w:jc w:val="both"/>
        <w:rPr/>
      </w:pPr>
      <w:r>
        <w:rPr/>
      </w:r>
    </w:p>
    <w:p>
      <w:pPr>
        <w:pStyle w:val="Normal"/>
        <w:ind w:firstLine="225"/>
        <w:jc w:val="both"/>
        <w:rPr/>
      </w:pPr>
      <w:r>
        <w:rPr/>
        <w:t>Сетчатые барабанные фильтры надлежит устанавливать до подачи в воду реагентов.</w:t>
      </w:r>
    </w:p>
    <w:p>
      <w:pPr>
        <w:pStyle w:val="Normal"/>
        <w:ind w:firstLine="225"/>
        <w:jc w:val="both"/>
        <w:rPr/>
      </w:pPr>
      <w:r>
        <w:rPr/>
      </w:r>
    </w:p>
    <w:p>
      <w:pPr>
        <w:pStyle w:val="Normal"/>
        <w:ind w:firstLine="225"/>
        <w:jc w:val="both"/>
        <w:rPr/>
      </w:pPr>
      <w:r>
        <w:rPr/>
        <w:t>6.12. Количество резервных сетчатых барабанных фильтров надлежит принимать:</w:t>
      </w:r>
    </w:p>
    <w:p>
      <w:pPr>
        <w:pStyle w:val="Normal"/>
        <w:ind w:firstLine="225"/>
        <w:jc w:val="both"/>
        <w:rPr/>
      </w:pPr>
      <w:r>
        <w:rPr/>
      </w:r>
    </w:p>
    <w:p>
      <w:pPr>
        <w:pStyle w:val="Preformat"/>
        <w:rPr/>
      </w:pPr>
      <w:r>
        <w:rPr>
          <w:vanish/>
        </w:rPr>
        <w:t>#G1</w:t>
      </w:r>
      <w:r>
        <w:rPr/>
        <w:t>1 - при количестве рабочих агрегатов 1-5;</w:t>
      </w:r>
    </w:p>
    <w:p>
      <w:pPr>
        <w:pStyle w:val="Preformat"/>
        <w:rPr/>
      </w:pPr>
      <w:r>
        <w:rPr/>
      </w:r>
    </w:p>
    <w:p>
      <w:pPr>
        <w:pStyle w:val="Preformat"/>
        <w:rPr/>
      </w:pPr>
      <w:r>
        <w:rPr/>
        <w:t xml:space="preserve">2 -  «      «         «        «     6-10; </w:t>
      </w:r>
    </w:p>
    <w:p>
      <w:pPr>
        <w:pStyle w:val="Preformat"/>
        <w:rPr/>
      </w:pPr>
      <w:r>
        <w:rPr/>
      </w:r>
    </w:p>
    <w:p>
      <w:pPr>
        <w:pStyle w:val="Preformat"/>
        <w:rPr/>
      </w:pPr>
      <w:r>
        <w:rPr/>
        <w:t>3 -  «      «         «        «     11 и св.</w:t>
      </w:r>
    </w:p>
    <w:p>
      <w:pPr>
        <w:pStyle w:val="Normal"/>
        <w:jc w:val="both"/>
        <w:rPr>
          <w:rFonts w:ascii="Courier New" w:hAnsi="Courier New" w:eastAsia="Courier New" w:cs="Courier New"/>
        </w:rPr>
      </w:pPr>
      <w:r>
        <w:rPr>
          <w:rFonts w:eastAsia="Courier New" w:cs="Courier New" w:ascii="Courier New" w:hAnsi="Courier New"/>
        </w:rPr>
        <w:t xml:space="preserve">     </w:t>
      </w:r>
    </w:p>
    <w:p>
      <w:pPr>
        <w:pStyle w:val="Normal"/>
        <w:ind w:firstLine="270"/>
        <w:jc w:val="both"/>
        <w:rPr/>
      </w:pPr>
      <w:r>
        <w:rPr>
          <w:vanish/>
        </w:rPr>
        <w:t>#G0</w:t>
      </w:r>
      <w:r>
        <w:rPr/>
        <w:t>6.13. Установку сетчатых барабанных фильтров следует предусматривать в камерах. Допускается размещение в одной камере двух агрегатов, если число рабочих агрегатов св. 5.</w:t>
      </w:r>
    </w:p>
    <w:p>
      <w:pPr>
        <w:pStyle w:val="Normal"/>
        <w:ind w:firstLine="225"/>
        <w:jc w:val="both"/>
        <w:rPr/>
      </w:pPr>
      <w:r>
        <w:rPr/>
      </w:r>
    </w:p>
    <w:p>
      <w:pPr>
        <w:pStyle w:val="Normal"/>
        <w:ind w:firstLine="270"/>
        <w:jc w:val="both"/>
        <w:rPr/>
      </w:pPr>
      <w:r>
        <w:rPr/>
        <w:t>Камеры должны оборудоваться спускными трубами.</w:t>
      </w:r>
    </w:p>
    <w:p>
      <w:pPr>
        <w:pStyle w:val="Normal"/>
        <w:ind w:firstLine="225"/>
        <w:jc w:val="both"/>
        <w:rPr/>
      </w:pPr>
      <w:r>
        <w:rPr/>
      </w:r>
    </w:p>
    <w:p>
      <w:pPr>
        <w:pStyle w:val="Normal"/>
        <w:ind w:firstLine="270"/>
        <w:jc w:val="both"/>
        <w:rPr/>
      </w:pPr>
      <w:r>
        <w:rPr/>
        <w:t>В подводящем канале камер следует предусматривать переливной трубопровод.</w:t>
      </w:r>
    </w:p>
    <w:p>
      <w:pPr>
        <w:pStyle w:val="Normal"/>
        <w:ind w:firstLine="270"/>
        <w:jc w:val="both"/>
        <w:rPr/>
      </w:pPr>
      <w:r>
        <w:rPr/>
      </w:r>
    </w:p>
    <w:p>
      <w:pPr>
        <w:pStyle w:val="Normal"/>
        <w:ind w:firstLine="225"/>
        <w:jc w:val="both"/>
        <w:rPr/>
      </w:pPr>
      <w:r>
        <w:rPr/>
        <w:t>6.14. Промывка сетчатых барабанных фильтров должна осуществляться водой, прошедшей через них.</w:t>
      </w:r>
    </w:p>
    <w:p>
      <w:pPr>
        <w:pStyle w:val="Normal"/>
        <w:ind w:firstLine="225"/>
        <w:jc w:val="both"/>
        <w:rPr/>
      </w:pPr>
      <w:r>
        <w:rPr/>
      </w:r>
    </w:p>
    <w:p>
      <w:pPr>
        <w:pStyle w:val="Normal"/>
        <w:ind w:firstLine="270"/>
        <w:jc w:val="both"/>
        <w:rPr/>
      </w:pPr>
      <w:r>
        <w:rPr/>
        <w:t>Расходы воды на собственные нужды следует принимать: для барабанных сеток - 0,5% и микрофильтров - 1,5% расчетной производительности.</w:t>
      </w:r>
    </w:p>
    <w:p>
      <w:pPr>
        <w:pStyle w:val="Normal"/>
        <w:ind w:firstLine="270"/>
        <w:jc w:val="both"/>
        <w:rPr/>
      </w:pPr>
      <w:r>
        <w:rPr/>
      </w:r>
    </w:p>
    <w:p>
      <w:pPr>
        <w:pStyle w:val="Normal"/>
        <w:ind w:firstLine="225"/>
        <w:jc w:val="both"/>
        <w:rPr/>
      </w:pPr>
      <w:r>
        <w:rPr/>
      </w:r>
    </w:p>
    <w:p>
      <w:pPr>
        <w:pStyle w:val="Heading"/>
        <w:jc w:val="center"/>
        <w:rPr/>
      </w:pPr>
      <w:r>
        <w:rPr/>
        <w:t>Реагентное хозяйство</w:t>
      </w:r>
    </w:p>
    <w:p>
      <w:pPr>
        <w:pStyle w:val="Heading"/>
        <w:jc w:val="center"/>
        <w:rPr/>
      </w:pPr>
      <w:r>
        <w:rPr/>
      </w:r>
    </w:p>
    <w:p>
      <w:pPr>
        <w:pStyle w:val="Normal"/>
        <w:ind w:firstLine="270"/>
        <w:jc w:val="both"/>
        <w:rPr/>
      </w:pPr>
      <w:r>
        <w:rPr/>
      </w:r>
    </w:p>
    <w:p>
      <w:pPr>
        <w:pStyle w:val="Normal"/>
        <w:ind w:firstLine="270"/>
        <w:jc w:val="both"/>
        <w:rPr/>
      </w:pPr>
      <w:r>
        <w:rPr/>
        <w:t>6.15. Расчетные дозы реагентов следует устанавливать для различных периодов года в зависимости от качества исходной воды и корректировать в период наладки и эксплуатации сооружений. При этом надлежит учитывать допустимые их остаточные концентрации в обработанной воде, предусмотренные ГОСТ 2874-82 и технологическими требованиями.</w:t>
      </w:r>
    </w:p>
    <w:p>
      <w:pPr>
        <w:pStyle w:val="Normal"/>
        <w:ind w:firstLine="405"/>
        <w:jc w:val="both"/>
        <w:rPr/>
      </w:pPr>
      <w:r>
        <w:rPr/>
      </w:r>
    </w:p>
    <w:tbl>
      <w:tblPr>
        <w:tblW w:w="8925" w:type="dxa"/>
        <w:jc w:val="start"/>
        <w:tblInd w:w="15" w:type="dxa"/>
        <w:tblBorders/>
        <w:tblCellMar>
          <w:top w:w="0" w:type="dxa"/>
          <w:start w:w="0" w:type="dxa"/>
          <w:bottom w:w="0" w:type="dxa"/>
          <w:end w:w="0" w:type="dxa"/>
        </w:tblCellMar>
      </w:tblPr>
      <w:tblGrid>
        <w:gridCol w:w="30"/>
        <w:gridCol w:w="2205"/>
        <w:gridCol w:w="150"/>
        <w:gridCol w:w="495"/>
        <w:gridCol w:w="450"/>
        <w:gridCol w:w="1365"/>
        <w:gridCol w:w="3495"/>
        <w:gridCol w:w="735"/>
      </w:tblGrid>
      <w:tr>
        <w:trPr/>
        <w:tc>
          <w:tcPr>
            <w:tcW w:w="30" w:type="dxa"/>
            <w:tcBorders/>
            <w:shd w:fill="auto" w:val="clear"/>
          </w:tcPr>
          <w:p>
            <w:pPr>
              <w:pStyle w:val="Style24"/>
              <w:rPr/>
            </w:pPr>
            <w:r>
              <w:rPr/>
            </w:r>
          </w:p>
        </w:tc>
        <w:tc>
          <w:tcPr>
            <w:tcW w:w="2205" w:type="dxa"/>
            <w:tcBorders/>
            <w:shd w:fill="auto" w:val="clear"/>
            <w:tcMar>
              <w:start w:w="15" w:type="dxa"/>
              <w:end w:w="15" w:type="dxa"/>
            </w:tcMar>
          </w:tcPr>
          <w:p>
            <w:pPr>
              <w:pStyle w:val="Normal"/>
              <w:rPr/>
            </w:pPr>
            <w:r>
              <w:rPr>
                <w:vanish/>
              </w:rPr>
              <w:t>#G0</w:t>
            </w:r>
            <w:r>
              <w:rPr/>
              <w:t xml:space="preserve">     6.16. Дозу коагулянта </w:t>
            </w:r>
          </w:p>
          <w:p>
            <w:pPr>
              <w:pStyle w:val="Normal"/>
              <w:rPr/>
            </w:pPr>
            <w:r>
              <w:rPr/>
            </w:r>
          </w:p>
        </w:tc>
        <w:tc>
          <w:tcPr>
            <w:tcW w:w="645" w:type="dxa"/>
            <w:gridSpan w:val="2"/>
            <w:tcBorders/>
            <w:shd w:fill="auto" w:val="clear"/>
            <w:tcMar>
              <w:start w:w="15" w:type="dxa"/>
              <w:end w:w="15" w:type="dxa"/>
            </w:tcMar>
          </w:tcPr>
          <w:p>
            <w:pPr>
              <w:pStyle w:val="Normal"/>
              <w:rPr/>
            </w:pPr>
            <w:r>
              <w:rPr/>
              <w:drawing>
                <wp:inline distT="0" distB="0" distL="0" distR="0">
                  <wp:extent cx="253365" cy="184150"/>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253365" cy="184150"/>
                          </a:xfrm>
                          <a:prstGeom prst="rect">
                            <a:avLst/>
                          </a:prstGeom>
                        </pic:spPr>
                      </pic:pic>
                    </a:graphicData>
                  </a:graphic>
                </wp:inline>
              </w:drawing>
            </w:r>
          </w:p>
        </w:tc>
        <w:tc>
          <w:tcPr>
            <w:tcW w:w="450" w:type="dxa"/>
            <w:tcBorders/>
            <w:shd w:fill="auto" w:val="clear"/>
            <w:tcMar>
              <w:start w:w="15" w:type="dxa"/>
              <w:end w:w="15" w:type="dxa"/>
            </w:tcMar>
          </w:tcPr>
          <w:p>
            <w:pPr>
              <w:pStyle w:val="Normal"/>
              <w:rPr/>
            </w:pPr>
            <w:r>
              <w:rPr/>
              <w:t>мг.л,</w:t>
            </w:r>
          </w:p>
          <w:p>
            <w:pPr>
              <w:pStyle w:val="Normal"/>
              <w:rPr/>
            </w:pPr>
            <w:r>
              <w:rPr/>
            </w:r>
          </w:p>
        </w:tc>
        <w:tc>
          <w:tcPr>
            <w:tcW w:w="1365" w:type="dxa"/>
            <w:tcBorders/>
            <w:shd w:fill="auto" w:val="clear"/>
            <w:tcMar>
              <w:start w:w="15" w:type="dxa"/>
              <w:end w:w="15" w:type="dxa"/>
            </w:tcMar>
          </w:tcPr>
          <w:p>
            <w:pPr>
              <w:pStyle w:val="Normal"/>
              <w:rPr/>
            </w:pPr>
            <w:r>
              <w:rPr/>
              <w:t xml:space="preserve">  </w:t>
            </w:r>
            <w:r>
              <w:rPr/>
              <w:t xml:space="preserve">в расчете на </w:t>
            </w:r>
          </w:p>
          <w:p>
            <w:pPr>
              <w:pStyle w:val="Normal"/>
              <w:rPr/>
            </w:pPr>
            <w:r>
              <w:rPr/>
            </w:r>
          </w:p>
        </w:tc>
        <w:tc>
          <w:tcPr>
            <w:tcW w:w="3495" w:type="dxa"/>
            <w:tcBorders/>
            <w:shd w:fill="auto" w:val="clear"/>
            <w:tcMar>
              <w:start w:w="15" w:type="dxa"/>
              <w:end w:w="15" w:type="dxa"/>
            </w:tcMar>
          </w:tcPr>
          <w:p>
            <w:pPr>
              <w:pStyle w:val="Normal"/>
              <w:rPr/>
            </w:pPr>
            <w:r>
              <w:rPr/>
              <w:drawing>
                <wp:inline distT="0" distB="0" distL="0" distR="0">
                  <wp:extent cx="1670685" cy="184150"/>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1670685" cy="184150"/>
                          </a:xfrm>
                          <a:prstGeom prst="rect">
                            <a:avLst/>
                          </a:prstGeom>
                        </pic:spPr>
                      </pic:pic>
                    </a:graphicData>
                  </a:graphic>
                </wp:inline>
              </w:drawing>
            </w:r>
          </w:p>
        </w:tc>
        <w:tc>
          <w:tcPr>
            <w:tcW w:w="735" w:type="dxa"/>
            <w:tcBorders/>
            <w:shd w:fill="auto" w:val="clear"/>
          </w:tcPr>
          <w:p>
            <w:pPr>
              <w:pStyle w:val="Normal"/>
              <w:snapToGrid w:val="false"/>
              <w:rPr/>
            </w:pPr>
            <w:r>
              <w:rPr/>
            </w:r>
          </w:p>
        </w:tc>
      </w:tr>
      <w:tr>
        <w:trPr/>
        <w:tc>
          <w:tcPr>
            <w:tcW w:w="2385" w:type="dxa"/>
            <w:gridSpan w:val="3"/>
            <w:tcBorders/>
            <w:shd w:fill="auto" w:val="clear"/>
            <w:tcMar>
              <w:start w:w="15" w:type="dxa"/>
              <w:end w:w="15" w:type="dxa"/>
            </w:tcMar>
          </w:tcPr>
          <w:p>
            <w:pPr>
              <w:pStyle w:val="Normal"/>
              <w:rPr/>
            </w:pPr>
            <w:r>
              <w:rPr/>
              <w:t xml:space="preserve">(по безводному веществу) </w:t>
            </w:r>
          </w:p>
          <w:p>
            <w:pPr>
              <w:pStyle w:val="Normal"/>
              <w:rPr/>
            </w:pPr>
            <w:r>
              <w:rPr/>
            </w:r>
          </w:p>
        </w:tc>
        <w:tc>
          <w:tcPr>
            <w:tcW w:w="6540" w:type="dxa"/>
            <w:gridSpan w:val="5"/>
            <w:tcBorders/>
            <w:shd w:fill="auto" w:val="clear"/>
            <w:tcMar>
              <w:start w:w="15" w:type="dxa"/>
              <w:end w:w="15" w:type="dxa"/>
            </w:tcMar>
          </w:tcPr>
          <w:p>
            <w:pPr>
              <w:pStyle w:val="Normal"/>
              <w:rPr/>
            </w:pPr>
            <w:r>
              <w:rPr/>
              <w:t xml:space="preserve"> </w:t>
            </w:r>
            <w:r>
              <w:rPr/>
              <w:t xml:space="preserve">допускается принимать при обработке: мутных вод - по табл. 16, цветных    </w:t>
            </w:r>
          </w:p>
          <w:p>
            <w:pPr>
              <w:pStyle w:val="Normal"/>
              <w:rPr/>
            </w:pPr>
            <w:r>
              <w:rPr/>
            </w:r>
          </w:p>
        </w:tc>
      </w:tr>
      <w:tr>
        <w:trPr/>
        <w:tc>
          <w:tcPr>
            <w:tcW w:w="2385" w:type="dxa"/>
            <w:gridSpan w:val="3"/>
            <w:tcBorders/>
            <w:shd w:fill="auto" w:val="clear"/>
            <w:tcMar>
              <w:start w:w="15" w:type="dxa"/>
              <w:end w:w="15" w:type="dxa"/>
            </w:tcMar>
          </w:tcPr>
          <w:p>
            <w:pPr>
              <w:pStyle w:val="Normal"/>
              <w:rPr/>
            </w:pPr>
            <w:r>
              <w:rPr/>
              <w:t xml:space="preserve">вод -  по формуле </w:t>
            </w:r>
          </w:p>
          <w:p>
            <w:pPr>
              <w:pStyle w:val="Normal"/>
              <w:rPr/>
            </w:pPr>
            <w:r>
              <w:rPr/>
            </w:r>
          </w:p>
        </w:tc>
        <w:tc>
          <w:tcPr>
            <w:tcW w:w="6540" w:type="dxa"/>
            <w:gridSpan w:val="5"/>
            <w:tcBorders/>
            <w:shd w:fill="auto" w:val="clear"/>
            <w:tcMar>
              <w:start w:w="15" w:type="dxa"/>
              <w:end w:w="15" w:type="dxa"/>
            </w:tcMar>
          </w:tcPr>
          <w:p>
            <w:pPr>
              <w:pStyle w:val="Normal"/>
              <w:rPr/>
            </w:pPr>
            <w:r>
              <w:rPr/>
              <w:t xml:space="preserve">  </w:t>
            </w:r>
          </w:p>
          <w:p>
            <w:pPr>
              <w:pStyle w:val="Normal"/>
              <w:rPr/>
            </w:pPr>
            <w:r>
              <w:rPr/>
            </w:r>
          </w:p>
        </w:tc>
      </w:tr>
    </w:tbl>
    <w:p>
      <w:pPr>
        <w:pStyle w:val="Normal"/>
        <w:jc w:val="center"/>
        <w:rPr/>
      </w:pPr>
      <w:r>
        <w:rPr/>
        <w:tab/>
      </w:r>
    </w:p>
    <w:tbl>
      <w:tblPr>
        <w:tblW w:w="3660" w:type="dxa"/>
        <w:jc w:val="start"/>
        <w:tblInd w:w="165" w:type="dxa"/>
        <w:tblBorders/>
        <w:tblCellMar>
          <w:top w:w="0" w:type="dxa"/>
          <w:start w:w="15" w:type="dxa"/>
          <w:bottom w:w="0" w:type="dxa"/>
          <w:end w:w="15" w:type="dxa"/>
        </w:tblCellMar>
      </w:tblPr>
      <w:tblGrid>
        <w:gridCol w:w="1230"/>
        <w:gridCol w:w="2430"/>
      </w:tblGrid>
      <w:tr>
        <w:trPr/>
        <w:tc>
          <w:tcPr>
            <w:tcW w:w="1230" w:type="dxa"/>
            <w:tcBorders/>
            <w:shd w:fill="auto" w:val="clear"/>
          </w:tcPr>
          <w:p>
            <w:pPr>
              <w:pStyle w:val="Normal"/>
              <w:rPr/>
            </w:pPr>
            <w:r>
              <w:rPr>
                <w:vanish/>
              </w:rPr>
              <w:t>#G0</w:t>
            </w:r>
            <w:r>
              <w:rPr/>
              <w:t xml:space="preserve">  </w:t>
            </w:r>
          </w:p>
          <w:p>
            <w:pPr>
              <w:pStyle w:val="Normal"/>
              <w:rPr/>
            </w:pPr>
            <w:r>
              <w:rPr/>
              <w:drawing>
                <wp:inline distT="0" distB="0" distL="0" distR="0">
                  <wp:extent cx="691515" cy="230505"/>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691515" cy="230505"/>
                          </a:xfrm>
                          <a:prstGeom prst="rect">
                            <a:avLst/>
                          </a:prstGeom>
                        </pic:spPr>
                      </pic:pic>
                    </a:graphicData>
                  </a:graphic>
                </wp:inline>
              </w:drawing>
            </w:r>
          </w:p>
        </w:tc>
        <w:tc>
          <w:tcPr>
            <w:tcW w:w="2430" w:type="dxa"/>
            <w:tcBorders/>
            <w:shd w:fill="auto" w:val="clear"/>
          </w:tcPr>
          <w:p>
            <w:pPr>
              <w:pStyle w:val="Normal"/>
              <w:snapToGrid w:val="false"/>
              <w:rPr/>
            </w:pPr>
            <w:r>
              <w:rPr/>
            </w:r>
          </w:p>
          <w:p>
            <w:pPr>
              <w:pStyle w:val="Normal"/>
              <w:rPr/>
            </w:pPr>
            <w:r>
              <w:rPr/>
              <w:t xml:space="preserve">                                          </w:t>
            </w:r>
            <w:r>
              <w:rPr/>
              <w:t>(6)</w:t>
            </w:r>
          </w:p>
          <w:p>
            <w:pPr>
              <w:pStyle w:val="Normal"/>
              <w:rPr/>
            </w:pPr>
            <w:r>
              <w:rPr/>
            </w:r>
          </w:p>
        </w:tc>
      </w:tr>
    </w:tbl>
    <w:p>
      <w:pPr>
        <w:pStyle w:val="Normal"/>
        <w:jc w:val="center"/>
        <w:rPr/>
      </w:pPr>
      <w:r>
        <w:rPr/>
      </w:r>
    </w:p>
    <w:p>
      <w:pPr>
        <w:pStyle w:val="Normal"/>
        <w:jc w:val="center"/>
        <w:rPr/>
      </w:pPr>
      <w:r>
        <w:rPr/>
        <w:t xml:space="preserve">     </w:t>
      </w:r>
    </w:p>
    <w:p>
      <w:pPr>
        <w:pStyle w:val="Normal"/>
        <w:jc w:val="center"/>
        <w:rPr/>
      </w:pPr>
      <w:r>
        <w:rPr/>
        <w:t xml:space="preserve">     </w:t>
      </w:r>
      <w:r>
        <w:rPr/>
        <w:t xml:space="preserve">где Ц - цветность обрабатываемой воды, град.     </w:t>
      </w:r>
    </w:p>
    <w:p>
      <w:pPr>
        <w:pStyle w:val="Normal"/>
        <w:jc w:val="center"/>
        <w:rPr/>
      </w:pPr>
      <w:r>
        <w:rPr/>
      </w:r>
    </w:p>
    <w:p>
      <w:pPr>
        <w:pStyle w:val="Normal"/>
        <w:ind w:firstLine="270"/>
        <w:jc w:val="both"/>
        <w:rPr/>
      </w:pPr>
      <w:r>
        <w:rPr/>
        <w:t>Примечание. При одновременном содержании в воде взвешенных веществ и цветности принимается большая из доз коагулянта, определенных по табл. 16 и формуле (6).</w:t>
      </w:r>
    </w:p>
    <w:p>
      <w:pPr>
        <w:pStyle w:val="Normal"/>
        <w:ind w:firstLine="270"/>
        <w:jc w:val="both"/>
        <w:rPr/>
      </w:pPr>
      <w:r>
        <w:rPr/>
      </w:r>
    </w:p>
    <w:p>
      <w:pPr>
        <w:pStyle w:val="Normal"/>
        <w:jc w:val="end"/>
        <w:rPr/>
      </w:pPr>
      <w:r>
        <w:rPr/>
        <w:t>Таблица 16</w:t>
      </w:r>
    </w:p>
    <w:p>
      <w:pPr>
        <w:pStyle w:val="Normal"/>
        <w:jc w:val="end"/>
        <w:rPr/>
      </w:pPr>
      <w:r>
        <w:rPr/>
      </w:r>
    </w:p>
    <w:p>
      <w:pPr>
        <w:pStyle w:val="Normal"/>
        <w:jc w:val="end"/>
        <w:rPr/>
      </w:pPr>
      <w:r>
        <w:rPr/>
      </w:r>
    </w:p>
    <w:tbl>
      <w:tblPr>
        <w:tblW w:w="6350" w:type="dxa"/>
        <w:jc w:val="start"/>
        <w:tblInd w:w="105" w:type="dxa"/>
        <w:tblBorders>
          <w:top w:val="single" w:sz="2" w:space="0" w:color="000000"/>
          <w:start w:val="single" w:sz="2" w:space="0" w:color="000000"/>
          <w:bottom w:val="single" w:sz="2" w:space="0" w:color="000000"/>
          <w:insideH w:val="single" w:sz="2" w:space="0" w:color="000000"/>
        </w:tblBorders>
        <w:tblCellMar>
          <w:top w:w="0" w:type="dxa"/>
          <w:start w:w="102" w:type="dxa"/>
          <w:bottom w:w="0" w:type="dxa"/>
          <w:end w:w="105" w:type="dxa"/>
        </w:tblCellMar>
      </w:tblPr>
      <w:tblGrid>
        <w:gridCol w:w="3375"/>
        <w:gridCol w:w="2975"/>
      </w:tblGrid>
      <w:tr>
        <w:trPr/>
        <w:tc>
          <w:tcPr>
            <w:tcW w:w="337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vanish/>
              </w:rPr>
              <w:t>#G0</w:t>
            </w:r>
            <w:r>
              <w:rPr/>
              <w:t xml:space="preserve">Мутность воды, мг/л </w:t>
            </w:r>
          </w:p>
          <w:p>
            <w:pPr>
              <w:pStyle w:val="Normal"/>
              <w:jc w:val="center"/>
              <w:rPr/>
            </w:pPr>
            <w:r>
              <w:rPr/>
            </w:r>
          </w:p>
        </w:tc>
        <w:tc>
          <w:tcPr>
            <w:tcW w:w="297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Доза безводного коагулянта для обработки мутных вод, мг/л </w:t>
            </w:r>
          </w:p>
          <w:p>
            <w:pPr>
              <w:pStyle w:val="Normal"/>
              <w:rPr/>
            </w:pPr>
            <w:r>
              <w:rPr/>
            </w:r>
          </w:p>
        </w:tc>
      </w:tr>
      <w:tr>
        <w:trPr/>
        <w:tc>
          <w:tcPr>
            <w:tcW w:w="3375" w:type="dxa"/>
            <w:tcBorders>
              <w:start w:val="single" w:sz="2" w:space="0" w:color="000000"/>
            </w:tcBorders>
            <w:shd w:fill="auto" w:val="clear"/>
            <w:tcMar>
              <w:start w:w="102" w:type="dxa"/>
            </w:tcMar>
          </w:tcPr>
          <w:p>
            <w:pPr>
              <w:pStyle w:val="Preformat"/>
              <w:rPr/>
            </w:pPr>
            <w:r>
              <w:rPr>
                <w:vanish/>
              </w:rPr>
              <w:t>#G1</w:t>
            </w:r>
            <w:r>
              <w:rPr/>
              <w:t xml:space="preserve">  До 100 </w:t>
            </w:r>
          </w:p>
          <w:p>
            <w:pPr>
              <w:pStyle w:val="Preformat"/>
              <w:rPr/>
            </w:pPr>
            <w:r>
              <w:rPr/>
            </w:r>
          </w:p>
        </w:tc>
        <w:tc>
          <w:tcPr>
            <w:tcW w:w="2975"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vanish/>
              </w:rPr>
              <w:t>#G0</w:t>
            </w:r>
            <w:r>
              <w:rPr/>
              <w:t xml:space="preserve">25 - 35 </w:t>
            </w:r>
          </w:p>
          <w:p>
            <w:pPr>
              <w:pStyle w:val="Normal"/>
              <w:jc w:val="center"/>
              <w:rPr/>
            </w:pPr>
            <w:r>
              <w:rPr/>
            </w:r>
          </w:p>
        </w:tc>
      </w:tr>
      <w:tr>
        <w:trPr/>
        <w:tc>
          <w:tcPr>
            <w:tcW w:w="3375" w:type="dxa"/>
            <w:tcBorders>
              <w:start w:val="single" w:sz="2" w:space="0" w:color="000000"/>
            </w:tcBorders>
            <w:shd w:fill="auto" w:val="clear"/>
            <w:tcMar>
              <w:start w:w="102" w:type="dxa"/>
            </w:tcMar>
          </w:tcPr>
          <w:p>
            <w:pPr>
              <w:pStyle w:val="Preformat"/>
              <w:rPr/>
            </w:pPr>
            <w:r>
              <w:rPr>
                <w:vanish/>
              </w:rPr>
              <w:t>#G1</w:t>
            </w:r>
            <w:r>
              <w:rPr/>
              <w:t xml:space="preserve">  Св. 100 до 200 </w:t>
            </w:r>
          </w:p>
          <w:p>
            <w:pPr>
              <w:pStyle w:val="Preformat"/>
              <w:rPr/>
            </w:pPr>
            <w:r>
              <w:rPr/>
            </w:r>
          </w:p>
        </w:tc>
        <w:tc>
          <w:tcPr>
            <w:tcW w:w="2975"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vanish/>
              </w:rPr>
              <w:t>#G0</w:t>
            </w:r>
            <w:r>
              <w:rPr/>
              <w:t xml:space="preserve">30  - 40 </w:t>
            </w:r>
          </w:p>
          <w:p>
            <w:pPr>
              <w:pStyle w:val="Normal"/>
              <w:jc w:val="center"/>
              <w:rPr/>
            </w:pPr>
            <w:r>
              <w:rPr/>
            </w:r>
          </w:p>
        </w:tc>
      </w:tr>
      <w:tr>
        <w:trPr/>
        <w:tc>
          <w:tcPr>
            <w:tcW w:w="3375" w:type="dxa"/>
            <w:tcBorders>
              <w:start w:val="single" w:sz="2" w:space="0" w:color="000000"/>
            </w:tcBorders>
            <w:shd w:fill="auto" w:val="clear"/>
            <w:tcMar>
              <w:start w:w="102" w:type="dxa"/>
            </w:tcMar>
          </w:tcPr>
          <w:p>
            <w:pPr>
              <w:pStyle w:val="Preformat"/>
              <w:rPr/>
            </w:pPr>
            <w:r>
              <w:rPr>
                <w:vanish/>
              </w:rPr>
              <w:t>#G1</w:t>
            </w:r>
            <w:r>
              <w:rPr/>
              <w:t xml:space="preserve">   «  200 « 400 </w:t>
            </w:r>
          </w:p>
          <w:p>
            <w:pPr>
              <w:pStyle w:val="Preformat"/>
              <w:rPr/>
            </w:pPr>
            <w:r>
              <w:rPr/>
            </w:r>
          </w:p>
        </w:tc>
        <w:tc>
          <w:tcPr>
            <w:tcW w:w="2975"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vanish/>
              </w:rPr>
              <w:t>#G0</w:t>
            </w:r>
            <w:r>
              <w:rPr/>
              <w:t xml:space="preserve">35  - 45 </w:t>
            </w:r>
          </w:p>
          <w:p>
            <w:pPr>
              <w:pStyle w:val="Normal"/>
              <w:jc w:val="center"/>
              <w:rPr/>
            </w:pPr>
            <w:r>
              <w:rPr/>
            </w:r>
          </w:p>
        </w:tc>
      </w:tr>
      <w:tr>
        <w:trPr/>
        <w:tc>
          <w:tcPr>
            <w:tcW w:w="3375" w:type="dxa"/>
            <w:tcBorders>
              <w:start w:val="single" w:sz="2" w:space="0" w:color="000000"/>
            </w:tcBorders>
            <w:shd w:fill="auto" w:val="clear"/>
            <w:tcMar>
              <w:start w:w="102" w:type="dxa"/>
            </w:tcMar>
          </w:tcPr>
          <w:p>
            <w:pPr>
              <w:pStyle w:val="Preformat"/>
              <w:rPr/>
            </w:pPr>
            <w:r>
              <w:rPr>
                <w:vanish/>
              </w:rPr>
              <w:t>#G1</w:t>
            </w:r>
            <w:r>
              <w:rPr/>
              <w:t xml:space="preserve">   «  400 « 600 </w:t>
            </w:r>
          </w:p>
          <w:p>
            <w:pPr>
              <w:pStyle w:val="Preformat"/>
              <w:rPr/>
            </w:pPr>
            <w:r>
              <w:rPr/>
            </w:r>
          </w:p>
        </w:tc>
        <w:tc>
          <w:tcPr>
            <w:tcW w:w="2975"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vanish/>
              </w:rPr>
              <w:t>#G0</w:t>
            </w:r>
            <w:r>
              <w:rPr/>
              <w:t xml:space="preserve">45  - 50 </w:t>
            </w:r>
          </w:p>
          <w:p>
            <w:pPr>
              <w:pStyle w:val="Normal"/>
              <w:jc w:val="center"/>
              <w:rPr/>
            </w:pPr>
            <w:r>
              <w:rPr/>
            </w:r>
          </w:p>
        </w:tc>
      </w:tr>
      <w:tr>
        <w:trPr/>
        <w:tc>
          <w:tcPr>
            <w:tcW w:w="3375" w:type="dxa"/>
            <w:tcBorders>
              <w:start w:val="single" w:sz="2" w:space="0" w:color="000000"/>
            </w:tcBorders>
            <w:shd w:fill="auto" w:val="clear"/>
            <w:tcMar>
              <w:start w:w="102" w:type="dxa"/>
            </w:tcMar>
          </w:tcPr>
          <w:p>
            <w:pPr>
              <w:pStyle w:val="Preformat"/>
              <w:rPr/>
            </w:pPr>
            <w:r>
              <w:rPr>
                <w:vanish/>
              </w:rPr>
              <w:t>#G1</w:t>
            </w:r>
            <w:r>
              <w:rPr/>
              <w:t xml:space="preserve">   «  600 « 800 </w:t>
            </w:r>
          </w:p>
          <w:p>
            <w:pPr>
              <w:pStyle w:val="Preformat"/>
              <w:rPr/>
            </w:pPr>
            <w:r>
              <w:rPr/>
            </w:r>
          </w:p>
        </w:tc>
        <w:tc>
          <w:tcPr>
            <w:tcW w:w="2975"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vanish/>
              </w:rPr>
              <w:t>#G0</w:t>
            </w:r>
            <w:r>
              <w:rPr/>
              <w:t xml:space="preserve">50  - 60 </w:t>
            </w:r>
          </w:p>
          <w:p>
            <w:pPr>
              <w:pStyle w:val="Normal"/>
              <w:jc w:val="center"/>
              <w:rPr/>
            </w:pPr>
            <w:r>
              <w:rPr/>
            </w:r>
          </w:p>
        </w:tc>
      </w:tr>
      <w:tr>
        <w:trPr/>
        <w:tc>
          <w:tcPr>
            <w:tcW w:w="3375" w:type="dxa"/>
            <w:tcBorders>
              <w:start w:val="single" w:sz="2" w:space="0" w:color="000000"/>
            </w:tcBorders>
            <w:shd w:fill="auto" w:val="clear"/>
            <w:tcMar>
              <w:start w:w="102" w:type="dxa"/>
            </w:tcMar>
          </w:tcPr>
          <w:p>
            <w:pPr>
              <w:pStyle w:val="Preformat"/>
              <w:rPr/>
            </w:pPr>
            <w:r>
              <w:rPr>
                <w:vanish/>
              </w:rPr>
              <w:t>#G1</w:t>
            </w:r>
            <w:r>
              <w:rPr/>
              <w:t xml:space="preserve">   «  800 « 1000 </w:t>
            </w:r>
          </w:p>
          <w:p>
            <w:pPr>
              <w:pStyle w:val="Preformat"/>
              <w:rPr/>
            </w:pPr>
            <w:r>
              <w:rPr/>
            </w:r>
          </w:p>
        </w:tc>
        <w:tc>
          <w:tcPr>
            <w:tcW w:w="2975"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vanish/>
              </w:rPr>
              <w:t>#G0</w:t>
            </w:r>
            <w:r>
              <w:rPr/>
              <w:t xml:space="preserve">60  - 70 </w:t>
            </w:r>
          </w:p>
          <w:p>
            <w:pPr>
              <w:pStyle w:val="Normal"/>
              <w:jc w:val="center"/>
              <w:rPr/>
            </w:pPr>
            <w:r>
              <w:rPr/>
            </w:r>
          </w:p>
        </w:tc>
      </w:tr>
      <w:tr>
        <w:trPr/>
        <w:tc>
          <w:tcPr>
            <w:tcW w:w="3375" w:type="dxa"/>
            <w:tcBorders>
              <w:start w:val="single" w:sz="2" w:space="0" w:color="000000"/>
              <w:bottom w:val="single" w:sz="2" w:space="0" w:color="000000"/>
              <w:insideH w:val="single" w:sz="2" w:space="0" w:color="000000"/>
            </w:tcBorders>
            <w:shd w:fill="auto" w:val="clear"/>
            <w:tcMar>
              <w:start w:w="102" w:type="dxa"/>
            </w:tcMar>
          </w:tcPr>
          <w:p>
            <w:pPr>
              <w:pStyle w:val="Preformat"/>
              <w:rPr/>
            </w:pPr>
            <w:r>
              <w:rPr>
                <w:vanish/>
              </w:rPr>
              <w:t>#G1</w:t>
            </w:r>
            <w:r>
              <w:rPr/>
              <w:t xml:space="preserve">   « 1000 « 1500 </w:t>
            </w:r>
          </w:p>
          <w:p>
            <w:pPr>
              <w:pStyle w:val="Preformat"/>
              <w:rPr/>
            </w:pPr>
            <w:r>
              <w:rPr/>
            </w:r>
          </w:p>
        </w:tc>
        <w:tc>
          <w:tcPr>
            <w:tcW w:w="297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jc w:val="center"/>
              <w:rPr/>
            </w:pPr>
            <w:r>
              <w:rPr>
                <w:vanish/>
              </w:rPr>
              <w:t>#G0</w:t>
            </w:r>
            <w:r>
              <w:rPr/>
              <w:t xml:space="preserve">70  - 80 </w:t>
            </w:r>
          </w:p>
          <w:p>
            <w:pPr>
              <w:pStyle w:val="Normal"/>
              <w:jc w:val="center"/>
              <w:rPr/>
            </w:pPr>
            <w:r>
              <w:rPr/>
            </w:r>
          </w:p>
        </w:tc>
      </w:tr>
    </w:tbl>
    <w:p>
      <w:pPr>
        <w:pStyle w:val="Normal"/>
        <w:ind w:firstLine="225"/>
        <w:jc w:val="both"/>
        <w:rPr/>
      </w:pPr>
      <w:r>
        <w:rPr/>
      </w:r>
    </w:p>
    <w:p>
      <w:pPr>
        <w:pStyle w:val="Normal"/>
        <w:ind w:firstLine="270"/>
        <w:jc w:val="both"/>
        <w:rPr/>
      </w:pPr>
      <w:r>
        <w:rPr/>
        <w:t>Примечания: 1. Меньшие значения доз относятся к воде, содержащей грубодисперсную взвесь.</w:t>
      </w:r>
    </w:p>
    <w:p>
      <w:pPr>
        <w:pStyle w:val="Normal"/>
        <w:ind w:firstLine="225"/>
        <w:jc w:val="both"/>
        <w:rPr/>
      </w:pPr>
      <w:r>
        <w:rPr/>
      </w:r>
    </w:p>
    <w:p>
      <w:pPr>
        <w:pStyle w:val="Normal"/>
        <w:ind w:firstLine="270"/>
        <w:jc w:val="both"/>
        <w:rPr/>
      </w:pPr>
      <w:r>
        <w:rPr/>
        <w:t>2. При применении контактных осветлителей или фильтров, работающих по принципу коагуляции в зоне фильтрующей загрузки, дозу коагулянта следует принимать на 10-15% меньше, чем по табл. 16 и формуле (6).</w:t>
      </w:r>
    </w:p>
    <w:p>
      <w:pPr>
        <w:pStyle w:val="Normal"/>
        <w:ind w:firstLine="270"/>
        <w:jc w:val="both"/>
        <w:rPr/>
      </w:pPr>
      <w:r>
        <w:rPr/>
      </w:r>
    </w:p>
    <w:p>
      <w:pPr>
        <w:pStyle w:val="Normal"/>
        <w:ind w:firstLine="270"/>
        <w:jc w:val="both"/>
        <w:rPr/>
      </w:pPr>
      <w:r>
        <w:rPr/>
        <w:t>6.17. Дозу флокулянтов (в дополнение к дозам коагулянтов) следует принимать:</w:t>
      </w:r>
    </w:p>
    <w:p>
      <w:pPr>
        <w:pStyle w:val="Normal"/>
        <w:ind w:firstLine="270"/>
        <w:jc w:val="both"/>
        <w:rPr/>
      </w:pPr>
      <w:r>
        <w:rPr/>
      </w:r>
    </w:p>
    <w:p>
      <w:pPr>
        <w:pStyle w:val="Normal"/>
        <w:ind w:firstLine="225"/>
        <w:jc w:val="both"/>
        <w:rPr/>
      </w:pPr>
      <w:r>
        <w:rPr/>
        <w:t>а) полиакриламида (ПАА) по безводному продукту:</w:t>
      </w:r>
    </w:p>
    <w:p>
      <w:pPr>
        <w:pStyle w:val="Normal"/>
        <w:ind w:firstLine="225"/>
        <w:jc w:val="both"/>
        <w:rPr/>
      </w:pPr>
      <w:r>
        <w:rPr/>
      </w:r>
    </w:p>
    <w:p>
      <w:pPr>
        <w:pStyle w:val="Normal"/>
        <w:ind w:firstLine="270"/>
        <w:jc w:val="both"/>
        <w:rPr/>
      </w:pPr>
      <w:r>
        <w:rPr/>
        <w:t>при вводе перед отстойниками или осветлителями со взвешенным осадком  - по табл. 17;</w:t>
      </w:r>
    </w:p>
    <w:p>
      <w:pPr>
        <w:pStyle w:val="Normal"/>
        <w:ind w:firstLine="270"/>
        <w:jc w:val="both"/>
        <w:rPr/>
      </w:pPr>
      <w:r>
        <w:rPr/>
      </w:r>
    </w:p>
    <w:p>
      <w:pPr>
        <w:pStyle w:val="Normal"/>
        <w:jc w:val="end"/>
        <w:rPr/>
      </w:pPr>
      <w:r>
        <w:rPr/>
        <w:t xml:space="preserve">Таблица 17 </w:t>
      </w:r>
    </w:p>
    <w:p>
      <w:pPr>
        <w:pStyle w:val="Normal"/>
        <w:ind w:firstLine="270"/>
        <w:jc w:val="both"/>
        <w:rPr/>
      </w:pPr>
      <w:r>
        <w:rPr/>
      </w:r>
    </w:p>
    <w:p>
      <w:pPr>
        <w:pStyle w:val="Normal"/>
        <w:ind w:firstLine="270"/>
        <w:jc w:val="both"/>
        <w:rPr/>
      </w:pPr>
      <w:r>
        <w:rPr/>
      </w:r>
    </w:p>
    <w:tbl>
      <w:tblPr>
        <w:tblW w:w="6350" w:type="dxa"/>
        <w:jc w:val="start"/>
        <w:tblInd w:w="105" w:type="dxa"/>
        <w:tblBorders>
          <w:top w:val="single" w:sz="2" w:space="0" w:color="000000"/>
          <w:start w:val="single" w:sz="2" w:space="0" w:color="000000"/>
          <w:bottom w:val="single" w:sz="2" w:space="0" w:color="000000"/>
          <w:insideH w:val="single" w:sz="2" w:space="0" w:color="000000"/>
        </w:tblBorders>
        <w:tblCellMar>
          <w:top w:w="0" w:type="dxa"/>
          <w:start w:w="102" w:type="dxa"/>
          <w:bottom w:w="0" w:type="dxa"/>
          <w:end w:w="105" w:type="dxa"/>
        </w:tblCellMar>
      </w:tblPr>
      <w:tblGrid>
        <w:gridCol w:w="2520"/>
        <w:gridCol w:w="1965"/>
        <w:gridCol w:w="1865"/>
      </w:tblGrid>
      <w:tr>
        <w:trPr/>
        <w:tc>
          <w:tcPr>
            <w:tcW w:w="252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vanish/>
              </w:rPr>
              <w:t>#G0</w:t>
            </w:r>
            <w:r>
              <w:rPr/>
              <w:t xml:space="preserve">Мутность воды, мг/л </w:t>
            </w:r>
          </w:p>
          <w:p>
            <w:pPr>
              <w:pStyle w:val="Normal"/>
              <w:jc w:val="center"/>
              <w:rPr/>
            </w:pPr>
            <w:r>
              <w:rPr/>
            </w:r>
          </w:p>
        </w:tc>
        <w:tc>
          <w:tcPr>
            <w:tcW w:w="196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Цветность воды, град </w:t>
            </w:r>
          </w:p>
          <w:p>
            <w:pPr>
              <w:pStyle w:val="Normal"/>
              <w:rPr/>
            </w:pPr>
            <w:r>
              <w:rPr/>
            </w:r>
          </w:p>
        </w:tc>
        <w:tc>
          <w:tcPr>
            <w:tcW w:w="186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Доза безводного ПАА, мг/л </w:t>
            </w:r>
          </w:p>
          <w:p>
            <w:pPr>
              <w:pStyle w:val="Normal"/>
              <w:rPr/>
            </w:pPr>
            <w:r>
              <w:rPr/>
            </w:r>
          </w:p>
        </w:tc>
      </w:tr>
      <w:tr>
        <w:trPr/>
        <w:tc>
          <w:tcPr>
            <w:tcW w:w="2520" w:type="dxa"/>
            <w:tcBorders>
              <w:start w:val="single" w:sz="2" w:space="0" w:color="000000"/>
            </w:tcBorders>
            <w:shd w:fill="auto" w:val="clear"/>
            <w:tcMar>
              <w:start w:w="102" w:type="dxa"/>
            </w:tcMar>
          </w:tcPr>
          <w:p>
            <w:pPr>
              <w:pStyle w:val="Preformat"/>
              <w:rPr/>
            </w:pPr>
            <w:r>
              <w:rPr>
                <w:vanish/>
              </w:rPr>
              <w:t>#G1</w:t>
            </w:r>
            <w:r>
              <w:rPr/>
              <w:t xml:space="preserve">   До 10 </w:t>
            </w:r>
          </w:p>
          <w:p>
            <w:pPr>
              <w:pStyle w:val="Preformat"/>
              <w:rPr/>
            </w:pPr>
            <w:r>
              <w:rPr/>
            </w:r>
          </w:p>
        </w:tc>
        <w:tc>
          <w:tcPr>
            <w:tcW w:w="1965" w:type="dxa"/>
            <w:tcBorders>
              <w:start w:val="single" w:sz="2" w:space="0" w:color="000000"/>
            </w:tcBorders>
            <w:shd w:fill="auto" w:val="clear"/>
            <w:tcMar>
              <w:start w:w="102" w:type="dxa"/>
            </w:tcMar>
          </w:tcPr>
          <w:p>
            <w:pPr>
              <w:pStyle w:val="Normal"/>
              <w:jc w:val="center"/>
              <w:rPr/>
            </w:pPr>
            <w:r>
              <w:rPr>
                <w:vanish/>
              </w:rPr>
              <w:t>#G0</w:t>
            </w:r>
            <w:r>
              <w:rPr/>
              <w:t xml:space="preserve">Св. 50 </w:t>
            </w:r>
          </w:p>
          <w:p>
            <w:pPr>
              <w:pStyle w:val="Normal"/>
              <w:jc w:val="center"/>
              <w:rPr/>
            </w:pPr>
            <w:r>
              <w:rPr/>
            </w:r>
          </w:p>
        </w:tc>
        <w:tc>
          <w:tcPr>
            <w:tcW w:w="186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1 - 1,5 </w:t>
            </w:r>
          </w:p>
          <w:p>
            <w:pPr>
              <w:pStyle w:val="Normal"/>
              <w:rPr/>
            </w:pPr>
            <w:r>
              <w:rPr/>
            </w:r>
          </w:p>
        </w:tc>
      </w:tr>
      <w:tr>
        <w:trPr/>
        <w:tc>
          <w:tcPr>
            <w:tcW w:w="2520" w:type="dxa"/>
            <w:tcBorders>
              <w:start w:val="single" w:sz="2" w:space="0" w:color="000000"/>
            </w:tcBorders>
            <w:shd w:fill="auto" w:val="clear"/>
            <w:tcMar>
              <w:start w:w="102" w:type="dxa"/>
            </w:tcMar>
          </w:tcPr>
          <w:p>
            <w:pPr>
              <w:pStyle w:val="Preformat"/>
              <w:rPr/>
            </w:pPr>
            <w:r>
              <w:rPr>
                <w:vanish/>
              </w:rPr>
              <w:t>#G1</w:t>
            </w:r>
            <w:r>
              <w:rPr/>
              <w:t xml:space="preserve">   Св. 10 до 100 </w:t>
            </w:r>
          </w:p>
          <w:p>
            <w:pPr>
              <w:pStyle w:val="Preformat"/>
              <w:rPr/>
            </w:pPr>
            <w:r>
              <w:rPr/>
            </w:r>
          </w:p>
        </w:tc>
        <w:tc>
          <w:tcPr>
            <w:tcW w:w="1965" w:type="dxa"/>
            <w:tcBorders>
              <w:start w:val="single" w:sz="2" w:space="0" w:color="000000"/>
            </w:tcBorders>
            <w:shd w:fill="auto" w:val="clear"/>
            <w:tcMar>
              <w:start w:w="102" w:type="dxa"/>
            </w:tcMar>
          </w:tcPr>
          <w:p>
            <w:pPr>
              <w:pStyle w:val="Normal"/>
              <w:jc w:val="center"/>
              <w:rPr/>
            </w:pPr>
            <w:r>
              <w:rPr>
                <w:vanish/>
              </w:rPr>
              <w:t>#G0</w:t>
            </w:r>
            <w:r>
              <w:rPr/>
              <w:t xml:space="preserve">30-100 </w:t>
            </w:r>
          </w:p>
          <w:p>
            <w:pPr>
              <w:pStyle w:val="Normal"/>
              <w:jc w:val="center"/>
              <w:rPr/>
            </w:pPr>
            <w:r>
              <w:rPr/>
            </w:r>
          </w:p>
        </w:tc>
        <w:tc>
          <w:tcPr>
            <w:tcW w:w="186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0,3 -  0,6 </w:t>
            </w:r>
          </w:p>
          <w:p>
            <w:pPr>
              <w:pStyle w:val="Normal"/>
              <w:rPr/>
            </w:pPr>
            <w:r>
              <w:rPr/>
            </w:r>
          </w:p>
        </w:tc>
      </w:tr>
      <w:tr>
        <w:trPr/>
        <w:tc>
          <w:tcPr>
            <w:tcW w:w="2520" w:type="dxa"/>
            <w:tcBorders>
              <w:start w:val="single" w:sz="2" w:space="0" w:color="000000"/>
            </w:tcBorders>
            <w:shd w:fill="auto" w:val="clear"/>
            <w:tcMar>
              <w:start w:w="102" w:type="dxa"/>
            </w:tcMar>
          </w:tcPr>
          <w:p>
            <w:pPr>
              <w:pStyle w:val="Preformat"/>
              <w:rPr/>
            </w:pPr>
            <w:r>
              <w:rPr>
                <w:vanish/>
              </w:rPr>
              <w:t>#G1</w:t>
            </w:r>
            <w:r>
              <w:rPr/>
              <w:t xml:space="preserve">    « 100 «  500 </w:t>
            </w:r>
          </w:p>
          <w:p>
            <w:pPr>
              <w:pStyle w:val="Preformat"/>
              <w:rPr/>
            </w:pPr>
            <w:r>
              <w:rPr/>
            </w:r>
          </w:p>
        </w:tc>
        <w:tc>
          <w:tcPr>
            <w:tcW w:w="1965" w:type="dxa"/>
            <w:tcBorders>
              <w:start w:val="single" w:sz="2" w:space="0" w:color="000000"/>
            </w:tcBorders>
            <w:shd w:fill="auto" w:val="clear"/>
            <w:tcMar>
              <w:start w:w="102" w:type="dxa"/>
            </w:tcMar>
          </w:tcPr>
          <w:p>
            <w:pPr>
              <w:pStyle w:val="Normal"/>
              <w:jc w:val="center"/>
              <w:rPr/>
            </w:pPr>
            <w:r>
              <w:rPr>
                <w:vanish/>
              </w:rPr>
              <w:t>#G0</w:t>
            </w:r>
            <w:r>
              <w:rPr/>
              <w:t xml:space="preserve">20-60 </w:t>
            </w:r>
          </w:p>
          <w:p>
            <w:pPr>
              <w:pStyle w:val="Normal"/>
              <w:jc w:val="center"/>
              <w:rPr/>
            </w:pPr>
            <w:r>
              <w:rPr/>
            </w:r>
          </w:p>
        </w:tc>
        <w:tc>
          <w:tcPr>
            <w:tcW w:w="186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0,2 - 0,5 </w:t>
            </w:r>
          </w:p>
          <w:p>
            <w:pPr>
              <w:pStyle w:val="Normal"/>
              <w:rPr/>
            </w:pPr>
            <w:r>
              <w:rPr/>
            </w:r>
          </w:p>
        </w:tc>
      </w:tr>
      <w:tr>
        <w:trPr/>
        <w:tc>
          <w:tcPr>
            <w:tcW w:w="2520" w:type="dxa"/>
            <w:tcBorders>
              <w:start w:val="single" w:sz="2" w:space="0" w:color="000000"/>
              <w:bottom w:val="single" w:sz="2" w:space="0" w:color="000000"/>
              <w:insideH w:val="single" w:sz="2" w:space="0" w:color="000000"/>
            </w:tcBorders>
            <w:shd w:fill="auto" w:val="clear"/>
            <w:tcMar>
              <w:start w:w="102" w:type="dxa"/>
            </w:tcMar>
          </w:tcPr>
          <w:p>
            <w:pPr>
              <w:pStyle w:val="Preformat"/>
              <w:rPr/>
            </w:pPr>
            <w:r>
              <w:rPr>
                <w:vanish/>
              </w:rPr>
              <w:t>#G1</w:t>
            </w:r>
            <w:r>
              <w:rPr/>
              <w:t xml:space="preserve">    « 500 « 1500 </w:t>
            </w:r>
          </w:p>
          <w:p>
            <w:pPr>
              <w:pStyle w:val="Preformat"/>
              <w:rPr/>
            </w:pPr>
            <w:r>
              <w:rPr/>
            </w:r>
          </w:p>
        </w:tc>
        <w:tc>
          <w:tcPr>
            <w:tcW w:w="196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vanish/>
              </w:rPr>
              <w:t>#G0</w:t>
            </w:r>
            <w:r>
              <w:rPr/>
              <w:t xml:space="preserve">- </w:t>
            </w:r>
          </w:p>
          <w:p>
            <w:pPr>
              <w:pStyle w:val="Normal"/>
              <w:jc w:val="center"/>
              <w:rPr/>
            </w:pPr>
            <w:r>
              <w:rPr/>
            </w:r>
          </w:p>
        </w:tc>
        <w:tc>
          <w:tcPr>
            <w:tcW w:w="186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0,2 -  1 </w:t>
            </w:r>
          </w:p>
          <w:p>
            <w:pPr>
              <w:pStyle w:val="Normal"/>
              <w:rPr/>
            </w:pPr>
            <w:r>
              <w:rPr/>
            </w:r>
          </w:p>
        </w:tc>
      </w:tr>
    </w:tbl>
    <w:p>
      <w:pPr>
        <w:pStyle w:val="Normal"/>
        <w:jc w:val="both"/>
        <w:rPr/>
      </w:pPr>
      <w:r>
        <w:rPr/>
      </w:r>
    </w:p>
    <w:p>
      <w:pPr>
        <w:pStyle w:val="Normal"/>
        <w:ind w:firstLine="270"/>
        <w:jc w:val="both"/>
        <w:rPr/>
      </w:pPr>
      <w:r>
        <w:rPr/>
        <w:t>при вводе перед фильтрами при двухступенчатой очистке - 0,05-0,1 мг/л;</w:t>
      </w:r>
    </w:p>
    <w:p>
      <w:pPr>
        <w:pStyle w:val="Normal"/>
        <w:ind w:firstLine="270"/>
        <w:jc w:val="both"/>
        <w:rPr/>
      </w:pPr>
      <w:r>
        <w:rPr/>
      </w:r>
    </w:p>
    <w:p>
      <w:pPr>
        <w:pStyle w:val="Normal"/>
        <w:ind w:firstLine="225"/>
        <w:jc w:val="both"/>
        <w:rPr/>
      </w:pPr>
      <w:r>
        <w:rPr/>
        <w:t xml:space="preserve">при вводе перед контактными осветлителями или фильтрами при одноступенчатой очистке, а также перед префильтрами -  0,2-0,6 мг/л;   </w:t>
      </w:r>
    </w:p>
    <w:tbl>
      <w:tblPr>
        <w:tblW w:w="3900" w:type="dxa"/>
        <w:jc w:val="start"/>
        <w:tblInd w:w="165" w:type="dxa"/>
        <w:tblBorders/>
        <w:tblCellMar>
          <w:top w:w="0" w:type="dxa"/>
          <w:start w:w="15" w:type="dxa"/>
          <w:bottom w:w="0" w:type="dxa"/>
          <w:end w:w="15" w:type="dxa"/>
        </w:tblCellMar>
      </w:tblPr>
      <w:tblGrid>
        <w:gridCol w:w="3045"/>
        <w:gridCol w:w="585"/>
        <w:gridCol w:w="270"/>
      </w:tblGrid>
      <w:tr>
        <w:trPr/>
        <w:tc>
          <w:tcPr>
            <w:tcW w:w="3045" w:type="dxa"/>
            <w:tcBorders/>
            <w:shd w:fill="auto" w:val="clear"/>
          </w:tcPr>
          <w:p>
            <w:pPr>
              <w:pStyle w:val="Normal"/>
              <w:rPr/>
            </w:pPr>
            <w:r>
              <w:rPr>
                <w:vanish/>
              </w:rPr>
              <w:t>#G0</w:t>
            </w:r>
            <w:r>
              <w:rPr/>
              <w:t xml:space="preserve">  </w:t>
            </w:r>
          </w:p>
          <w:p>
            <w:pPr>
              <w:pStyle w:val="Normal"/>
              <w:ind w:firstLine="135"/>
              <w:jc w:val="both"/>
              <w:rPr/>
            </w:pPr>
            <w:r>
              <w:rPr/>
              <w:t xml:space="preserve">б) активной кремнекислоты (по </w:t>
            </w:r>
          </w:p>
          <w:p>
            <w:pPr>
              <w:pStyle w:val="Normal"/>
              <w:ind w:firstLine="135"/>
              <w:jc w:val="both"/>
              <w:rPr/>
            </w:pPr>
            <w:r>
              <w:rPr/>
            </w:r>
          </w:p>
        </w:tc>
        <w:tc>
          <w:tcPr>
            <w:tcW w:w="585" w:type="dxa"/>
            <w:tcBorders/>
            <w:shd w:fill="auto" w:val="clear"/>
          </w:tcPr>
          <w:p>
            <w:pPr>
              <w:pStyle w:val="Normal"/>
              <w:rPr/>
            </w:pPr>
            <w:r>
              <w:rPr/>
              <w:t xml:space="preserve">  </w:t>
            </w:r>
          </w:p>
          <w:p>
            <w:pPr>
              <w:pStyle w:val="Normal"/>
              <w:rPr/>
            </w:pPr>
            <w:r>
              <w:rPr/>
              <w:drawing>
                <wp:inline distT="0" distB="0" distL="0" distR="0">
                  <wp:extent cx="356870" cy="184150"/>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356870" cy="184150"/>
                          </a:xfrm>
                          <a:prstGeom prst="rect">
                            <a:avLst/>
                          </a:prstGeom>
                        </pic:spPr>
                      </pic:pic>
                    </a:graphicData>
                  </a:graphic>
                </wp:inline>
              </w:drawing>
            </w:r>
          </w:p>
        </w:tc>
        <w:tc>
          <w:tcPr>
            <w:tcW w:w="270" w:type="dxa"/>
            <w:tcBorders/>
            <w:shd w:fill="auto" w:val="clear"/>
          </w:tcPr>
          <w:p>
            <w:pPr>
              <w:pStyle w:val="Normal"/>
              <w:rPr/>
            </w:pPr>
            <w:r>
              <w:rPr/>
              <w:t xml:space="preserve">  </w:t>
            </w:r>
          </w:p>
          <w:p>
            <w:pPr>
              <w:pStyle w:val="Normal"/>
              <w:rPr/>
            </w:pPr>
            <w:r>
              <w:rPr/>
              <w:t>:</w:t>
            </w:r>
          </w:p>
          <w:p>
            <w:pPr>
              <w:pStyle w:val="Normal"/>
              <w:rPr/>
            </w:pPr>
            <w:r>
              <w:rPr/>
            </w:r>
          </w:p>
        </w:tc>
      </w:tr>
    </w:tbl>
    <w:p>
      <w:pPr>
        <w:pStyle w:val="Normal"/>
        <w:ind w:firstLine="225"/>
        <w:jc w:val="both"/>
        <w:rPr/>
      </w:pPr>
      <w:r>
        <w:rPr/>
      </w:r>
    </w:p>
    <w:p>
      <w:pPr>
        <w:pStyle w:val="Normal"/>
        <w:ind w:firstLine="270"/>
        <w:jc w:val="both"/>
        <w:rPr/>
      </w:pPr>
      <w:r>
        <w:rPr/>
        <w:t>при вводе перед отстойниками или осветлителями со взвешенным осадком для воды с температурой более 5-7 °С - 2-3 мг/л, с температурой менее 5-7 °С -  3-5 мг/л;</w:t>
      </w:r>
    </w:p>
    <w:p>
      <w:pPr>
        <w:pStyle w:val="Normal"/>
        <w:ind w:firstLine="225"/>
        <w:jc w:val="both"/>
        <w:rPr/>
      </w:pPr>
      <w:r>
        <w:rPr/>
      </w:r>
    </w:p>
    <w:p>
      <w:pPr>
        <w:pStyle w:val="Normal"/>
        <w:ind w:firstLine="270"/>
        <w:jc w:val="both"/>
        <w:rPr/>
      </w:pPr>
      <w:r>
        <w:rPr/>
        <w:t>при вводе перед фильтрами при двухступенчатой очистке - 0,2-0,5 мг/л;</w:t>
      </w:r>
    </w:p>
    <w:p>
      <w:pPr>
        <w:pStyle w:val="Normal"/>
        <w:ind w:firstLine="270"/>
        <w:jc w:val="both"/>
        <w:rPr/>
      </w:pPr>
      <w:r>
        <w:rPr/>
      </w:r>
    </w:p>
    <w:p>
      <w:pPr>
        <w:pStyle w:val="Normal"/>
        <w:ind w:firstLine="225"/>
        <w:jc w:val="both"/>
        <w:rPr/>
      </w:pPr>
      <w:r>
        <w:rPr/>
        <w:t>при вводе перед контактными осветлителями или фильтрами при одноступенчатой очистке, а также перед префильтрами - 1-3 мг/л.</w:t>
      </w:r>
    </w:p>
    <w:p>
      <w:pPr>
        <w:pStyle w:val="Normal"/>
        <w:ind w:firstLine="225"/>
        <w:jc w:val="both"/>
        <w:rPr/>
      </w:pPr>
      <w:r>
        <w:rPr/>
      </w:r>
    </w:p>
    <w:p>
      <w:pPr>
        <w:pStyle w:val="Normal"/>
        <w:ind w:firstLine="270"/>
        <w:jc w:val="both"/>
        <w:rPr/>
      </w:pPr>
      <w:r>
        <w:rPr/>
        <w:t>Флокулянты следует вводить в воду после коагулянта. При очистке высокомутных вод допускается ввод флокулянтов до коагулянтов. Следует предусматривать возможность ввода флокулянтов и коагулянтов с разрывом во времени до 2-3 мин в зависимости от качества обрабатываемой воды.</w:t>
      </w:r>
    </w:p>
    <w:p>
      <w:pPr>
        <w:pStyle w:val="Normal"/>
        <w:ind w:firstLine="225"/>
        <w:jc w:val="both"/>
        <w:rPr/>
      </w:pPr>
      <w:r>
        <w:rPr/>
      </w:r>
    </w:p>
    <w:p>
      <w:pPr>
        <w:pStyle w:val="Normal"/>
        <w:ind w:firstLine="270"/>
        <w:jc w:val="both"/>
        <w:rPr/>
      </w:pPr>
      <w:r>
        <w:rPr/>
        <w:t>6.18. Дозу хлорсодержащих реагентов (по активному хлору) при предварительном хлорировании и для улучшения хода коагуляции и обесцвечивания воды, а также для улучшения санитарного состояния сооружений следует принимать 3-10 мг/л.</w:t>
      </w:r>
    </w:p>
    <w:p>
      <w:pPr>
        <w:pStyle w:val="Normal"/>
        <w:ind w:firstLine="270"/>
        <w:jc w:val="both"/>
        <w:rPr/>
      </w:pPr>
      <w:r>
        <w:rPr/>
      </w:r>
    </w:p>
    <w:p>
      <w:pPr>
        <w:pStyle w:val="Normal"/>
        <w:ind w:firstLine="270"/>
        <w:jc w:val="both"/>
        <w:rPr/>
      </w:pPr>
      <w:r>
        <w:rPr/>
        <w:t>Реагенты рекомендуется вводить за 1- 3 мин до ввода коагулянтов.</w:t>
      </w:r>
    </w:p>
    <w:p>
      <w:pPr>
        <w:pStyle w:val="Normal"/>
        <w:ind w:firstLine="225"/>
        <w:jc w:val="both"/>
        <w:rPr/>
      </w:pPr>
      <w:r>
        <w:rPr/>
      </w:r>
    </w:p>
    <w:p>
      <w:pPr>
        <w:pStyle w:val="Normal"/>
        <w:ind w:firstLine="270"/>
        <w:jc w:val="both"/>
        <w:rPr/>
      </w:pPr>
      <w:r>
        <w:rPr/>
        <w:t xml:space="preserve">6.19. Дозы подщелачивающих реагентов Дщ, мг/л, необходимых для улучшения процесса хлопьеобразования, надлежит определять по формуле  </w:t>
      </w:r>
    </w:p>
    <w:p>
      <w:pPr>
        <w:pStyle w:val="Normal"/>
        <w:ind w:firstLine="225"/>
        <w:jc w:val="both"/>
        <w:rPr/>
      </w:pPr>
      <w:r>
        <w:rPr/>
      </w:r>
    </w:p>
    <w:tbl>
      <w:tblPr>
        <w:tblW w:w="4020" w:type="dxa"/>
        <w:jc w:val="start"/>
        <w:tblInd w:w="165" w:type="dxa"/>
        <w:tblBorders/>
        <w:tblCellMar>
          <w:top w:w="0" w:type="dxa"/>
          <w:start w:w="15" w:type="dxa"/>
          <w:bottom w:w="0" w:type="dxa"/>
          <w:end w:w="15" w:type="dxa"/>
        </w:tblCellMar>
      </w:tblPr>
      <w:tblGrid>
        <w:gridCol w:w="2700"/>
        <w:gridCol w:w="1320"/>
      </w:tblGrid>
      <w:tr>
        <w:trPr/>
        <w:tc>
          <w:tcPr>
            <w:tcW w:w="2700" w:type="dxa"/>
            <w:tcBorders/>
            <w:shd w:fill="auto" w:val="clear"/>
          </w:tcPr>
          <w:p>
            <w:pPr>
              <w:pStyle w:val="Normal"/>
              <w:rPr/>
            </w:pPr>
            <w:r>
              <w:rPr>
                <w:vanish/>
              </w:rPr>
              <w:t>#G0</w:t>
            </w:r>
            <w:r>
              <w:rPr/>
              <w:t xml:space="preserve">  </w:t>
            </w:r>
          </w:p>
          <w:p>
            <w:pPr>
              <w:pStyle w:val="Normal"/>
              <w:rPr/>
            </w:pPr>
            <w:r>
              <w:rPr/>
              <w:drawing>
                <wp:inline distT="0" distB="0" distL="0" distR="0">
                  <wp:extent cx="1843405" cy="299720"/>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1843405" cy="299720"/>
                          </a:xfrm>
                          <a:prstGeom prst="rect">
                            <a:avLst/>
                          </a:prstGeom>
                        </pic:spPr>
                      </pic:pic>
                    </a:graphicData>
                  </a:graphic>
                </wp:inline>
              </w:drawing>
            </w:r>
          </w:p>
        </w:tc>
        <w:tc>
          <w:tcPr>
            <w:tcW w:w="1320" w:type="dxa"/>
            <w:tcBorders/>
            <w:shd w:fill="auto" w:val="clear"/>
          </w:tcPr>
          <w:p>
            <w:pPr>
              <w:pStyle w:val="Normal"/>
              <w:rPr/>
            </w:pPr>
            <w:r>
              <w:rPr/>
              <w:t xml:space="preserve">  </w:t>
            </w:r>
          </w:p>
          <w:p>
            <w:pPr>
              <w:pStyle w:val="Normal"/>
              <w:rPr/>
            </w:pPr>
            <w:r>
              <w:rPr/>
              <w:t xml:space="preserve">                   </w:t>
            </w:r>
            <w:r>
              <w:rPr/>
              <w:t>(7)</w:t>
            </w:r>
          </w:p>
          <w:p>
            <w:pPr>
              <w:pStyle w:val="Normal"/>
              <w:rPr/>
            </w:pPr>
            <w:r>
              <w:rPr/>
            </w:r>
          </w:p>
        </w:tc>
      </w:tr>
    </w:tbl>
    <w:p>
      <w:pPr>
        <w:pStyle w:val="Normal"/>
        <w:jc w:val="both"/>
        <w:rPr/>
      </w:pPr>
      <w:r>
        <w:rPr/>
      </w:r>
    </w:p>
    <w:tbl>
      <w:tblPr>
        <w:tblW w:w="8655" w:type="dxa"/>
        <w:jc w:val="start"/>
        <w:tblInd w:w="165" w:type="dxa"/>
        <w:tblBorders/>
        <w:tblCellMar>
          <w:top w:w="0" w:type="dxa"/>
          <w:start w:w="15" w:type="dxa"/>
          <w:bottom w:w="0" w:type="dxa"/>
          <w:end w:w="15" w:type="dxa"/>
        </w:tblCellMar>
      </w:tblPr>
      <w:tblGrid>
        <w:gridCol w:w="450"/>
        <w:gridCol w:w="810"/>
        <w:gridCol w:w="7395"/>
      </w:tblGrid>
      <w:tr>
        <w:trPr/>
        <w:tc>
          <w:tcPr>
            <w:tcW w:w="450" w:type="dxa"/>
            <w:tcBorders/>
            <w:shd w:fill="auto" w:val="clear"/>
          </w:tcPr>
          <w:p>
            <w:pPr>
              <w:pStyle w:val="Normal"/>
              <w:rPr/>
            </w:pPr>
            <w:r>
              <w:rPr>
                <w:vanish/>
              </w:rPr>
              <w:t>#G0</w:t>
            </w:r>
            <w:r>
              <w:rPr/>
              <w:t xml:space="preserve"> </w:t>
            </w:r>
          </w:p>
          <w:p>
            <w:pPr>
              <w:pStyle w:val="Normal"/>
              <w:rPr/>
            </w:pPr>
            <w:r>
              <w:rPr/>
              <w:t xml:space="preserve"> </w:t>
            </w:r>
            <w:r>
              <w:rPr/>
              <w:t xml:space="preserve">где </w:t>
            </w:r>
          </w:p>
          <w:p>
            <w:pPr>
              <w:pStyle w:val="Normal"/>
              <w:rPr/>
            </w:pPr>
            <w:r>
              <w:rPr/>
              <w:t xml:space="preserve">     </w:t>
            </w:r>
          </w:p>
          <w:p>
            <w:pPr>
              <w:pStyle w:val="Normal"/>
              <w:rPr/>
            </w:pPr>
            <w:r>
              <w:rPr/>
            </w:r>
          </w:p>
        </w:tc>
        <w:tc>
          <w:tcPr>
            <w:tcW w:w="810" w:type="dxa"/>
            <w:tcBorders/>
            <w:shd w:fill="auto" w:val="clear"/>
          </w:tcPr>
          <w:p>
            <w:pPr>
              <w:pStyle w:val="Normal"/>
              <w:rPr/>
            </w:pPr>
            <w:r>
              <w:rPr/>
              <w:t xml:space="preserve">  </w:t>
            </w:r>
          </w:p>
          <w:p>
            <w:pPr>
              <w:pStyle w:val="Normal"/>
              <w:rPr/>
            </w:pPr>
            <w:r>
              <w:rPr/>
              <w:drawing>
                <wp:inline distT="0" distB="0" distL="0" distR="0">
                  <wp:extent cx="322580" cy="184150"/>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322580" cy="184150"/>
                          </a:xfrm>
                          <a:prstGeom prst="rect">
                            <a:avLst/>
                          </a:prstGeom>
                        </pic:spPr>
                      </pic:pic>
                    </a:graphicData>
                  </a:graphic>
                </wp:inline>
              </w:drawing>
            </w:r>
          </w:p>
        </w:tc>
        <w:tc>
          <w:tcPr>
            <w:tcW w:w="7395" w:type="dxa"/>
            <w:tcBorders/>
            <w:shd w:fill="auto" w:val="clear"/>
          </w:tcPr>
          <w:p>
            <w:pPr>
              <w:pStyle w:val="Normal"/>
              <w:rPr/>
            </w:pPr>
            <w:r>
              <w:rPr/>
              <w:t xml:space="preserve">  </w:t>
            </w:r>
          </w:p>
          <w:p>
            <w:pPr>
              <w:pStyle w:val="Normal"/>
              <w:ind w:firstLine="90"/>
              <w:jc w:val="both"/>
              <w:rPr/>
            </w:pPr>
            <w:r>
              <w:rPr/>
              <w:t xml:space="preserve">максимальная в период подщелачивания доза безводного коагулянта, мг/л; </w:t>
            </w:r>
          </w:p>
          <w:p>
            <w:pPr>
              <w:pStyle w:val="Normal"/>
              <w:ind w:firstLine="90"/>
              <w:jc w:val="both"/>
              <w:rPr/>
            </w:pPr>
            <w:r>
              <w:rPr/>
            </w:r>
          </w:p>
        </w:tc>
      </w:tr>
    </w:tbl>
    <w:p>
      <w:pPr>
        <w:pStyle w:val="Normal"/>
        <w:ind w:firstLine="495"/>
        <w:jc w:val="both"/>
        <w:rPr/>
      </w:pPr>
      <w:r>
        <w:rPr/>
      </w:r>
    </w:p>
    <w:tbl>
      <w:tblPr>
        <w:tblW w:w="7770" w:type="dxa"/>
        <w:jc w:val="start"/>
        <w:tblInd w:w="690" w:type="dxa"/>
        <w:tblBorders/>
        <w:tblCellMar>
          <w:top w:w="0" w:type="dxa"/>
          <w:start w:w="15" w:type="dxa"/>
          <w:bottom w:w="0" w:type="dxa"/>
          <w:end w:w="15" w:type="dxa"/>
        </w:tblCellMar>
      </w:tblPr>
      <w:tblGrid>
        <w:gridCol w:w="840"/>
        <w:gridCol w:w="4290"/>
        <w:gridCol w:w="2490"/>
        <w:gridCol w:w="150"/>
      </w:tblGrid>
      <w:tr>
        <w:trPr/>
        <w:tc>
          <w:tcPr>
            <w:tcW w:w="840" w:type="dxa"/>
            <w:tcBorders/>
            <w:shd w:fill="auto" w:val="clear"/>
          </w:tcPr>
          <w:p>
            <w:pPr>
              <w:pStyle w:val="Normal"/>
              <w:rPr>
                <w:sz w:val="24"/>
              </w:rPr>
            </w:pPr>
            <w:r>
              <w:rPr/>
              <w:drawing>
                <wp:inline distT="0" distB="0" distL="0" distR="0">
                  <wp:extent cx="276225" cy="184150"/>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276225" cy="184150"/>
                          </a:xfrm>
                          <a:prstGeom prst="rect">
                            <a:avLst/>
                          </a:prstGeom>
                        </pic:spPr>
                      </pic:pic>
                    </a:graphicData>
                  </a:graphic>
                </wp:inline>
              </w:drawing>
            </w:r>
          </w:p>
        </w:tc>
        <w:tc>
          <w:tcPr>
            <w:tcW w:w="6780" w:type="dxa"/>
            <w:gridSpan w:val="2"/>
            <w:tcBorders/>
            <w:shd w:fill="auto" w:val="clear"/>
          </w:tcPr>
          <w:p>
            <w:pPr>
              <w:pStyle w:val="Normal"/>
              <w:rPr/>
            </w:pPr>
            <w:r>
              <w:rPr>
                <w:vanish/>
              </w:rPr>
              <w:t>#G0</w:t>
            </w:r>
            <w:r>
              <w:rPr/>
              <w:t xml:space="preserve">эквивалентная масса коагулянта (безводного), мг/мг-экв, принимаемая для </w:t>
            </w:r>
          </w:p>
          <w:p>
            <w:pPr>
              <w:pStyle w:val="Normal"/>
              <w:rPr/>
            </w:pPr>
            <w:r>
              <w:rPr/>
            </w:r>
          </w:p>
        </w:tc>
        <w:tc>
          <w:tcPr>
            <w:tcW w:w="150" w:type="dxa"/>
            <w:tcBorders/>
            <w:shd w:fill="auto" w:val="clear"/>
          </w:tcPr>
          <w:p>
            <w:pPr>
              <w:pStyle w:val="Normal"/>
              <w:rPr/>
            </w:pPr>
            <w:r>
              <w:rPr/>
              <w:t xml:space="preserve">  </w:t>
            </w:r>
          </w:p>
          <w:p>
            <w:pPr>
              <w:pStyle w:val="Normal"/>
              <w:rPr/>
            </w:pPr>
            <w:r>
              <w:rPr/>
            </w:r>
          </w:p>
        </w:tc>
      </w:tr>
      <w:tr>
        <w:trPr/>
        <w:tc>
          <w:tcPr>
            <w:tcW w:w="5130" w:type="dxa"/>
            <w:gridSpan w:val="2"/>
            <w:tcBorders/>
            <w:shd w:fill="auto" w:val="clear"/>
          </w:tcPr>
          <w:p>
            <w:pPr>
              <w:pStyle w:val="Normal"/>
              <w:rPr/>
            </w:pPr>
            <w:r>
              <w:rPr/>
              <w:t xml:space="preserve">  </w:t>
            </w:r>
          </w:p>
          <w:p>
            <w:pPr>
              <w:pStyle w:val="Normal"/>
              <w:rPr/>
            </w:pPr>
            <w:r>
              <w:rPr/>
              <w:drawing>
                <wp:inline distT="0" distB="0" distL="0" distR="0">
                  <wp:extent cx="2522855" cy="184150"/>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2522855" cy="184150"/>
                          </a:xfrm>
                          <a:prstGeom prst="rect">
                            <a:avLst/>
                          </a:prstGeom>
                        </pic:spPr>
                      </pic:pic>
                    </a:graphicData>
                  </a:graphic>
                </wp:inline>
              </w:drawing>
            </w:r>
          </w:p>
        </w:tc>
        <w:tc>
          <w:tcPr>
            <w:tcW w:w="2640" w:type="dxa"/>
            <w:gridSpan w:val="2"/>
            <w:tcBorders/>
            <w:shd w:fill="auto" w:val="clear"/>
            <w:tcMar>
              <w:start w:w="0" w:type="dxa"/>
              <w:end w:w="0" w:type="dxa"/>
            </w:tcMar>
          </w:tcPr>
          <w:p>
            <w:pPr>
              <w:pStyle w:val="Normal"/>
              <w:snapToGrid w:val="false"/>
              <w:rPr/>
            </w:pPr>
            <w:r>
              <w:rPr/>
            </w:r>
          </w:p>
        </w:tc>
      </w:tr>
    </w:tbl>
    <w:p>
      <w:pPr>
        <w:pStyle w:val="Normal"/>
        <w:ind w:firstLine="180"/>
        <w:jc w:val="both"/>
        <w:rPr/>
      </w:pPr>
      <w:r>
        <w:rPr/>
      </w:r>
    </w:p>
    <w:tbl>
      <w:tblPr>
        <w:tblW w:w="8055" w:type="dxa"/>
        <w:jc w:val="start"/>
        <w:tblInd w:w="555" w:type="dxa"/>
        <w:tblBorders/>
        <w:tblCellMar>
          <w:top w:w="0" w:type="dxa"/>
          <w:start w:w="15" w:type="dxa"/>
          <w:bottom w:w="0" w:type="dxa"/>
          <w:end w:w="15" w:type="dxa"/>
        </w:tblCellMar>
      </w:tblPr>
      <w:tblGrid>
        <w:gridCol w:w="945"/>
        <w:gridCol w:w="3135"/>
        <w:gridCol w:w="1185"/>
        <w:gridCol w:w="60"/>
        <w:gridCol w:w="960"/>
        <w:gridCol w:w="1770"/>
      </w:tblGrid>
      <w:tr>
        <w:trPr/>
        <w:tc>
          <w:tcPr>
            <w:tcW w:w="945" w:type="dxa"/>
            <w:tcBorders/>
            <w:shd w:fill="auto" w:val="clear"/>
          </w:tcPr>
          <w:p>
            <w:pPr>
              <w:pStyle w:val="Normal"/>
              <w:rPr/>
            </w:pPr>
            <w:r>
              <w:rPr>
                <w:vanish/>
              </w:rPr>
              <w:t>#G0</w:t>
            </w:r>
            <w:r>
              <w:rPr/>
              <w:t xml:space="preserve">  </w:t>
            </w:r>
          </w:p>
          <w:p>
            <w:pPr>
              <w:pStyle w:val="Normal"/>
              <w:rPr/>
            </w:pPr>
            <w:r>
              <w:rPr/>
              <w:drawing>
                <wp:inline distT="0" distB="0" distL="0" distR="0">
                  <wp:extent cx="334010" cy="207645"/>
                  <wp:effectExtent l="0" t="0" r="0" b="0"/>
                  <wp:docPr id="38" name="Изображение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title=""/>
                          <pic:cNvPicPr>
                            <a:picLocks noChangeAspect="1" noChangeArrowheads="1"/>
                          </pic:cNvPicPr>
                        </pic:nvPicPr>
                        <pic:blipFill>
                          <a:blip r:embed="rId39"/>
                          <a:stretch>
                            <a:fillRect/>
                          </a:stretch>
                        </pic:blipFill>
                        <pic:spPr bwMode="auto">
                          <a:xfrm>
                            <a:off x="0" y="0"/>
                            <a:ext cx="334010" cy="207645"/>
                          </a:xfrm>
                          <a:prstGeom prst="rect">
                            <a:avLst/>
                          </a:prstGeom>
                        </pic:spPr>
                      </pic:pic>
                    </a:graphicData>
                  </a:graphic>
                </wp:inline>
              </w:drawing>
            </w:r>
          </w:p>
        </w:tc>
        <w:tc>
          <w:tcPr>
            <w:tcW w:w="3135" w:type="dxa"/>
            <w:tcBorders/>
            <w:shd w:fill="auto" w:val="clear"/>
          </w:tcPr>
          <w:p>
            <w:pPr>
              <w:pStyle w:val="Normal"/>
              <w:rPr/>
            </w:pPr>
            <w:r>
              <w:rPr/>
              <w:t xml:space="preserve">  </w:t>
            </w:r>
          </w:p>
          <w:p>
            <w:pPr>
              <w:pStyle w:val="Normal"/>
              <w:jc w:val="both"/>
              <w:rPr/>
            </w:pPr>
            <w:r>
              <w:rPr/>
              <w:t xml:space="preserve">коэффициент, равный для извести </w:t>
            </w:r>
          </w:p>
          <w:p>
            <w:pPr>
              <w:pStyle w:val="Normal"/>
              <w:jc w:val="both"/>
              <w:rPr/>
            </w:pPr>
            <w:r>
              <w:rPr/>
            </w:r>
          </w:p>
        </w:tc>
        <w:tc>
          <w:tcPr>
            <w:tcW w:w="1245" w:type="dxa"/>
            <w:gridSpan w:val="2"/>
            <w:tcBorders/>
            <w:shd w:fill="auto" w:val="clear"/>
          </w:tcPr>
          <w:p>
            <w:pPr>
              <w:pStyle w:val="Normal"/>
              <w:rPr/>
            </w:pPr>
            <w:r>
              <w:rPr/>
              <w:t xml:space="preserve"> </w:t>
            </w:r>
          </w:p>
          <w:p>
            <w:pPr>
              <w:pStyle w:val="Normal"/>
              <w:rPr/>
            </w:pPr>
            <w:r>
              <w:rPr/>
              <w:t>(по CaO) - 28,</w:t>
            </w:r>
          </w:p>
          <w:p>
            <w:pPr>
              <w:pStyle w:val="Normal"/>
              <w:rPr/>
            </w:pPr>
            <w:r>
              <w:rPr/>
            </w:r>
          </w:p>
        </w:tc>
        <w:tc>
          <w:tcPr>
            <w:tcW w:w="960" w:type="dxa"/>
            <w:tcBorders/>
            <w:shd w:fill="auto" w:val="clear"/>
          </w:tcPr>
          <w:p>
            <w:pPr>
              <w:pStyle w:val="Normal"/>
              <w:rPr/>
            </w:pPr>
            <w:r>
              <w:rPr/>
              <w:t xml:space="preserve">  </w:t>
            </w:r>
          </w:p>
          <w:p>
            <w:pPr>
              <w:pStyle w:val="Normal"/>
              <w:rPr/>
            </w:pPr>
            <w:r>
              <w:rPr/>
              <w:t xml:space="preserve"> </w:t>
            </w:r>
            <w:r>
              <w:rPr/>
              <w:t xml:space="preserve">для соды </w:t>
            </w:r>
          </w:p>
          <w:p>
            <w:pPr>
              <w:pStyle w:val="Normal"/>
              <w:rPr/>
            </w:pPr>
            <w:r>
              <w:rPr/>
            </w:r>
          </w:p>
        </w:tc>
        <w:tc>
          <w:tcPr>
            <w:tcW w:w="1770" w:type="dxa"/>
            <w:tcBorders/>
            <w:shd w:fill="auto" w:val="clear"/>
          </w:tcPr>
          <w:p>
            <w:pPr>
              <w:pStyle w:val="Normal"/>
              <w:rPr/>
            </w:pPr>
            <w:r>
              <w:rPr/>
              <w:t xml:space="preserve">  </w:t>
            </w:r>
          </w:p>
          <w:p>
            <w:pPr>
              <w:pStyle w:val="Normal"/>
              <w:rPr/>
            </w:pPr>
            <w:r>
              <w:rPr/>
              <w:drawing>
                <wp:inline distT="0" distB="0" distL="0" distR="0">
                  <wp:extent cx="1071245" cy="241935"/>
                  <wp:effectExtent l="0" t="0" r="0" b="0"/>
                  <wp:docPr id="39" name="Изображение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title=""/>
                          <pic:cNvPicPr>
                            <a:picLocks noChangeAspect="1" noChangeArrowheads="1"/>
                          </pic:cNvPicPr>
                        </pic:nvPicPr>
                        <pic:blipFill>
                          <a:blip r:embed="rId40"/>
                          <a:stretch>
                            <a:fillRect/>
                          </a:stretch>
                        </pic:blipFill>
                        <pic:spPr bwMode="auto">
                          <a:xfrm>
                            <a:off x="0" y="0"/>
                            <a:ext cx="1071245" cy="241935"/>
                          </a:xfrm>
                          <a:prstGeom prst="rect">
                            <a:avLst/>
                          </a:prstGeom>
                        </pic:spPr>
                      </pic:pic>
                    </a:graphicData>
                  </a:graphic>
                </wp:inline>
              </w:drawing>
            </w:r>
          </w:p>
        </w:tc>
      </w:tr>
      <w:tr>
        <w:trPr/>
        <w:tc>
          <w:tcPr>
            <w:tcW w:w="945" w:type="dxa"/>
            <w:tcBorders/>
            <w:shd w:fill="auto" w:val="clear"/>
          </w:tcPr>
          <w:p>
            <w:pPr>
              <w:pStyle w:val="Normal"/>
              <w:rPr/>
            </w:pPr>
            <w:r>
              <w:rPr/>
              <w:t xml:space="preserve">  </w:t>
            </w:r>
          </w:p>
          <w:p>
            <w:pPr>
              <w:pStyle w:val="Normal"/>
              <w:rPr/>
            </w:pPr>
            <w:r>
              <w:rPr/>
              <w:drawing>
                <wp:inline distT="0" distB="0" distL="0" distR="0">
                  <wp:extent cx="368935" cy="184150"/>
                  <wp:effectExtent l="0" t="0" r="0" b="0"/>
                  <wp:docPr id="40" name="Изображение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title=""/>
                          <pic:cNvPicPr>
                            <a:picLocks noChangeAspect="1" noChangeArrowheads="1"/>
                          </pic:cNvPicPr>
                        </pic:nvPicPr>
                        <pic:blipFill>
                          <a:blip r:embed="rId41"/>
                          <a:stretch>
                            <a:fillRect/>
                          </a:stretch>
                        </pic:blipFill>
                        <pic:spPr bwMode="auto">
                          <a:xfrm>
                            <a:off x="0" y="0"/>
                            <a:ext cx="368935" cy="184150"/>
                          </a:xfrm>
                          <a:prstGeom prst="rect">
                            <a:avLst/>
                          </a:prstGeom>
                        </pic:spPr>
                      </pic:pic>
                    </a:graphicData>
                  </a:graphic>
                </wp:inline>
              </w:drawing>
            </w:r>
          </w:p>
        </w:tc>
        <w:tc>
          <w:tcPr>
            <w:tcW w:w="4320" w:type="dxa"/>
            <w:gridSpan w:val="2"/>
            <w:tcBorders/>
            <w:shd w:fill="auto" w:val="clear"/>
          </w:tcPr>
          <w:p>
            <w:pPr>
              <w:pStyle w:val="Normal"/>
              <w:rPr/>
            </w:pPr>
            <w:r>
              <w:rPr/>
              <w:t xml:space="preserve">  </w:t>
            </w:r>
          </w:p>
          <w:p>
            <w:pPr>
              <w:pStyle w:val="Normal"/>
              <w:jc w:val="both"/>
              <w:rPr/>
            </w:pPr>
            <w:r>
              <w:rPr/>
              <w:t>минимальная щелочность воды, мг-экв/л.</w:t>
            </w:r>
          </w:p>
          <w:p>
            <w:pPr>
              <w:pStyle w:val="Normal"/>
              <w:jc w:val="both"/>
              <w:rPr/>
            </w:pPr>
            <w:r>
              <w:rPr/>
            </w:r>
          </w:p>
          <w:p>
            <w:pPr>
              <w:pStyle w:val="Normal"/>
              <w:jc w:val="both"/>
              <w:rPr/>
            </w:pPr>
            <w:r>
              <w:rPr/>
            </w:r>
          </w:p>
        </w:tc>
        <w:tc>
          <w:tcPr>
            <w:tcW w:w="2790" w:type="dxa"/>
            <w:gridSpan w:val="3"/>
            <w:tcBorders/>
            <w:shd w:fill="auto" w:val="clear"/>
            <w:tcMar>
              <w:start w:w="0" w:type="dxa"/>
              <w:end w:w="0" w:type="dxa"/>
            </w:tcMar>
          </w:tcPr>
          <w:p>
            <w:pPr>
              <w:pStyle w:val="Normal"/>
              <w:snapToGrid w:val="false"/>
              <w:rPr/>
            </w:pPr>
            <w:r>
              <w:rPr/>
            </w:r>
          </w:p>
        </w:tc>
      </w:tr>
    </w:tbl>
    <w:p>
      <w:pPr>
        <w:pStyle w:val="Normal"/>
        <w:ind w:firstLine="135"/>
        <w:jc w:val="both"/>
        <w:rPr/>
      </w:pPr>
      <w:r>
        <w:rPr/>
      </w:r>
    </w:p>
    <w:p>
      <w:pPr>
        <w:pStyle w:val="Normal"/>
        <w:ind w:firstLine="225"/>
        <w:jc w:val="both"/>
        <w:rPr/>
      </w:pPr>
      <w:r>
        <w:rPr/>
        <w:t>Реагенты следует вводить одновременно с вводом коагулянтов.</w:t>
      </w:r>
    </w:p>
    <w:p>
      <w:pPr>
        <w:pStyle w:val="Normal"/>
        <w:ind w:firstLine="225"/>
        <w:jc w:val="both"/>
        <w:rPr/>
      </w:pPr>
      <w:r>
        <w:rPr/>
      </w:r>
    </w:p>
    <w:p>
      <w:pPr>
        <w:pStyle w:val="Normal"/>
        <w:ind w:firstLine="270"/>
        <w:jc w:val="both"/>
        <w:rPr/>
      </w:pPr>
      <w:r>
        <w:rPr/>
        <w:t>6.20. Приготовление и дозирование реагентов надлежит предусматривать в виде растворов или суспензий. Количество дозаторов следует принимать в зависимости от числа точек ввода и производительности дозатора, но не менее двух (один резервный).</w:t>
      </w:r>
    </w:p>
    <w:p>
      <w:pPr>
        <w:pStyle w:val="Normal"/>
        <w:ind w:firstLine="225"/>
        <w:jc w:val="both"/>
        <w:rPr/>
      </w:pPr>
      <w:r>
        <w:rPr/>
      </w:r>
    </w:p>
    <w:p>
      <w:pPr>
        <w:pStyle w:val="Normal"/>
        <w:ind w:firstLine="270"/>
        <w:jc w:val="both"/>
        <w:rPr/>
      </w:pPr>
      <w:r>
        <w:rPr/>
        <w:t>Гранулированные и порошкообразные реагенты надлежит, как правило, принимать в сухом виде.</w:t>
      </w:r>
    </w:p>
    <w:p>
      <w:pPr>
        <w:pStyle w:val="Normal"/>
        <w:ind w:firstLine="225"/>
        <w:jc w:val="both"/>
        <w:rPr/>
      </w:pPr>
      <w:r>
        <w:rPr/>
      </w:r>
    </w:p>
    <w:p>
      <w:pPr>
        <w:pStyle w:val="Normal"/>
        <w:ind w:firstLine="270"/>
        <w:jc w:val="both"/>
        <w:rPr/>
      </w:pPr>
      <w:r>
        <w:rPr/>
        <w:t>6.21. Концентрацию раствора коагулянта в растворных баках, считая по чистому и безводному продукту, следует принимать: до 17% - для неочищенного, до 20% -  для очищенного кускового, до 24% - для очищенного гранулированного; в расходных баках -  до 12%.</w:t>
      </w:r>
    </w:p>
    <w:p>
      <w:pPr>
        <w:pStyle w:val="Normal"/>
        <w:ind w:firstLine="270"/>
        <w:jc w:val="both"/>
        <w:rPr/>
      </w:pPr>
      <w:r>
        <w:rPr/>
      </w:r>
    </w:p>
    <w:p>
      <w:pPr>
        <w:pStyle w:val="Normal"/>
        <w:ind w:firstLine="225"/>
        <w:jc w:val="both"/>
        <w:rPr/>
      </w:pPr>
      <w:r>
        <w:rPr/>
        <w:t>6.22. Время полного цикла приготовления раствора коагулянта (загрузка, растворение, отстаивание, перекачка, при необходимости чистка поддона) при температуре воды до 10 град.С следует принимать 10-12 ч.</w:t>
      </w:r>
    </w:p>
    <w:p>
      <w:pPr>
        <w:pStyle w:val="Normal"/>
        <w:ind w:firstLine="225"/>
        <w:jc w:val="both"/>
        <w:rPr/>
      </w:pPr>
      <w:r>
        <w:rPr/>
      </w:r>
    </w:p>
    <w:p>
      <w:pPr>
        <w:pStyle w:val="Normal"/>
        <w:ind w:firstLine="270"/>
        <w:jc w:val="both"/>
        <w:rPr/>
      </w:pPr>
      <w:r>
        <w:rPr/>
        <w:t>Для ускорения цикла приготовления коагулянта до 6-8 ч рекомендуется использование воды температурой до 40 град.С.</w:t>
      </w:r>
    </w:p>
    <w:p>
      <w:pPr>
        <w:pStyle w:val="Normal"/>
        <w:ind w:firstLine="225"/>
        <w:jc w:val="both"/>
        <w:rPr/>
      </w:pPr>
      <w:r>
        <w:rPr/>
      </w:r>
    </w:p>
    <w:p>
      <w:pPr>
        <w:pStyle w:val="Normal"/>
        <w:ind w:firstLine="270"/>
        <w:jc w:val="both"/>
        <w:rPr/>
      </w:pPr>
      <w:r>
        <w:rPr/>
        <w:t>Количество растворных баков надлежит принимать с учетом объема разовой поставки, способов доставки и разгрузки коагулянта, его вида, а также времени его растворения и должно быть не менее трех.</w:t>
      </w:r>
    </w:p>
    <w:p>
      <w:pPr>
        <w:pStyle w:val="Normal"/>
        <w:ind w:firstLine="225"/>
        <w:jc w:val="both"/>
        <w:rPr/>
      </w:pPr>
      <w:r>
        <w:rPr/>
      </w:r>
    </w:p>
    <w:p>
      <w:pPr>
        <w:pStyle w:val="Normal"/>
        <w:ind w:firstLine="270"/>
        <w:jc w:val="both"/>
        <w:rPr/>
      </w:pPr>
      <w:r>
        <w:rPr/>
        <w:t>Количество расходных баков должно быть не менее двух.</w:t>
      </w:r>
    </w:p>
    <w:p>
      <w:pPr>
        <w:pStyle w:val="Normal"/>
        <w:ind w:firstLine="225"/>
        <w:jc w:val="both"/>
        <w:rPr/>
      </w:pPr>
      <w:r>
        <w:rPr/>
      </w:r>
    </w:p>
    <w:p>
      <w:pPr>
        <w:pStyle w:val="Normal"/>
        <w:ind w:firstLine="270"/>
        <w:jc w:val="both"/>
        <w:rPr/>
      </w:pPr>
      <w:r>
        <w:rPr/>
        <w:t>6.23. Для растворения коагулянта и перемешивания его в баках надлежит предусматривать подачу сжатого воздуха с интенсивностью:</w:t>
      </w:r>
    </w:p>
    <w:p>
      <w:pPr>
        <w:pStyle w:val="Normal"/>
        <w:ind w:firstLine="270"/>
        <w:jc w:val="both"/>
        <w:rPr/>
      </w:pPr>
      <w:r>
        <w:rPr/>
      </w:r>
    </w:p>
    <w:p>
      <w:pPr>
        <w:pStyle w:val="Normal"/>
        <w:ind w:firstLine="225"/>
        <w:jc w:val="both"/>
        <w:rPr/>
      </w:pPr>
      <w:r>
        <w:rPr/>
        <w:t xml:space="preserve">8-10 л/(с·кв.м)  для растворения; </w:t>
      </w:r>
    </w:p>
    <w:p>
      <w:pPr>
        <w:pStyle w:val="Normal"/>
        <w:ind w:firstLine="225"/>
        <w:jc w:val="both"/>
        <w:rPr/>
      </w:pPr>
      <w:r>
        <w:rPr/>
      </w:r>
    </w:p>
    <w:p>
      <w:pPr>
        <w:pStyle w:val="Normal"/>
        <w:ind w:firstLine="225"/>
        <w:jc w:val="both"/>
        <w:rPr/>
      </w:pPr>
      <w:r>
        <w:rPr/>
        <w:t>3-5 л/(с·кв.м)  для перемешивания при разбавлении до требуемой концентрации в расходных баках.</w:t>
      </w:r>
    </w:p>
    <w:p>
      <w:pPr>
        <w:pStyle w:val="Normal"/>
        <w:ind w:firstLine="225"/>
        <w:jc w:val="both"/>
        <w:rPr/>
      </w:pPr>
      <w:r>
        <w:rPr/>
      </w:r>
    </w:p>
    <w:p>
      <w:pPr>
        <w:pStyle w:val="Normal"/>
        <w:ind w:firstLine="270"/>
        <w:jc w:val="both"/>
        <w:rPr/>
      </w:pPr>
      <w:r>
        <w:rPr/>
        <w:t>Распределение воздуха следует предусматривать дырчатыми трубами.</w:t>
      </w:r>
    </w:p>
    <w:p>
      <w:pPr>
        <w:pStyle w:val="Normal"/>
        <w:ind w:firstLine="225"/>
        <w:jc w:val="both"/>
        <w:rPr/>
      </w:pPr>
      <w:r>
        <w:rPr/>
      </w:r>
    </w:p>
    <w:p>
      <w:pPr>
        <w:pStyle w:val="Normal"/>
        <w:ind w:firstLine="270"/>
        <w:jc w:val="both"/>
        <w:rPr/>
      </w:pPr>
      <w:r>
        <w:rPr/>
        <w:t>Допускается применение для растворения коагулянта и перемешивания его раствора механических мешалок или циркуляционных насосов.</w:t>
      </w:r>
    </w:p>
    <w:p>
      <w:pPr>
        <w:pStyle w:val="Normal"/>
        <w:ind w:firstLine="225"/>
        <w:jc w:val="both"/>
        <w:rPr/>
      </w:pPr>
      <w:r>
        <w:rPr/>
      </w:r>
    </w:p>
    <w:p>
      <w:pPr>
        <w:pStyle w:val="Normal"/>
        <w:ind w:firstLine="270"/>
        <w:jc w:val="both"/>
        <w:rPr/>
      </w:pPr>
      <w:r>
        <w:rPr/>
        <w:t>6.24. Растворные баки в нижней части следует проектировать с наклонными стенками под углом 45 град. к горизонтали для неочищенного и 15 град. для очищенного коагулянта. Для опорожнения баков и сброса осадка следует предусматривать трубопроводы диаметром не менее 150 мм.</w:t>
      </w:r>
    </w:p>
    <w:p>
      <w:pPr>
        <w:pStyle w:val="Normal"/>
        <w:ind w:firstLine="225"/>
        <w:jc w:val="both"/>
        <w:rPr/>
      </w:pPr>
      <w:r>
        <w:rPr/>
      </w:r>
    </w:p>
    <w:p>
      <w:pPr>
        <w:pStyle w:val="Normal"/>
        <w:ind w:firstLine="270"/>
        <w:jc w:val="both"/>
        <w:rPr/>
      </w:pPr>
      <w:r>
        <w:rPr/>
        <w:t xml:space="preserve">При применении кускового коагулянта в баках должны быть предусмотрены съемные колосниковые решетки с прозорами 10-15 мм. </w:t>
      </w:r>
    </w:p>
    <w:p>
      <w:pPr>
        <w:pStyle w:val="Normal"/>
        <w:ind w:firstLine="270"/>
        <w:jc w:val="both"/>
        <w:rPr/>
      </w:pPr>
      <w:r>
        <w:rPr/>
      </w:r>
    </w:p>
    <w:p>
      <w:pPr>
        <w:pStyle w:val="Normal"/>
        <w:ind w:firstLine="225"/>
        <w:jc w:val="both"/>
        <w:rPr/>
      </w:pPr>
      <w:r>
        <w:rPr/>
        <w:t>При применении гранулированного и порошкообразного коагулянта необходимо предусматривать на колосниковой решетке сетку из кислотостойкого материала с отверстиями 2 мм.</w:t>
      </w:r>
    </w:p>
    <w:p>
      <w:pPr>
        <w:pStyle w:val="Normal"/>
        <w:ind w:firstLine="270"/>
        <w:jc w:val="both"/>
        <w:rPr/>
      </w:pPr>
      <w:r>
        <w:rPr/>
      </w:r>
    </w:p>
    <w:p>
      <w:pPr>
        <w:pStyle w:val="Normal"/>
        <w:ind w:firstLine="270"/>
        <w:jc w:val="both"/>
        <w:rPr/>
      </w:pPr>
      <w:r>
        <w:rPr/>
        <w:t>Примечание. Допускается уменьшение угла наклона стенок баков для неочищенного коагулянта до 25° при оборудовании подколосниковой части баков системой гидросмыва осадка и одновременной подаче сжатого воздуха.</w:t>
      </w:r>
    </w:p>
    <w:p>
      <w:pPr>
        <w:pStyle w:val="Normal"/>
        <w:ind w:firstLine="270"/>
        <w:jc w:val="both"/>
        <w:rPr/>
      </w:pPr>
      <w:r>
        <w:rPr/>
      </w:r>
    </w:p>
    <w:p>
      <w:pPr>
        <w:pStyle w:val="Normal"/>
        <w:ind w:firstLine="270"/>
        <w:jc w:val="both"/>
        <w:rPr/>
      </w:pPr>
      <w:r>
        <w:rPr/>
        <w:t>6.25. Днища расходных баков должны иметь уклон не менее 0,01 к сбросному трубопроводу диаметром не менее 100 мм.</w:t>
      </w:r>
    </w:p>
    <w:p>
      <w:pPr>
        <w:pStyle w:val="Normal"/>
        <w:ind w:firstLine="270"/>
        <w:jc w:val="both"/>
        <w:rPr/>
      </w:pPr>
      <w:r>
        <w:rPr/>
      </w:r>
    </w:p>
    <w:p>
      <w:pPr>
        <w:pStyle w:val="Normal"/>
        <w:ind w:firstLine="225"/>
        <w:jc w:val="both"/>
        <w:rPr/>
      </w:pPr>
      <w:r>
        <w:rPr/>
        <w:t>6.26. Забор раствора коагулянта из растворных и расходных баков следует предусматривать с верхнего уровня.</w:t>
      </w:r>
    </w:p>
    <w:p>
      <w:pPr>
        <w:pStyle w:val="Normal"/>
        <w:ind w:firstLine="225"/>
        <w:jc w:val="both"/>
        <w:rPr/>
      </w:pPr>
      <w:r>
        <w:rPr/>
      </w:r>
    </w:p>
    <w:p>
      <w:pPr>
        <w:pStyle w:val="Normal"/>
        <w:ind w:firstLine="225"/>
        <w:jc w:val="both"/>
        <w:rPr/>
      </w:pPr>
      <w:r>
        <w:rPr/>
        <w:t>6.27. Внутренняя поверхность баков должна быть защищена кислотостойкими материалами.</w:t>
      </w:r>
    </w:p>
    <w:p>
      <w:pPr>
        <w:pStyle w:val="Normal"/>
        <w:ind w:firstLine="225"/>
        <w:jc w:val="both"/>
        <w:rPr/>
      </w:pPr>
      <w:r>
        <w:rPr/>
      </w:r>
    </w:p>
    <w:p>
      <w:pPr>
        <w:pStyle w:val="Normal"/>
        <w:ind w:firstLine="270"/>
        <w:jc w:val="both"/>
        <w:rPr/>
      </w:pPr>
      <w:r>
        <w:rPr/>
        <w:t>6.28. При применении в качестве коагулянта сухого хлорного железа в верхней части растворного бака следует предусматривать колосниковую решетку. Баки должны размещаться в изолированном помещении (боксе) с вытяжной вентиляцией.</w:t>
      </w:r>
    </w:p>
    <w:p>
      <w:pPr>
        <w:pStyle w:val="Normal"/>
        <w:ind w:firstLine="225"/>
        <w:jc w:val="both"/>
        <w:rPr/>
      </w:pPr>
      <w:r>
        <w:rPr/>
      </w:r>
    </w:p>
    <w:p>
      <w:pPr>
        <w:pStyle w:val="Normal"/>
        <w:ind w:firstLine="225"/>
        <w:jc w:val="both"/>
        <w:rPr/>
      </w:pPr>
      <w:r>
        <w:rPr/>
        <w:t>6.29. Для транспортирования раствора коагулянта следует применять кислотостойкие материалы и оборудование.</w:t>
      </w:r>
    </w:p>
    <w:p>
      <w:pPr>
        <w:pStyle w:val="Normal"/>
        <w:ind w:firstLine="225"/>
        <w:jc w:val="both"/>
        <w:rPr/>
      </w:pPr>
      <w:r>
        <w:rPr/>
      </w:r>
    </w:p>
    <w:p>
      <w:pPr>
        <w:pStyle w:val="Normal"/>
        <w:ind w:firstLine="225"/>
        <w:jc w:val="both"/>
        <w:rPr/>
      </w:pPr>
      <w:r>
        <w:rPr/>
        <w:t>Конструкции реагентопроводов должны обеспечивать возможность их быстрой прочистки и промывки.</w:t>
      </w:r>
    </w:p>
    <w:p>
      <w:pPr>
        <w:pStyle w:val="Normal"/>
        <w:ind w:firstLine="225"/>
        <w:jc w:val="both"/>
        <w:rPr/>
      </w:pPr>
      <w:r>
        <w:rPr/>
      </w:r>
    </w:p>
    <w:p>
      <w:pPr>
        <w:pStyle w:val="Normal"/>
        <w:ind w:firstLine="225"/>
        <w:jc w:val="both"/>
        <w:rPr/>
      </w:pPr>
      <w:r>
        <w:rPr/>
        <w:t xml:space="preserve">6.30. Полиакриламид следует применять в виде раствора с концентрацией полимера 0,1-1%. </w:t>
      </w:r>
    </w:p>
    <w:p>
      <w:pPr>
        <w:pStyle w:val="Normal"/>
        <w:ind w:firstLine="225"/>
        <w:jc w:val="both"/>
        <w:rPr/>
      </w:pPr>
      <w:r>
        <w:rPr/>
      </w:r>
    </w:p>
    <w:p>
      <w:pPr>
        <w:pStyle w:val="Normal"/>
        <w:ind w:firstLine="225"/>
        <w:jc w:val="both"/>
        <w:rPr/>
      </w:pPr>
      <w:r>
        <w:rPr/>
        <w:t>Приготовление раствора из технического полиакриламида надлежит производить в баках с механическими лопастными мешалками. Продолжительность приготовления раствора из ПАА геля 25-40 мин, из ПАА сухого 2 ч. Для ускорения приготовления раствора ПАА следует использовать горячую воду с температурой не выше 50 град.С.</w:t>
      </w:r>
    </w:p>
    <w:p>
      <w:pPr>
        <w:pStyle w:val="Normal"/>
        <w:ind w:firstLine="225"/>
        <w:jc w:val="both"/>
        <w:rPr/>
      </w:pPr>
      <w:r>
        <w:rPr/>
      </w:r>
    </w:p>
    <w:p>
      <w:pPr>
        <w:pStyle w:val="Normal"/>
        <w:ind w:firstLine="225"/>
        <w:jc w:val="both"/>
        <w:rPr/>
      </w:pPr>
      <w:r>
        <w:rPr/>
        <w:t>6.31. Количество мешалок, а также объем расходных баков для растворов ПАА следует определять исходя из сроков хранения 0,7-1% растворов не более 15 сут, 0,4-0,6% растворов - 7 сут и 0,1-0,3% растворов - 2 сут.</w:t>
      </w:r>
    </w:p>
    <w:p>
      <w:pPr>
        <w:pStyle w:val="Normal"/>
        <w:ind w:firstLine="225"/>
        <w:jc w:val="both"/>
        <w:rPr/>
      </w:pPr>
      <w:r>
        <w:rPr/>
      </w:r>
    </w:p>
    <w:p>
      <w:pPr>
        <w:pStyle w:val="Normal"/>
        <w:ind w:firstLine="225"/>
        <w:jc w:val="both"/>
        <w:rPr/>
      </w:pPr>
      <w:r>
        <w:rPr/>
        <w:t>6.32. Приготовление растворов активной кремнекислоты (АК) производится путем обработки жидкого стекла раствором сернокислого алюминия или хлором.</w:t>
      </w:r>
    </w:p>
    <w:p>
      <w:pPr>
        <w:pStyle w:val="Normal"/>
        <w:ind w:firstLine="225"/>
        <w:jc w:val="both"/>
        <w:rPr/>
      </w:pPr>
      <w:r>
        <w:rPr/>
      </w:r>
    </w:p>
    <w:p>
      <w:pPr>
        <w:pStyle w:val="Normal"/>
        <w:ind w:firstLine="225"/>
        <w:jc w:val="both"/>
        <w:rPr/>
      </w:pPr>
      <w:r>
        <w:rPr/>
        <w:t>Активацию сернокислым алюминием или хлором следует производить на установках непрерывного или периодического действия.</w:t>
      </w:r>
    </w:p>
    <w:p>
      <w:pPr>
        <w:pStyle w:val="Normal"/>
        <w:ind w:firstLine="225"/>
        <w:jc w:val="both"/>
        <w:rPr/>
      </w:pPr>
      <w:r>
        <w:rPr/>
      </w:r>
    </w:p>
    <w:p>
      <w:pPr>
        <w:pStyle w:val="Normal"/>
        <w:ind w:firstLine="225"/>
        <w:jc w:val="both"/>
        <w:rPr/>
      </w:pPr>
      <w:r>
        <w:rPr/>
        <w:t>6.33. Для подщелачивания и стабилизации воды следует применять известь. При обосновании допускается применение соды.</w:t>
      </w:r>
    </w:p>
    <w:p>
      <w:pPr>
        <w:pStyle w:val="Normal"/>
        <w:ind w:firstLine="225"/>
        <w:jc w:val="both"/>
        <w:rPr/>
      </w:pPr>
      <w:r>
        <w:rPr/>
      </w:r>
    </w:p>
    <w:p>
      <w:pPr>
        <w:pStyle w:val="Normal"/>
        <w:ind w:firstLine="270"/>
        <w:jc w:val="both"/>
        <w:rPr/>
      </w:pPr>
      <w:r>
        <w:rPr/>
        <w:t>6.34. Выбор технологической схемы известкового хозяйства станции водоподготовки надлежит производить с учетом качества и вида заводского продукта, потребности в извести, места ее ввода и т.д. В случае применения комовой негашеной извести следует принимать мокрое хранение ее в виде теста.</w:t>
      </w:r>
    </w:p>
    <w:p>
      <w:pPr>
        <w:pStyle w:val="Normal"/>
        <w:ind w:firstLine="225"/>
        <w:jc w:val="both"/>
        <w:rPr/>
      </w:pPr>
      <w:r>
        <w:rPr/>
      </w:r>
    </w:p>
    <w:p>
      <w:pPr>
        <w:pStyle w:val="Normal"/>
        <w:ind w:firstLine="270"/>
        <w:jc w:val="both"/>
        <w:rPr/>
      </w:pPr>
      <w:r>
        <w:rPr/>
        <w:t>При расходе извести до 50 кг/сут по СаО допускается применение схемы с использованием известкового раствора, получаемого в сатураторах двойного насыщения.</w:t>
      </w:r>
    </w:p>
    <w:p>
      <w:pPr>
        <w:pStyle w:val="Normal"/>
        <w:ind w:firstLine="270"/>
        <w:jc w:val="both"/>
        <w:rPr/>
      </w:pPr>
      <w:r>
        <w:rPr/>
      </w:r>
    </w:p>
    <w:p>
      <w:pPr>
        <w:pStyle w:val="Normal"/>
        <w:ind w:firstLine="225"/>
        <w:jc w:val="both"/>
        <w:rPr/>
      </w:pPr>
      <w:r>
        <w:rPr/>
        <w:t>6.35. Количество баков для известкового молока или раствора надлежит предусматривать не менее двух. Концентрацию известкового молока в расходных баках следует принимать не более 5 % по СаО.</w:t>
      </w:r>
    </w:p>
    <w:p>
      <w:pPr>
        <w:pStyle w:val="Normal"/>
        <w:ind w:firstLine="225"/>
        <w:jc w:val="both"/>
        <w:rPr/>
      </w:pPr>
      <w:r>
        <w:rPr/>
      </w:r>
    </w:p>
    <w:p>
      <w:pPr>
        <w:pStyle w:val="Normal"/>
        <w:ind w:firstLine="225"/>
        <w:jc w:val="both"/>
        <w:rPr/>
      </w:pPr>
      <w:r>
        <w:rPr/>
        <w:t>6.36. Для очистки известкового молока от нерастворимых примесей при стабилизационной обработке воды надлежит применять вертикальные отстойники или гидроциклоны.</w:t>
      </w:r>
    </w:p>
    <w:p>
      <w:pPr>
        <w:pStyle w:val="Normal"/>
        <w:ind w:firstLine="225"/>
        <w:jc w:val="both"/>
        <w:rPr/>
      </w:pPr>
      <w:r>
        <w:rPr/>
      </w:r>
    </w:p>
    <w:p>
      <w:pPr>
        <w:pStyle w:val="Normal"/>
        <w:ind w:firstLine="270"/>
        <w:jc w:val="both"/>
        <w:rPr/>
      </w:pPr>
      <w:r>
        <w:rPr/>
        <w:t>Скорость восходящего потока в вертикальных отстойниках следует принимать 2 мм/с.</w:t>
      </w:r>
    </w:p>
    <w:p>
      <w:pPr>
        <w:pStyle w:val="Normal"/>
        <w:ind w:firstLine="270"/>
        <w:jc w:val="both"/>
        <w:rPr/>
      </w:pPr>
      <w:r>
        <w:rPr/>
      </w:r>
    </w:p>
    <w:p>
      <w:pPr>
        <w:pStyle w:val="Normal"/>
        <w:ind w:firstLine="225"/>
        <w:jc w:val="both"/>
        <w:rPr/>
      </w:pPr>
      <w:r>
        <w:rPr/>
        <w:t>Для очистки известкового молока на гидроциклонах необходимо обеспечивать двухкратный его пропуск через гидроциклоны.</w:t>
      </w:r>
    </w:p>
    <w:p>
      <w:pPr>
        <w:pStyle w:val="Normal"/>
        <w:ind w:firstLine="225"/>
        <w:jc w:val="both"/>
        <w:rPr/>
      </w:pPr>
      <w:r>
        <w:rPr/>
      </w:r>
    </w:p>
    <w:p>
      <w:pPr>
        <w:pStyle w:val="Normal"/>
        <w:ind w:firstLine="270"/>
        <w:jc w:val="both"/>
        <w:rPr/>
      </w:pPr>
      <w:r>
        <w:rPr/>
        <w:t>6.37. Для непрерывного перемешивания известкового молока следует применять гидравлическое перемешивание (с помощью насосов) или механические мешалки.</w:t>
      </w:r>
    </w:p>
    <w:p>
      <w:pPr>
        <w:pStyle w:val="Normal"/>
        <w:ind w:firstLine="225"/>
        <w:jc w:val="both"/>
        <w:rPr/>
      </w:pPr>
      <w:r>
        <w:rPr/>
      </w:r>
    </w:p>
    <w:p>
      <w:pPr>
        <w:pStyle w:val="Normal"/>
        <w:ind w:firstLine="270"/>
        <w:jc w:val="both"/>
        <w:rPr/>
      </w:pPr>
      <w:r>
        <w:rPr/>
        <w:t>При гидравлическом перемешивании восходящая скорость движения молока в баке должна приниматься не менее 5 мм/с. Баки должны иметь конические днища с наклоном 45°  и сбросные трубопроводы диаметром не менее 100 мм.</w:t>
      </w:r>
    </w:p>
    <w:p>
      <w:pPr>
        <w:pStyle w:val="Normal"/>
        <w:ind w:firstLine="270"/>
        <w:jc w:val="both"/>
        <w:rPr/>
      </w:pPr>
      <w:r>
        <w:rPr/>
      </w:r>
    </w:p>
    <w:p>
      <w:pPr>
        <w:pStyle w:val="Normal"/>
        <w:ind w:firstLine="270"/>
        <w:jc w:val="both"/>
        <w:rPr/>
      </w:pPr>
      <w:r>
        <w:rPr/>
        <w:t>Примечание. Допускается для перемешивания известкового молока применять сжатый воздух при интенсивности подачи 8-10 л/(с·кв.м).</w:t>
      </w:r>
    </w:p>
    <w:p>
      <w:pPr>
        <w:pStyle w:val="Normal"/>
        <w:ind w:firstLine="270"/>
        <w:jc w:val="both"/>
        <w:rPr/>
      </w:pPr>
      <w:r>
        <w:rPr/>
      </w:r>
    </w:p>
    <w:p>
      <w:pPr>
        <w:pStyle w:val="Normal"/>
        <w:ind w:firstLine="270"/>
        <w:jc w:val="both"/>
        <w:rPr/>
      </w:pPr>
      <w:r>
        <w:rPr/>
        <w:t>6.38. Диаметры трубопроводов подачи известкового молока должны быть: напорных при подаче очищенного продукта не менее 25 мм, неочищенного   - не менее 50 мм, самотечных - не менее 50 мм. Скорость движения в трубопроводах известкового молока должна приниматься не менее 0,8 м/с. Повороты на трубопроводах известкового молока следует предусматривать с радиусом не менее 5d, где d - диаметр трубопровода. Напорные трубопроводы проектируются с уклоном к насосу не менее 0,02, самотечные трубопроводы должны иметь уклон к выпуску не менее 0,03°.</w:t>
      </w:r>
    </w:p>
    <w:p>
      <w:pPr>
        <w:pStyle w:val="Normal"/>
        <w:ind w:firstLine="270"/>
        <w:jc w:val="both"/>
        <w:rPr/>
      </w:pPr>
      <w:r>
        <w:rPr/>
      </w:r>
    </w:p>
    <w:p>
      <w:pPr>
        <w:pStyle w:val="Normal"/>
        <w:ind w:firstLine="270"/>
        <w:jc w:val="both"/>
        <w:rPr/>
      </w:pPr>
      <w:r>
        <w:rPr/>
        <w:t>При этом следует предусматривать возможность промывки и прочистки трубопроводов.</w:t>
      </w:r>
    </w:p>
    <w:p>
      <w:pPr>
        <w:pStyle w:val="Normal"/>
        <w:ind w:firstLine="270"/>
        <w:jc w:val="both"/>
        <w:rPr/>
      </w:pPr>
      <w:r>
        <w:rPr/>
      </w:r>
    </w:p>
    <w:p>
      <w:pPr>
        <w:pStyle w:val="Normal"/>
        <w:ind w:firstLine="225"/>
        <w:jc w:val="both"/>
        <w:rPr/>
      </w:pPr>
      <w:r>
        <w:rPr/>
        <w:t>6.39. Концентрацию раствора соды следует принимать 5-8%. Дозирование раствора соды следует предусматривать согласно п. 6.20.</w:t>
      </w:r>
    </w:p>
    <w:p>
      <w:pPr>
        <w:pStyle w:val="Normal"/>
        <w:ind w:firstLine="270"/>
        <w:jc w:val="both"/>
        <w:rPr/>
      </w:pPr>
      <w:r>
        <w:rPr/>
      </w:r>
    </w:p>
    <w:p>
      <w:pPr>
        <w:pStyle w:val="Normal"/>
        <w:ind w:firstLine="225"/>
        <w:jc w:val="both"/>
        <w:rPr/>
      </w:pPr>
      <w:r>
        <w:rPr/>
      </w:r>
    </w:p>
    <w:p>
      <w:pPr>
        <w:pStyle w:val="Heading"/>
        <w:jc w:val="center"/>
        <w:rPr/>
      </w:pPr>
      <w:r>
        <w:rPr/>
        <w:t>СМЕСИТЕЛЬНЫЕ  УСТРОЙСТВА</w:t>
      </w:r>
    </w:p>
    <w:p>
      <w:pPr>
        <w:pStyle w:val="Heading"/>
        <w:jc w:val="center"/>
        <w:rPr/>
      </w:pPr>
      <w:r>
        <w:rPr/>
      </w:r>
    </w:p>
    <w:p>
      <w:pPr>
        <w:pStyle w:val="Normal"/>
        <w:ind w:firstLine="270"/>
        <w:jc w:val="both"/>
        <w:rPr/>
      </w:pPr>
      <w:r>
        <w:rPr/>
      </w:r>
    </w:p>
    <w:p>
      <w:pPr>
        <w:pStyle w:val="Normal"/>
        <w:ind w:firstLine="270"/>
        <w:jc w:val="both"/>
        <w:rPr/>
      </w:pPr>
      <w:r>
        <w:rPr/>
        <w:t>6.40. Смесительные устройства должны включать устройства ввода реагентов, обеспечивающие быстрое равномерное распределение реагентов в трубопроводе или канале подачи воды на сооружения водоподготовки, и смесители, обеспечивающие последующее интенсивное смешение реагентов с обрабатываемой водой.</w:t>
      </w:r>
    </w:p>
    <w:p>
      <w:pPr>
        <w:pStyle w:val="Normal"/>
        <w:ind w:firstLine="270"/>
        <w:jc w:val="both"/>
        <w:rPr/>
      </w:pPr>
      <w:r>
        <w:rPr/>
      </w:r>
    </w:p>
    <w:p>
      <w:pPr>
        <w:pStyle w:val="Normal"/>
        <w:ind w:firstLine="225"/>
        <w:jc w:val="both"/>
        <w:rPr/>
      </w:pPr>
      <w:r>
        <w:rPr/>
        <w:t>6.41. Смесительные устройства должны обеспечивать последовательный с необходимым разрывом времени ввод реагентов согласно пп. 6.17-6.19 и рекомендуемому прил. 4 с учетом длительности пребывания воды в трубопроводах или каналах между устройствами ввода реагентов.</w:t>
      </w:r>
    </w:p>
    <w:p>
      <w:pPr>
        <w:pStyle w:val="Normal"/>
        <w:ind w:firstLine="225"/>
        <w:jc w:val="both"/>
        <w:rPr/>
      </w:pPr>
      <w:r>
        <w:rPr/>
      </w:r>
    </w:p>
    <w:p>
      <w:pPr>
        <w:pStyle w:val="Normal"/>
        <w:ind w:firstLine="270"/>
        <w:jc w:val="both"/>
        <w:rPr/>
      </w:pPr>
      <w:r>
        <w:rPr/>
        <w:t>6.42. Устройства ввода реагентов следует выполнять в виде перфорированных трубчатых распределителей или вставок в трубопровод, создающих местные сопротивления. Распределители реагентов должны быть доступны для прочистки и промывки без прекращения процесса обработки воды. Потерю напора в трубопроводе при установке трубчатого распределителя надлежит принимать 0,1-0,2 м, при установке вставки - 0,2-0,3 м.</w:t>
      </w:r>
    </w:p>
    <w:p>
      <w:pPr>
        <w:pStyle w:val="Normal"/>
        <w:ind w:firstLine="225"/>
        <w:jc w:val="both"/>
        <w:rPr/>
      </w:pPr>
      <w:r>
        <w:rPr/>
      </w:r>
    </w:p>
    <w:p>
      <w:pPr>
        <w:pStyle w:val="Normal"/>
        <w:ind w:firstLine="270"/>
        <w:jc w:val="both"/>
        <w:rPr/>
      </w:pPr>
      <w:r>
        <w:rPr/>
        <w:t>6.43. Смешение реагентов с водой надлежит предусматривать в смесителях гидравлического типа (вихревых, перегородчатых). При обосновании допускается применение смесителей механического типа (мешалок).</w:t>
      </w:r>
    </w:p>
    <w:p>
      <w:pPr>
        <w:pStyle w:val="Normal"/>
        <w:ind w:firstLine="225"/>
        <w:jc w:val="both"/>
        <w:rPr/>
      </w:pPr>
      <w:r>
        <w:rPr/>
      </w:r>
    </w:p>
    <w:p>
      <w:pPr>
        <w:pStyle w:val="Normal"/>
        <w:ind w:firstLine="270"/>
        <w:jc w:val="both"/>
        <w:rPr/>
      </w:pPr>
      <w:r>
        <w:rPr/>
        <w:t>6.44. Число смесителей (секций) надлежит принимать не менее двух с возможностью отключения их в периоды интенсивного хлопьеобразования.</w:t>
      </w:r>
    </w:p>
    <w:p>
      <w:pPr>
        <w:pStyle w:val="Normal"/>
        <w:ind w:firstLine="225"/>
        <w:jc w:val="both"/>
        <w:rPr/>
      </w:pPr>
      <w:r>
        <w:rPr/>
      </w:r>
    </w:p>
    <w:p>
      <w:pPr>
        <w:pStyle w:val="Normal"/>
        <w:ind w:firstLine="270"/>
        <w:jc w:val="both"/>
        <w:rPr/>
      </w:pPr>
      <w:r>
        <w:rPr/>
        <w:t>Резервные смесители (секции) принимать не следует, но необходимо предусматривать обводной трубопровод в обход смесителей с размещением в нем резервных устройств ввода реагентов согласно п. 6.42.</w:t>
      </w:r>
    </w:p>
    <w:p>
      <w:pPr>
        <w:pStyle w:val="Normal"/>
        <w:ind w:firstLine="270"/>
        <w:jc w:val="both"/>
        <w:rPr/>
      </w:pPr>
      <w:r>
        <w:rPr/>
      </w:r>
    </w:p>
    <w:p>
      <w:pPr>
        <w:pStyle w:val="Normal"/>
        <w:ind w:firstLine="225"/>
        <w:jc w:val="both"/>
        <w:rPr/>
      </w:pPr>
      <w:r>
        <w:rPr/>
        <w:t>6.45. Вихревые смесители надлежит применять при поступлении на станцию воды с крупнодисперсными взвешенными веществами и при использовании реагентов в виде суспензий или частично осветленных растворов.</w:t>
      </w:r>
    </w:p>
    <w:p>
      <w:pPr>
        <w:pStyle w:val="Normal"/>
        <w:ind w:firstLine="225"/>
        <w:jc w:val="both"/>
        <w:rPr/>
      </w:pPr>
      <w:r>
        <w:rPr/>
      </w:r>
    </w:p>
    <w:p>
      <w:pPr>
        <w:pStyle w:val="Normal"/>
        <w:ind w:firstLine="270"/>
        <w:jc w:val="both"/>
        <w:rPr/>
      </w:pPr>
      <w:r>
        <w:rPr/>
        <w:t>Вихревые смесители следует принимать в виде конического или пирамидального вертикального диффузора с углом между наклонными стенками 30-45°, высотой верхней части с вертикальными стенками от 1 до 1,5 м, при скорости входа воды в смеситель от 1,2 до 1,5 м/с, скорости восходящего движения воды под водосборным устройством от 30 до 40 мм/с, скорости движения воды в конце водосборного лотка 0,6 м/с.</w:t>
      </w:r>
    </w:p>
    <w:p>
      <w:pPr>
        <w:pStyle w:val="Normal"/>
        <w:ind w:firstLine="225"/>
        <w:jc w:val="both"/>
        <w:rPr/>
      </w:pPr>
      <w:r>
        <w:rPr/>
      </w:r>
    </w:p>
    <w:p>
      <w:pPr>
        <w:pStyle w:val="Normal"/>
        <w:ind w:firstLine="270"/>
        <w:jc w:val="both"/>
        <w:rPr/>
      </w:pPr>
      <w:r>
        <w:rPr/>
        <w:t>6.46. Перегородчатые смесители надлежит принимать в виде каналов с перегородками, обеспечивающими горизонтальное или вертикальное движение воды с поворотами на 180°. Число поворотов следует принимать равным 9-10.</w:t>
      </w:r>
    </w:p>
    <w:p>
      <w:pPr>
        <w:pStyle w:val="Normal"/>
        <w:ind w:firstLine="270"/>
        <w:jc w:val="both"/>
        <w:rPr/>
      </w:pPr>
      <w:r>
        <w:rPr/>
      </w:r>
    </w:p>
    <w:p>
      <w:pPr>
        <w:pStyle w:val="Normal"/>
        <w:ind w:firstLine="225"/>
        <w:jc w:val="both"/>
        <w:rPr/>
      </w:pPr>
      <w:r>
        <w:rPr/>
        <w:t>6.47. Потерю напора h на одном повороте перегородчатого смесителя следует определять по формуле</w:t>
      </w:r>
    </w:p>
    <w:p>
      <w:pPr>
        <w:pStyle w:val="Normal"/>
        <w:ind w:firstLine="270"/>
        <w:jc w:val="both"/>
        <w:rPr/>
      </w:pPr>
      <w:r>
        <w:rPr/>
      </w:r>
    </w:p>
    <w:p>
      <w:pPr>
        <w:pStyle w:val="Normal"/>
        <w:ind w:firstLine="225"/>
        <w:jc w:val="both"/>
        <w:rPr/>
      </w:pPr>
      <w:r>
        <w:rPr/>
      </w:r>
    </w:p>
    <w:p>
      <w:pPr>
        <w:pStyle w:val="Normal"/>
        <w:ind w:firstLine="225"/>
        <w:jc w:val="both"/>
        <w:rPr/>
      </w:pPr>
      <w:r>
        <w:rPr/>
        <w:drawing>
          <wp:inline distT="0" distB="0" distL="0" distR="0">
            <wp:extent cx="3697605" cy="207645"/>
            <wp:effectExtent l="0" t="0" r="0" b="0"/>
            <wp:docPr id="41" name="Изображение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title=""/>
                    <pic:cNvPicPr>
                      <a:picLocks noChangeAspect="1" noChangeArrowheads="1"/>
                    </pic:cNvPicPr>
                  </pic:nvPicPr>
                  <pic:blipFill>
                    <a:blip r:embed="rId42"/>
                    <a:stretch>
                      <a:fillRect/>
                    </a:stretch>
                  </pic:blipFill>
                  <pic:spPr bwMode="auto">
                    <a:xfrm>
                      <a:off x="0" y="0"/>
                      <a:ext cx="3697605" cy="207645"/>
                    </a:xfrm>
                    <a:prstGeom prst="rect">
                      <a:avLst/>
                    </a:prstGeom>
                  </pic:spPr>
                </pic:pic>
              </a:graphicData>
            </a:graphic>
          </wp:inline>
        </w:drawing>
      </w:r>
    </w:p>
    <w:p>
      <w:pPr>
        <w:pStyle w:val="Normal"/>
        <w:ind w:firstLine="225"/>
        <w:jc w:val="both"/>
        <w:rPr/>
      </w:pPr>
      <w:r>
        <w:rPr/>
      </w:r>
    </w:p>
    <w:tbl>
      <w:tblPr>
        <w:tblW w:w="8970" w:type="dxa"/>
        <w:jc w:val="start"/>
        <w:tblInd w:w="165" w:type="dxa"/>
        <w:tblBorders/>
        <w:tblCellMar>
          <w:top w:w="0" w:type="dxa"/>
          <w:start w:w="15" w:type="dxa"/>
          <w:bottom w:w="0" w:type="dxa"/>
          <w:end w:w="15" w:type="dxa"/>
        </w:tblCellMar>
      </w:tblPr>
      <w:tblGrid>
        <w:gridCol w:w="450"/>
        <w:gridCol w:w="615"/>
        <w:gridCol w:w="7905"/>
      </w:tblGrid>
      <w:tr>
        <w:trPr/>
        <w:tc>
          <w:tcPr>
            <w:tcW w:w="450" w:type="dxa"/>
            <w:tcBorders/>
            <w:shd w:fill="auto" w:val="clear"/>
          </w:tcPr>
          <w:p>
            <w:pPr>
              <w:pStyle w:val="Normal"/>
              <w:rPr/>
            </w:pPr>
            <w:r>
              <w:rPr>
                <w:vanish/>
              </w:rPr>
              <w:t>#G0</w:t>
            </w:r>
            <w:r>
              <w:rPr/>
              <w:t xml:space="preserve">    где </w:t>
            </w:r>
          </w:p>
          <w:p>
            <w:pPr>
              <w:pStyle w:val="Normal"/>
              <w:rPr/>
            </w:pPr>
            <w:r>
              <w:rPr/>
            </w:r>
          </w:p>
        </w:tc>
        <w:tc>
          <w:tcPr>
            <w:tcW w:w="615" w:type="dxa"/>
            <w:tcBorders/>
            <w:shd w:fill="auto" w:val="clear"/>
          </w:tcPr>
          <w:p>
            <w:pPr>
              <w:pStyle w:val="Normal"/>
              <w:rPr/>
            </w:pPr>
            <w:r>
              <w:rPr/>
              <w:t xml:space="preserve">  </w:t>
            </w:r>
          </w:p>
          <w:p>
            <w:pPr>
              <w:pStyle w:val="Normal"/>
              <w:rPr/>
            </w:pPr>
            <w:r>
              <w:rPr/>
              <w:drawing>
                <wp:inline distT="0" distB="0" distL="0" distR="0">
                  <wp:extent cx="219075" cy="195580"/>
                  <wp:effectExtent l="0" t="0" r="0" b="0"/>
                  <wp:docPr id="42" name="Изображение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title=""/>
                          <pic:cNvPicPr>
                            <a:picLocks noChangeAspect="1" noChangeArrowheads="1"/>
                          </pic:cNvPicPr>
                        </pic:nvPicPr>
                        <pic:blipFill>
                          <a:blip r:embed="rId43"/>
                          <a:stretch>
                            <a:fillRect/>
                          </a:stretch>
                        </pic:blipFill>
                        <pic:spPr bwMode="auto">
                          <a:xfrm>
                            <a:off x="0" y="0"/>
                            <a:ext cx="219075" cy="195580"/>
                          </a:xfrm>
                          <a:prstGeom prst="rect">
                            <a:avLst/>
                          </a:prstGeom>
                        </pic:spPr>
                      </pic:pic>
                    </a:graphicData>
                  </a:graphic>
                </wp:inline>
              </w:drawing>
            </w:r>
          </w:p>
        </w:tc>
        <w:tc>
          <w:tcPr>
            <w:tcW w:w="7905" w:type="dxa"/>
            <w:tcBorders/>
            <w:shd w:fill="auto" w:val="clear"/>
          </w:tcPr>
          <w:p>
            <w:pPr>
              <w:pStyle w:val="Normal"/>
              <w:rPr/>
            </w:pPr>
            <w:r>
              <w:rPr/>
              <w:t xml:space="preserve">  </w:t>
            </w:r>
          </w:p>
          <w:p>
            <w:pPr>
              <w:pStyle w:val="Normal"/>
              <w:ind w:firstLine="45"/>
              <w:jc w:val="both"/>
              <w:rPr/>
            </w:pPr>
            <w:r>
              <w:rPr/>
              <w:t xml:space="preserve">коэффициент гидравлического сопротивления, принимаемый равным 2,9; </w:t>
            </w:r>
          </w:p>
          <w:p>
            <w:pPr>
              <w:pStyle w:val="Normal"/>
              <w:ind w:firstLine="45"/>
              <w:jc w:val="both"/>
              <w:rPr/>
            </w:pPr>
            <w:r>
              <w:rPr/>
            </w:r>
          </w:p>
        </w:tc>
      </w:tr>
      <w:tr>
        <w:trPr/>
        <w:tc>
          <w:tcPr>
            <w:tcW w:w="450" w:type="dxa"/>
            <w:tcBorders/>
            <w:shd w:fill="auto" w:val="clear"/>
          </w:tcPr>
          <w:p>
            <w:pPr>
              <w:pStyle w:val="Normal"/>
              <w:rPr/>
            </w:pPr>
            <w:r>
              <w:rPr/>
              <w:t xml:space="preserve">  </w:t>
            </w:r>
          </w:p>
          <w:p>
            <w:pPr>
              <w:pStyle w:val="Normal"/>
              <w:rPr/>
            </w:pPr>
            <w:r>
              <w:rPr/>
            </w:r>
          </w:p>
        </w:tc>
        <w:tc>
          <w:tcPr>
            <w:tcW w:w="615" w:type="dxa"/>
            <w:tcBorders/>
            <w:shd w:fill="auto" w:val="clear"/>
          </w:tcPr>
          <w:p>
            <w:pPr>
              <w:pStyle w:val="Normal"/>
              <w:rPr/>
            </w:pPr>
            <w:r>
              <w:rPr/>
              <w:t xml:space="preserve">  </w:t>
            </w:r>
          </w:p>
          <w:p>
            <w:pPr>
              <w:pStyle w:val="Normal"/>
              <w:rPr/>
            </w:pPr>
            <w:r>
              <w:rPr/>
              <w:drawing>
                <wp:inline distT="0" distB="0" distL="0" distR="0">
                  <wp:extent cx="264795" cy="207645"/>
                  <wp:effectExtent l="0" t="0" r="0" b="0"/>
                  <wp:docPr id="43" name="Изображение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title=""/>
                          <pic:cNvPicPr>
                            <a:picLocks noChangeAspect="1" noChangeArrowheads="1"/>
                          </pic:cNvPicPr>
                        </pic:nvPicPr>
                        <pic:blipFill>
                          <a:blip r:embed="rId44"/>
                          <a:stretch>
                            <a:fillRect/>
                          </a:stretch>
                        </pic:blipFill>
                        <pic:spPr bwMode="auto">
                          <a:xfrm>
                            <a:off x="0" y="0"/>
                            <a:ext cx="264795" cy="207645"/>
                          </a:xfrm>
                          <a:prstGeom prst="rect">
                            <a:avLst/>
                          </a:prstGeom>
                        </pic:spPr>
                      </pic:pic>
                    </a:graphicData>
                  </a:graphic>
                </wp:inline>
              </w:drawing>
            </w:r>
          </w:p>
        </w:tc>
        <w:tc>
          <w:tcPr>
            <w:tcW w:w="7905" w:type="dxa"/>
            <w:tcBorders/>
            <w:shd w:fill="auto" w:val="clear"/>
          </w:tcPr>
          <w:p>
            <w:pPr>
              <w:pStyle w:val="Normal"/>
              <w:rPr/>
            </w:pPr>
            <w:r>
              <w:rPr/>
              <w:t xml:space="preserve">  </w:t>
            </w:r>
          </w:p>
          <w:p>
            <w:pPr>
              <w:pStyle w:val="Normal"/>
              <w:ind w:firstLine="45"/>
              <w:jc w:val="both"/>
              <w:rPr/>
            </w:pPr>
            <w:r>
              <w:rPr/>
              <w:t xml:space="preserve">скорость движения воды в смесителе, принимаемая уменьшающейся от 0,7 до 0,5 м/с; </w:t>
            </w:r>
          </w:p>
          <w:p>
            <w:pPr>
              <w:pStyle w:val="Normal"/>
              <w:ind w:firstLine="45"/>
              <w:jc w:val="both"/>
              <w:rPr/>
            </w:pPr>
            <w:r>
              <w:rPr/>
            </w:r>
          </w:p>
        </w:tc>
      </w:tr>
      <w:tr>
        <w:trPr/>
        <w:tc>
          <w:tcPr>
            <w:tcW w:w="450" w:type="dxa"/>
            <w:tcBorders/>
            <w:shd w:fill="auto" w:val="clear"/>
          </w:tcPr>
          <w:p>
            <w:pPr>
              <w:pStyle w:val="Normal"/>
              <w:rPr/>
            </w:pPr>
            <w:r>
              <w:rPr/>
              <w:t xml:space="preserve">  </w:t>
            </w:r>
          </w:p>
          <w:p>
            <w:pPr>
              <w:pStyle w:val="Normal"/>
              <w:rPr/>
            </w:pPr>
            <w:r>
              <w:rPr/>
            </w:r>
          </w:p>
        </w:tc>
        <w:tc>
          <w:tcPr>
            <w:tcW w:w="615" w:type="dxa"/>
            <w:tcBorders/>
            <w:shd w:fill="auto" w:val="clear"/>
          </w:tcPr>
          <w:p>
            <w:pPr>
              <w:pStyle w:val="Normal"/>
              <w:rPr/>
            </w:pPr>
            <w:r>
              <w:rPr/>
              <w:t xml:space="preserve">  </w:t>
            </w:r>
          </w:p>
          <w:p>
            <w:pPr>
              <w:pStyle w:val="Normal"/>
              <w:rPr/>
            </w:pPr>
            <w:r>
              <w:rPr/>
              <w:drawing>
                <wp:inline distT="0" distB="0" distL="0" distR="0">
                  <wp:extent cx="230505" cy="149860"/>
                  <wp:effectExtent l="0" t="0" r="0" b="0"/>
                  <wp:docPr id="44" name="Изображение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title=""/>
                          <pic:cNvPicPr>
                            <a:picLocks noChangeAspect="1" noChangeArrowheads="1"/>
                          </pic:cNvPicPr>
                        </pic:nvPicPr>
                        <pic:blipFill>
                          <a:blip r:embed="rId45"/>
                          <a:stretch>
                            <a:fillRect/>
                          </a:stretch>
                        </pic:blipFill>
                        <pic:spPr bwMode="auto">
                          <a:xfrm>
                            <a:off x="0" y="0"/>
                            <a:ext cx="230505" cy="149860"/>
                          </a:xfrm>
                          <a:prstGeom prst="rect">
                            <a:avLst/>
                          </a:prstGeom>
                        </pic:spPr>
                      </pic:pic>
                    </a:graphicData>
                  </a:graphic>
                </wp:inline>
              </w:drawing>
            </w:r>
          </w:p>
        </w:tc>
        <w:tc>
          <w:tcPr>
            <w:tcW w:w="7905" w:type="dxa"/>
            <w:tcBorders/>
            <w:shd w:fill="auto" w:val="clear"/>
          </w:tcPr>
          <w:p>
            <w:pPr>
              <w:pStyle w:val="Normal"/>
              <w:rPr/>
            </w:pPr>
            <w:r>
              <w:rPr/>
              <w:t xml:space="preserve">  </w:t>
            </w:r>
          </w:p>
          <w:p>
            <w:pPr>
              <w:pStyle w:val="Normal"/>
              <w:ind w:firstLine="45"/>
              <w:jc w:val="both"/>
              <w:rPr/>
            </w:pPr>
            <w:r>
              <w:rPr/>
              <w:t>ускорение свободного падения, равное 9,8 м/с_2.</w:t>
            </w:r>
          </w:p>
          <w:p>
            <w:pPr>
              <w:pStyle w:val="Normal"/>
              <w:ind w:firstLine="45"/>
              <w:jc w:val="both"/>
              <w:rPr/>
            </w:pPr>
            <w:r>
              <w:rPr/>
            </w:r>
          </w:p>
        </w:tc>
      </w:tr>
    </w:tbl>
    <w:p>
      <w:pPr>
        <w:pStyle w:val="Normal"/>
        <w:ind w:firstLine="225"/>
        <w:jc w:val="both"/>
        <w:rPr/>
      </w:pPr>
      <w:r>
        <w:rPr/>
        <w:tab/>
        <w:tab/>
        <w:tab/>
      </w:r>
    </w:p>
    <w:p>
      <w:pPr>
        <w:pStyle w:val="Normal"/>
        <w:ind w:firstLine="45"/>
        <w:jc w:val="both"/>
        <w:rPr/>
      </w:pPr>
      <w:r>
        <w:rPr/>
      </w:r>
    </w:p>
    <w:p>
      <w:pPr>
        <w:pStyle w:val="Normal"/>
        <w:ind w:firstLine="270"/>
        <w:jc w:val="both"/>
        <w:rPr/>
      </w:pPr>
      <w:r>
        <w:rPr/>
        <w:t>6.48. Смесители должны оборудоваться переливными и спускными трубами. Следует предусматривать возможность уменьшения числа перегородок для сокращения времени пребывания воды в смесителях в периоды интенсивного хлопьеобразования.</w:t>
      </w:r>
    </w:p>
    <w:p>
      <w:pPr>
        <w:pStyle w:val="Normal"/>
        <w:ind w:firstLine="270"/>
        <w:jc w:val="both"/>
        <w:rPr/>
      </w:pPr>
      <w:r>
        <w:rPr/>
      </w:r>
    </w:p>
    <w:p>
      <w:pPr>
        <w:pStyle w:val="Normal"/>
        <w:ind w:firstLine="225"/>
        <w:jc w:val="both"/>
        <w:rPr/>
      </w:pPr>
      <w:r>
        <w:rPr/>
        <w:t>6.49. Скорость движения воды в трубопроводах или каналах от смесителей к камерам хлопьеобразования и осветлителям со взвешенным осадком следует принимать уменьшающейся от 1 до 0,6 м/с. При этом время пребывания воды в них должно быть не более 1,5 мин.</w:t>
      </w:r>
    </w:p>
    <w:p>
      <w:pPr>
        <w:pStyle w:val="Normal"/>
        <w:ind w:firstLine="270"/>
        <w:jc w:val="both"/>
        <w:rPr/>
      </w:pPr>
      <w:r>
        <w:rPr/>
      </w:r>
    </w:p>
    <w:p>
      <w:pPr>
        <w:pStyle w:val="Heading"/>
        <w:jc w:val="center"/>
        <w:rPr/>
      </w:pPr>
      <w:r>
        <w:rPr/>
      </w:r>
    </w:p>
    <w:p>
      <w:pPr>
        <w:pStyle w:val="Heading"/>
        <w:jc w:val="center"/>
        <w:rPr/>
      </w:pPr>
      <w:r>
        <w:rPr/>
        <w:t xml:space="preserve">Воздухоотделители </w:t>
      </w:r>
    </w:p>
    <w:p>
      <w:pPr>
        <w:pStyle w:val="Normal"/>
        <w:ind w:firstLine="270"/>
        <w:jc w:val="both"/>
        <w:rPr/>
      </w:pPr>
      <w:r>
        <w:rPr/>
      </w:r>
    </w:p>
    <w:p>
      <w:pPr>
        <w:pStyle w:val="Normal"/>
        <w:ind w:firstLine="270"/>
        <w:jc w:val="both"/>
        <w:rPr/>
      </w:pPr>
      <w:r>
        <w:rPr/>
      </w:r>
    </w:p>
    <w:p>
      <w:pPr>
        <w:pStyle w:val="Normal"/>
        <w:ind w:firstLine="270"/>
        <w:jc w:val="both"/>
        <w:rPr/>
      </w:pPr>
      <w:r>
        <w:rPr/>
        <w:t>6.50. Воздухоотделители следует предусматривать при применении отстойников с камерами хлопьеобразования со слоем взвешенного осадка, осветлителей со взвешенным осадком, контактных осветлителей и контактных префильтров.</w:t>
      </w:r>
    </w:p>
    <w:p>
      <w:pPr>
        <w:pStyle w:val="Normal"/>
        <w:ind w:firstLine="225"/>
        <w:jc w:val="both"/>
        <w:rPr/>
      </w:pPr>
      <w:r>
        <w:rPr/>
      </w:r>
    </w:p>
    <w:p>
      <w:pPr>
        <w:pStyle w:val="Normal"/>
        <w:ind w:firstLine="270"/>
        <w:jc w:val="both"/>
        <w:rPr/>
      </w:pPr>
      <w:r>
        <w:rPr/>
        <w:t xml:space="preserve">6.51. Площадь воздухоотделителя надлежит принимать из расчета скорости движения нисходящего потока воды не более 0,05 м/с и времени пребывания воды в нем не менее 1 мин. </w:t>
      </w:r>
    </w:p>
    <w:p>
      <w:pPr>
        <w:pStyle w:val="Normal"/>
        <w:ind w:firstLine="270"/>
        <w:jc w:val="both"/>
        <w:rPr/>
      </w:pPr>
      <w:r>
        <w:rPr/>
      </w:r>
    </w:p>
    <w:p>
      <w:pPr>
        <w:pStyle w:val="Normal"/>
        <w:ind w:firstLine="225"/>
        <w:jc w:val="both"/>
        <w:rPr/>
      </w:pPr>
      <w:r>
        <w:rPr/>
        <w:t>Воздухоотделители допускается предусматривать общими на все виды сооружения или для каждого сооружения отдельно.</w:t>
      </w:r>
    </w:p>
    <w:p>
      <w:pPr>
        <w:pStyle w:val="Normal"/>
        <w:ind w:firstLine="225"/>
        <w:jc w:val="both"/>
        <w:rPr/>
      </w:pPr>
      <w:r>
        <w:rPr/>
      </w:r>
    </w:p>
    <w:p>
      <w:pPr>
        <w:pStyle w:val="Normal"/>
        <w:ind w:firstLine="270"/>
        <w:jc w:val="both"/>
        <w:rPr/>
      </w:pPr>
      <w:r>
        <w:rPr/>
        <w:t>В тех случаях, когда конструкция смесителей сможет обеспечить выделение из воды пузырьков воздуха и на пути движения воды от смесителей к сооружениям обогащение воды воздухом исключается, воздухоотделители предусматривать не следует.</w:t>
      </w:r>
    </w:p>
    <w:p>
      <w:pPr>
        <w:pStyle w:val="Normal"/>
        <w:ind w:firstLine="270"/>
        <w:jc w:val="both"/>
        <w:rPr/>
      </w:pPr>
      <w:r>
        <w:rPr/>
      </w:r>
    </w:p>
    <w:p>
      <w:pPr>
        <w:pStyle w:val="Normal"/>
        <w:ind w:firstLine="225"/>
        <w:jc w:val="both"/>
        <w:rPr/>
      </w:pPr>
      <w:r>
        <w:rPr/>
      </w:r>
    </w:p>
    <w:p>
      <w:pPr>
        <w:pStyle w:val="Heading"/>
        <w:jc w:val="center"/>
        <w:rPr/>
      </w:pPr>
      <w:r>
        <w:rPr/>
        <w:t xml:space="preserve">Камеры хлопьеобразования </w:t>
      </w:r>
    </w:p>
    <w:p>
      <w:pPr>
        <w:pStyle w:val="Normal"/>
        <w:jc w:val="both"/>
        <w:rPr/>
      </w:pPr>
      <w:r>
        <w:rPr/>
      </w:r>
    </w:p>
    <w:p>
      <w:pPr>
        <w:pStyle w:val="Normal"/>
        <w:ind w:firstLine="495"/>
        <w:jc w:val="both"/>
        <w:rPr/>
      </w:pPr>
      <w:r>
        <w:rPr/>
      </w:r>
    </w:p>
    <w:p>
      <w:pPr>
        <w:pStyle w:val="Normal"/>
        <w:ind w:firstLine="270"/>
        <w:jc w:val="both"/>
        <w:rPr/>
      </w:pPr>
      <w:r>
        <w:rPr/>
        <w:t>6.52. В отстойниках надлежит предусматривать встроенные камеры хлопьеобразования гидравлического типа. При обосновании допускается применение камер хлопьеобразования механического типа.</w:t>
      </w:r>
    </w:p>
    <w:p>
      <w:pPr>
        <w:pStyle w:val="Normal"/>
        <w:ind w:firstLine="225"/>
        <w:jc w:val="both"/>
        <w:rPr/>
      </w:pPr>
      <w:r>
        <w:rPr/>
      </w:r>
    </w:p>
    <w:p>
      <w:pPr>
        <w:pStyle w:val="Normal"/>
        <w:ind w:firstLine="270"/>
        <w:jc w:val="both"/>
        <w:rPr/>
      </w:pPr>
      <w:r>
        <w:rPr/>
        <w:t>6.53. В горизонтальных отстойниках гидравлические камеры хлопьеобразования следует предусматривать перегородчатые, вихревые или со слоем взвешенного осадка.</w:t>
      </w:r>
    </w:p>
    <w:p>
      <w:pPr>
        <w:pStyle w:val="Normal"/>
        <w:ind w:firstLine="225"/>
        <w:jc w:val="both"/>
        <w:rPr/>
      </w:pPr>
      <w:r>
        <w:rPr/>
      </w:r>
    </w:p>
    <w:p>
      <w:pPr>
        <w:pStyle w:val="Normal"/>
        <w:ind w:firstLine="270"/>
        <w:jc w:val="both"/>
        <w:rPr/>
      </w:pPr>
      <w:r>
        <w:rPr/>
        <w:t>6.54. Перегородчатые камеры хлопьеобразования следует принимать с горизонтальным или вертикальным движением воды. Скорость движения воды в коридорах следует принимать 0,2-0,3 м/с в начале камеры и 0,05-0,1 м/с в конце камеры за счет увеличения ширины коридора.</w:t>
      </w:r>
    </w:p>
    <w:p>
      <w:pPr>
        <w:pStyle w:val="Normal"/>
        <w:ind w:firstLine="225"/>
        <w:jc w:val="both"/>
        <w:rPr/>
      </w:pPr>
      <w:r>
        <w:rPr/>
      </w:r>
    </w:p>
    <w:p>
      <w:pPr>
        <w:pStyle w:val="Normal"/>
        <w:ind w:firstLine="270"/>
        <w:jc w:val="both"/>
        <w:rPr/>
      </w:pPr>
      <w:r>
        <w:rPr/>
        <w:t>Время пребывания воды в камере хлопьеобразования следует принимать равным 20-30 мин (нижний предел  - для мутных вод, верхний - для цветных с низкой температурой зимой).</w:t>
      </w:r>
    </w:p>
    <w:p>
      <w:pPr>
        <w:pStyle w:val="Normal"/>
        <w:ind w:firstLine="225"/>
        <w:jc w:val="both"/>
        <w:rPr/>
      </w:pPr>
      <w:r>
        <w:rPr/>
      </w:r>
    </w:p>
    <w:p>
      <w:pPr>
        <w:pStyle w:val="Normal"/>
        <w:ind w:firstLine="270"/>
        <w:jc w:val="both"/>
        <w:rPr/>
      </w:pPr>
      <w:r>
        <w:rPr/>
        <w:t>Ширина коридора должна быть не менее 0,7 м. Число поворотов потока в перегородчатой камере следует принимать равным 8-10.</w:t>
      </w:r>
    </w:p>
    <w:p>
      <w:pPr>
        <w:pStyle w:val="Normal"/>
        <w:ind w:firstLine="225"/>
        <w:jc w:val="both"/>
        <w:rPr/>
      </w:pPr>
      <w:r>
        <w:rPr/>
      </w:r>
    </w:p>
    <w:p>
      <w:pPr>
        <w:pStyle w:val="Normal"/>
        <w:ind w:firstLine="270"/>
        <w:jc w:val="both"/>
        <w:rPr/>
      </w:pPr>
      <w:r>
        <w:rPr/>
        <w:t>Допускается применение двухэтажных камер.</w:t>
      </w:r>
    </w:p>
    <w:p>
      <w:pPr>
        <w:pStyle w:val="Normal"/>
        <w:ind w:firstLine="270"/>
        <w:jc w:val="both"/>
        <w:rPr/>
      </w:pPr>
      <w:r>
        <w:rPr/>
      </w:r>
    </w:p>
    <w:p>
      <w:pPr>
        <w:pStyle w:val="Normal"/>
        <w:ind w:firstLine="225"/>
        <w:jc w:val="both"/>
        <w:rPr/>
      </w:pPr>
      <w:r>
        <w:rPr/>
        <w:t>Потерю напора в камере следует определять согласно п. 6.47.</w:t>
      </w:r>
    </w:p>
    <w:p>
      <w:pPr>
        <w:pStyle w:val="Normal"/>
        <w:ind w:firstLine="225"/>
        <w:jc w:val="both"/>
        <w:rPr/>
      </w:pPr>
      <w:r>
        <w:rPr/>
      </w:r>
    </w:p>
    <w:p>
      <w:pPr>
        <w:pStyle w:val="Normal"/>
        <w:ind w:firstLine="270"/>
        <w:jc w:val="both"/>
        <w:rPr/>
      </w:pPr>
      <w:r>
        <w:rPr/>
        <w:t>6.55. Вихревые камеры хлопьеобразования следует проектировать с вертикальными или наклонными стенками (угол между стенками следует принимать в зависимости от высоты камеры в пределах 50-70 град.). Время пребывания воды в камере следует принимать равным 6-12 мин (нижний предел - для мутных вод, верхний предел - для цветных вод).</w:t>
      </w:r>
    </w:p>
    <w:p>
      <w:pPr>
        <w:pStyle w:val="Normal"/>
        <w:ind w:firstLine="225"/>
        <w:jc w:val="both"/>
        <w:rPr/>
      </w:pPr>
      <w:r>
        <w:rPr/>
      </w:r>
    </w:p>
    <w:p>
      <w:pPr>
        <w:pStyle w:val="Normal"/>
        <w:ind w:firstLine="270"/>
        <w:jc w:val="both"/>
        <w:rPr/>
      </w:pPr>
      <w:r>
        <w:rPr/>
        <w:t>Скорость входа воды в камеры следует принимать 0,7-1,2 м/с, скорость восходящего потока на выходе из камеры 4-5 мм/с.</w:t>
      </w:r>
    </w:p>
    <w:p>
      <w:pPr>
        <w:pStyle w:val="Normal"/>
        <w:ind w:firstLine="225"/>
        <w:jc w:val="both"/>
        <w:rPr/>
      </w:pPr>
      <w:r>
        <w:rPr/>
      </w:r>
    </w:p>
    <w:p>
      <w:pPr>
        <w:pStyle w:val="Normal"/>
        <w:ind w:firstLine="270"/>
        <w:jc w:val="both"/>
        <w:rPr/>
      </w:pPr>
      <w:r>
        <w:rPr/>
        <w:t>Отвод воды из камер хлопьеобразования в отстойники следует предусматривать при скорости движения воды в сборных лотках, трубах и отверстиях не более 0,1 м/с для мутных вод и 0,05 м/с для цветных вод.</w:t>
      </w:r>
    </w:p>
    <w:p>
      <w:pPr>
        <w:pStyle w:val="Normal"/>
        <w:ind w:firstLine="225"/>
        <w:jc w:val="both"/>
        <w:rPr/>
      </w:pPr>
      <w:r>
        <w:rPr/>
      </w:r>
    </w:p>
    <w:p>
      <w:pPr>
        <w:pStyle w:val="Normal"/>
        <w:ind w:firstLine="270"/>
        <w:jc w:val="both"/>
        <w:rPr/>
      </w:pPr>
      <w:r>
        <w:rPr/>
        <w:t>Потерю напора в камере следует определять согласно п. 6.47.</w:t>
      </w:r>
    </w:p>
    <w:p>
      <w:pPr>
        <w:pStyle w:val="Normal"/>
        <w:ind w:firstLine="225"/>
        <w:jc w:val="both"/>
        <w:rPr/>
      </w:pPr>
      <w:r>
        <w:rPr/>
      </w:r>
    </w:p>
    <w:p>
      <w:pPr>
        <w:pStyle w:val="Normal"/>
        <w:ind w:firstLine="270"/>
        <w:jc w:val="both"/>
        <w:rPr/>
      </w:pPr>
      <w:r>
        <w:rPr/>
        <w:t>6.56. Камеры хлопьеобразования со слоем взвешенного осадка с вертикальными перегородками надлежит применять для вод средней мутности и мутных вод. Восходящую скорость движения воды следует принимать 0,65 - 1,6 мм/с при осветлении вод средней мутности и 0,8-2,2 мм/с при осветлении мутных вод.</w:t>
      </w:r>
    </w:p>
    <w:p>
      <w:pPr>
        <w:pStyle w:val="Normal"/>
        <w:ind w:firstLine="270"/>
        <w:jc w:val="both"/>
        <w:rPr/>
      </w:pPr>
      <w:r>
        <w:rPr/>
      </w:r>
    </w:p>
    <w:p>
      <w:pPr>
        <w:pStyle w:val="Normal"/>
        <w:ind w:firstLine="225"/>
        <w:jc w:val="both"/>
        <w:rPr/>
      </w:pPr>
      <w:r>
        <w:rPr/>
        <w:t>При применении встроенных камер хлопьеобразования со слоем взвешенного осадка расчетную скорость осаждения взвеси в отстойнике при обработке мутных вод надлежит принимать на 20 %, при обработке вод средней мутности на 15 % более, чем указано в табл. 18.</w:t>
      </w:r>
    </w:p>
    <w:p>
      <w:pPr>
        <w:pStyle w:val="Normal"/>
        <w:ind w:firstLine="270"/>
        <w:jc w:val="both"/>
        <w:rPr/>
      </w:pPr>
      <w:r>
        <w:rPr/>
      </w:r>
    </w:p>
    <w:p>
      <w:pPr>
        <w:pStyle w:val="Normal"/>
        <w:jc w:val="end"/>
        <w:rPr/>
      </w:pPr>
      <w:r>
        <w:rPr/>
        <w:t xml:space="preserve">Таблица 18 </w:t>
      </w:r>
    </w:p>
    <w:p>
      <w:pPr>
        <w:pStyle w:val="Normal"/>
        <w:ind w:firstLine="270"/>
        <w:jc w:val="both"/>
        <w:rPr/>
      </w:pPr>
      <w:r>
        <w:rPr/>
      </w:r>
    </w:p>
    <w:p>
      <w:pPr>
        <w:pStyle w:val="Normal"/>
        <w:ind w:firstLine="270"/>
        <w:jc w:val="both"/>
        <w:rPr/>
      </w:pPr>
      <w:r>
        <w:rPr/>
      </w:r>
    </w:p>
    <w:tbl>
      <w:tblPr>
        <w:tblW w:w="6350" w:type="dxa"/>
        <w:jc w:val="start"/>
        <w:tblInd w:w="105" w:type="dxa"/>
        <w:tblBorders>
          <w:top w:val="single" w:sz="2" w:space="0" w:color="000000"/>
          <w:start w:val="single" w:sz="2" w:space="0" w:color="000000"/>
          <w:bottom w:val="single" w:sz="2" w:space="0" w:color="000000"/>
          <w:insideH w:val="single" w:sz="2" w:space="0" w:color="000000"/>
        </w:tblBorders>
        <w:tblCellMar>
          <w:top w:w="0" w:type="dxa"/>
          <w:start w:w="102" w:type="dxa"/>
          <w:bottom w:w="0" w:type="dxa"/>
          <w:end w:w="105" w:type="dxa"/>
        </w:tblCellMar>
      </w:tblPr>
      <w:tblGrid>
        <w:gridCol w:w="4080"/>
        <w:gridCol w:w="2270"/>
      </w:tblGrid>
      <w:tr>
        <w:trPr/>
        <w:tc>
          <w:tcPr>
            <w:tcW w:w="408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vanish/>
              </w:rPr>
              <w:t>#G0</w:t>
            </w:r>
            <w:r>
              <w:rPr/>
              <w:t>Характеристика обрабатываемой</w:t>
            </w:r>
          </w:p>
          <w:p>
            <w:pPr>
              <w:pStyle w:val="Normal"/>
              <w:jc w:val="center"/>
              <w:rPr/>
            </w:pPr>
            <w:r>
              <w:rPr/>
              <w:t xml:space="preserve">воды и способ обработки </w:t>
            </w:r>
          </w:p>
          <w:p>
            <w:pPr>
              <w:pStyle w:val="Normal"/>
              <w:jc w:val="center"/>
              <w:rPr/>
            </w:pPr>
            <w:r>
              <w:rPr/>
            </w:r>
          </w:p>
        </w:tc>
        <w:tc>
          <w:tcPr>
            <w:tcW w:w="227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Скорость выпадения взвеси u(0), задерживаемой отстойниками, мм/с </w:t>
            </w:r>
          </w:p>
          <w:p>
            <w:pPr>
              <w:pStyle w:val="Normal"/>
              <w:rPr/>
            </w:pPr>
            <w:r>
              <w:rPr/>
            </w:r>
          </w:p>
        </w:tc>
      </w:tr>
      <w:tr>
        <w:trPr/>
        <w:tc>
          <w:tcPr>
            <w:tcW w:w="4080" w:type="dxa"/>
            <w:tcBorders>
              <w:start w:val="single" w:sz="2" w:space="0" w:color="000000"/>
            </w:tcBorders>
            <w:shd w:fill="auto" w:val="clear"/>
            <w:tcMar>
              <w:start w:w="102" w:type="dxa"/>
            </w:tcMar>
          </w:tcPr>
          <w:p>
            <w:pPr>
              <w:pStyle w:val="Normal"/>
              <w:jc w:val="both"/>
              <w:rPr/>
            </w:pPr>
            <w:r>
              <w:rPr/>
              <w:t xml:space="preserve">Маломутные цветные воды, обрабатываемые коагулянтом </w:t>
            </w:r>
          </w:p>
          <w:p>
            <w:pPr>
              <w:pStyle w:val="Normal"/>
              <w:jc w:val="both"/>
              <w:rPr/>
            </w:pPr>
            <w:r>
              <w:rPr/>
            </w:r>
          </w:p>
        </w:tc>
        <w:tc>
          <w:tcPr>
            <w:tcW w:w="2270"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t xml:space="preserve">0,35 -  0,45 </w:t>
            </w:r>
          </w:p>
          <w:p>
            <w:pPr>
              <w:pStyle w:val="Normal"/>
              <w:jc w:val="center"/>
              <w:rPr/>
            </w:pPr>
            <w:r>
              <w:rPr/>
            </w:r>
          </w:p>
        </w:tc>
      </w:tr>
      <w:tr>
        <w:trPr/>
        <w:tc>
          <w:tcPr>
            <w:tcW w:w="4080" w:type="dxa"/>
            <w:tcBorders>
              <w:start w:val="single" w:sz="2" w:space="0" w:color="000000"/>
            </w:tcBorders>
            <w:shd w:fill="auto" w:val="clear"/>
            <w:tcMar>
              <w:start w:w="102" w:type="dxa"/>
            </w:tcMar>
          </w:tcPr>
          <w:p>
            <w:pPr>
              <w:pStyle w:val="Normal"/>
              <w:jc w:val="both"/>
              <w:rPr/>
            </w:pPr>
            <w:r>
              <w:rPr/>
              <w:t xml:space="preserve">Воды средней мутности, обрабатываемые коагулянтом </w:t>
            </w:r>
          </w:p>
          <w:p>
            <w:pPr>
              <w:pStyle w:val="Normal"/>
              <w:jc w:val="both"/>
              <w:rPr/>
            </w:pPr>
            <w:r>
              <w:rPr/>
            </w:r>
          </w:p>
        </w:tc>
        <w:tc>
          <w:tcPr>
            <w:tcW w:w="2270"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t xml:space="preserve">0,45  - 0,5 </w:t>
            </w:r>
          </w:p>
          <w:p>
            <w:pPr>
              <w:pStyle w:val="Normal"/>
              <w:jc w:val="center"/>
              <w:rPr/>
            </w:pPr>
            <w:r>
              <w:rPr/>
            </w:r>
          </w:p>
        </w:tc>
      </w:tr>
      <w:tr>
        <w:trPr/>
        <w:tc>
          <w:tcPr>
            <w:tcW w:w="4080" w:type="dxa"/>
            <w:tcBorders>
              <w:start w:val="single" w:sz="2" w:space="0" w:color="000000"/>
            </w:tcBorders>
            <w:shd w:fill="auto" w:val="clear"/>
            <w:tcMar>
              <w:start w:w="102" w:type="dxa"/>
            </w:tcMar>
          </w:tcPr>
          <w:p>
            <w:pPr>
              <w:pStyle w:val="Normal"/>
              <w:jc w:val="both"/>
              <w:rPr/>
            </w:pPr>
            <w:r>
              <w:rPr/>
              <w:t xml:space="preserve">Мутные воды, обрабатываемые: </w:t>
            </w:r>
          </w:p>
          <w:p>
            <w:pPr>
              <w:pStyle w:val="Normal"/>
              <w:ind w:firstLine="225"/>
              <w:jc w:val="both"/>
              <w:rPr/>
            </w:pPr>
            <w:r>
              <w:rPr/>
              <w:t xml:space="preserve">коагулянтом     </w:t>
            </w:r>
          </w:p>
          <w:p>
            <w:pPr>
              <w:pStyle w:val="Normal"/>
              <w:ind w:firstLine="225"/>
              <w:jc w:val="both"/>
              <w:rPr/>
            </w:pPr>
            <w:r>
              <w:rPr/>
            </w:r>
          </w:p>
        </w:tc>
        <w:tc>
          <w:tcPr>
            <w:tcW w:w="2270" w:type="dxa"/>
            <w:tcBorders>
              <w:start w:val="single" w:sz="2" w:space="0" w:color="000000"/>
              <w:end w:val="single" w:sz="2" w:space="0" w:color="000000"/>
              <w:insideV w:val="single" w:sz="2" w:space="0" w:color="000000"/>
            </w:tcBorders>
            <w:shd w:fill="auto" w:val="clear"/>
            <w:tcMar>
              <w:start w:w="102" w:type="dxa"/>
            </w:tcMar>
          </w:tcPr>
          <w:p>
            <w:pPr>
              <w:pStyle w:val="Normal"/>
              <w:snapToGrid w:val="false"/>
              <w:jc w:val="center"/>
              <w:rPr/>
            </w:pPr>
            <w:r>
              <w:rPr/>
            </w:r>
          </w:p>
          <w:p>
            <w:pPr>
              <w:pStyle w:val="Normal"/>
              <w:jc w:val="center"/>
              <w:rPr/>
            </w:pPr>
            <w:r>
              <w:rPr/>
              <w:t xml:space="preserve">0,5  - 0,6 </w:t>
            </w:r>
          </w:p>
          <w:p>
            <w:pPr>
              <w:pStyle w:val="Normal"/>
              <w:jc w:val="center"/>
              <w:rPr/>
            </w:pPr>
            <w:r>
              <w:rPr/>
            </w:r>
          </w:p>
        </w:tc>
      </w:tr>
      <w:tr>
        <w:trPr/>
        <w:tc>
          <w:tcPr>
            <w:tcW w:w="4080" w:type="dxa"/>
            <w:tcBorders>
              <w:start w:val="single" w:sz="2" w:space="0" w:color="000000"/>
            </w:tcBorders>
            <w:shd w:fill="auto" w:val="clear"/>
            <w:tcMar>
              <w:start w:w="102" w:type="dxa"/>
            </w:tcMar>
          </w:tcPr>
          <w:p>
            <w:pPr>
              <w:pStyle w:val="Normal"/>
              <w:ind w:firstLine="225"/>
              <w:jc w:val="both"/>
              <w:rPr/>
            </w:pPr>
            <w:r>
              <w:rPr/>
              <w:t xml:space="preserve">флокулянтом </w:t>
            </w:r>
          </w:p>
          <w:p>
            <w:pPr>
              <w:pStyle w:val="Normal"/>
              <w:ind w:firstLine="225"/>
              <w:jc w:val="both"/>
              <w:rPr/>
            </w:pPr>
            <w:r>
              <w:rPr/>
            </w:r>
          </w:p>
        </w:tc>
        <w:tc>
          <w:tcPr>
            <w:tcW w:w="2270"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t xml:space="preserve">0,2  - 0,3 </w:t>
            </w:r>
          </w:p>
          <w:p>
            <w:pPr>
              <w:pStyle w:val="Normal"/>
              <w:jc w:val="center"/>
              <w:rPr/>
            </w:pPr>
            <w:r>
              <w:rPr/>
            </w:r>
          </w:p>
        </w:tc>
      </w:tr>
      <w:tr>
        <w:trPr/>
        <w:tc>
          <w:tcPr>
            <w:tcW w:w="4080" w:type="dxa"/>
            <w:tcBorders>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Мутные воды, не обрабатываемые коагулянтом </w:t>
            </w:r>
          </w:p>
          <w:p>
            <w:pPr>
              <w:pStyle w:val="Normal"/>
              <w:jc w:val="both"/>
              <w:rPr/>
            </w:pPr>
            <w:r>
              <w:rPr/>
            </w:r>
          </w:p>
        </w:tc>
        <w:tc>
          <w:tcPr>
            <w:tcW w:w="227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jc w:val="center"/>
              <w:rPr/>
            </w:pPr>
            <w:r>
              <w:rPr/>
              <w:t xml:space="preserve">0,08  - 0,15 </w:t>
            </w:r>
          </w:p>
          <w:p>
            <w:pPr>
              <w:pStyle w:val="Normal"/>
              <w:jc w:val="center"/>
              <w:rPr/>
            </w:pPr>
            <w:r>
              <w:rPr/>
            </w:r>
          </w:p>
        </w:tc>
      </w:tr>
    </w:tbl>
    <w:p>
      <w:pPr>
        <w:pStyle w:val="Normal"/>
        <w:jc w:val="both"/>
        <w:rPr/>
      </w:pPr>
      <w:r>
        <w:rPr/>
      </w:r>
    </w:p>
    <w:p>
      <w:pPr>
        <w:pStyle w:val="Normal"/>
        <w:ind w:firstLine="270"/>
        <w:jc w:val="both"/>
        <w:rPr/>
      </w:pPr>
      <w:r>
        <w:rPr/>
        <w:t>Примечания: 1. В случае применения флокулянтов при коагулировании воды скорости выпадения взвеси следует увеличивать на 15-20%.</w:t>
      </w:r>
    </w:p>
    <w:p>
      <w:pPr>
        <w:pStyle w:val="Normal"/>
        <w:ind w:firstLine="270"/>
        <w:jc w:val="both"/>
        <w:rPr/>
      </w:pPr>
      <w:r>
        <w:rPr/>
      </w:r>
    </w:p>
    <w:p>
      <w:pPr>
        <w:pStyle w:val="Normal"/>
        <w:ind w:firstLine="225"/>
        <w:jc w:val="both"/>
        <w:rPr/>
      </w:pPr>
      <w:r>
        <w:rPr/>
        <w:t>2. Нижние пределы u(0) указаны для хозяйственно-питьевых водопроводов.</w:t>
      </w:r>
    </w:p>
    <w:p>
      <w:pPr>
        <w:pStyle w:val="Normal"/>
        <w:ind w:firstLine="270"/>
        <w:jc w:val="both"/>
        <w:rPr/>
      </w:pPr>
      <w:r>
        <w:rPr/>
      </w:r>
    </w:p>
    <w:p>
      <w:pPr>
        <w:pStyle w:val="Normal"/>
        <w:ind w:firstLine="270"/>
        <w:jc w:val="both"/>
        <w:rPr/>
      </w:pPr>
      <w:r>
        <w:rPr/>
        <w:t>6.57. Распределение воды по площади камеры хлопьеобразования со взвешенным осадком следует предусматривать с помощью напорных перфорированных труб с отверстиями, направленными вниз под углом 45 град. Расстояние между перфорированными трубами следует принимать 2 м, от стенки камеры - 1 м.</w:t>
      </w:r>
    </w:p>
    <w:p>
      <w:pPr>
        <w:pStyle w:val="Normal"/>
        <w:ind w:firstLine="225"/>
        <w:jc w:val="both"/>
        <w:rPr/>
      </w:pPr>
      <w:r>
        <w:rPr/>
      </w:r>
    </w:p>
    <w:p>
      <w:pPr>
        <w:pStyle w:val="Normal"/>
        <w:ind w:firstLine="270"/>
        <w:jc w:val="both"/>
        <w:rPr/>
      </w:pPr>
      <w:r>
        <w:rPr/>
        <w:t>Потери напора в перфорированных распределительных трубах надлежит определять согласно п. 6.86.</w:t>
      </w:r>
    </w:p>
    <w:p>
      <w:pPr>
        <w:pStyle w:val="Normal"/>
        <w:ind w:firstLine="225"/>
        <w:jc w:val="both"/>
        <w:rPr/>
      </w:pPr>
      <w:r>
        <w:rPr/>
      </w:r>
    </w:p>
    <w:p>
      <w:pPr>
        <w:pStyle w:val="Normal"/>
        <w:ind w:firstLine="270"/>
        <w:jc w:val="both"/>
        <w:rPr/>
      </w:pPr>
      <w:r>
        <w:rPr/>
        <w:t>Скорость движения воды в начале распределительных труб следует принимать 0,5 - 0,6 м/с, площадь отверстий 30-40 % площади сечения распределительной трубы, диаметр отверстий - не менее 25 мм.</w:t>
      </w:r>
    </w:p>
    <w:p>
      <w:pPr>
        <w:pStyle w:val="Normal"/>
        <w:ind w:firstLine="225"/>
        <w:jc w:val="both"/>
        <w:rPr/>
      </w:pPr>
      <w:r>
        <w:rPr/>
      </w:r>
    </w:p>
    <w:p>
      <w:pPr>
        <w:pStyle w:val="Normal"/>
        <w:ind w:firstLine="270"/>
        <w:jc w:val="both"/>
        <w:rPr/>
      </w:pPr>
      <w:r>
        <w:rPr/>
        <w:t>6.58. Отвод воды из камер хлопьеобразования в отстойники надлежит предусматривать при скорости движения воды не более 0,1 м/с для мутных вод и 0,05 м/с для цветных вод. На входе воды в отстойник следует устанавливать подвесную перегородку, погруженную на 1/4 высоты отстойника. Скорость движения воды между стенкой и перегородкой должна быть не более 0,03 м/с.</w:t>
      </w:r>
    </w:p>
    <w:p>
      <w:pPr>
        <w:pStyle w:val="Normal"/>
        <w:ind w:firstLine="270"/>
        <w:jc w:val="both"/>
        <w:rPr/>
      </w:pPr>
      <w:r>
        <w:rPr/>
      </w:r>
    </w:p>
    <w:p>
      <w:pPr>
        <w:pStyle w:val="Normal"/>
        <w:ind w:firstLine="225"/>
        <w:jc w:val="both"/>
        <w:rPr/>
      </w:pPr>
      <w:r>
        <w:rPr/>
        <w:t>6.59. В вертикальных отстойниках следует предусматривать гидравлическую камеру хлопьеобразования водоворотного типа, располагаемую в центре отстойника. Воду надлежит подавать в камеру хлопьеобразования через сопла, направленные по касательной. В нижней части камеры должны предусматриваться решетки с ячейками размером 0,5х0,5 м, высотой 0,8 м.</w:t>
      </w:r>
    </w:p>
    <w:p>
      <w:pPr>
        <w:pStyle w:val="Normal"/>
        <w:ind w:firstLine="225"/>
        <w:jc w:val="both"/>
        <w:rPr/>
      </w:pPr>
      <w:r>
        <w:rPr/>
      </w:r>
    </w:p>
    <w:p>
      <w:pPr>
        <w:pStyle w:val="Normal"/>
        <w:ind w:firstLine="270"/>
        <w:jc w:val="both"/>
        <w:rPr/>
      </w:pPr>
      <w:r>
        <w:rPr/>
        <w:t xml:space="preserve">Потерю напора в сопле следует определять по формуле (8) п. 6.47, принимая скорость движения </w:t>
      </w:r>
    </w:p>
    <w:tbl>
      <w:tblPr>
        <w:tblW w:w="8730" w:type="dxa"/>
        <w:jc w:val="start"/>
        <w:tblInd w:w="15" w:type="dxa"/>
        <w:tblBorders/>
        <w:tblCellMar>
          <w:top w:w="0" w:type="dxa"/>
          <w:start w:w="15" w:type="dxa"/>
          <w:bottom w:w="0" w:type="dxa"/>
          <w:end w:w="15" w:type="dxa"/>
        </w:tblCellMar>
      </w:tblPr>
      <w:tblGrid>
        <w:gridCol w:w="4185"/>
        <w:gridCol w:w="285"/>
        <w:gridCol w:w="465"/>
        <w:gridCol w:w="1725"/>
        <w:gridCol w:w="150"/>
        <w:gridCol w:w="120"/>
        <w:gridCol w:w="360"/>
        <w:gridCol w:w="105"/>
        <w:gridCol w:w="120"/>
        <w:gridCol w:w="330"/>
        <w:gridCol w:w="75"/>
        <w:gridCol w:w="810"/>
      </w:tblGrid>
      <w:tr>
        <w:trPr/>
        <w:tc>
          <w:tcPr>
            <w:tcW w:w="7395" w:type="dxa"/>
            <w:gridSpan w:val="8"/>
            <w:tcBorders/>
            <w:shd w:fill="auto" w:val="clear"/>
          </w:tcPr>
          <w:p>
            <w:pPr>
              <w:pStyle w:val="Normal"/>
              <w:rPr/>
            </w:pPr>
            <w:r>
              <w:rPr>
                <w:vanish/>
              </w:rPr>
              <w:t>#G0</w:t>
            </w:r>
            <w:r>
              <w:rPr/>
              <w:t xml:space="preserve">воды при выходе из сопла 2-3 м/с и коэффициент гидравлического сопротивления </w:t>
            </w:r>
          </w:p>
          <w:p>
            <w:pPr>
              <w:pStyle w:val="Normal"/>
              <w:rPr/>
            </w:pPr>
            <w:r>
              <w:rPr/>
            </w:r>
          </w:p>
        </w:tc>
        <w:tc>
          <w:tcPr>
            <w:tcW w:w="450" w:type="dxa"/>
            <w:gridSpan w:val="2"/>
            <w:tcBorders/>
            <w:shd w:fill="auto" w:val="clear"/>
          </w:tcPr>
          <w:p>
            <w:pPr>
              <w:pStyle w:val="Normal"/>
              <w:rPr/>
            </w:pPr>
            <w:r>
              <w:rPr/>
              <w:drawing>
                <wp:inline distT="0" distB="0" distL="0" distR="0">
                  <wp:extent cx="114935" cy="195580"/>
                  <wp:effectExtent l="0" t="0" r="0" b="0"/>
                  <wp:docPr id="45" name="Изображение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title=""/>
                          <pic:cNvPicPr>
                            <a:picLocks noChangeAspect="1" noChangeArrowheads="1"/>
                          </pic:cNvPicPr>
                        </pic:nvPicPr>
                        <pic:blipFill>
                          <a:blip r:embed="rId46"/>
                          <a:stretch>
                            <a:fillRect/>
                          </a:stretch>
                        </pic:blipFill>
                        <pic:spPr bwMode="auto">
                          <a:xfrm>
                            <a:off x="0" y="0"/>
                            <a:ext cx="114935" cy="195580"/>
                          </a:xfrm>
                          <a:prstGeom prst="rect">
                            <a:avLst/>
                          </a:prstGeom>
                        </pic:spPr>
                      </pic:pic>
                    </a:graphicData>
                  </a:graphic>
                </wp:inline>
              </w:drawing>
            </w:r>
          </w:p>
        </w:tc>
        <w:tc>
          <w:tcPr>
            <w:tcW w:w="885" w:type="dxa"/>
            <w:gridSpan w:val="2"/>
            <w:tcBorders/>
            <w:shd w:fill="auto" w:val="clear"/>
          </w:tcPr>
          <w:p>
            <w:pPr>
              <w:pStyle w:val="Normal"/>
              <w:rPr/>
            </w:pPr>
            <w:r>
              <w:rPr/>
              <w:t xml:space="preserve"> </w:t>
            </w:r>
            <w:r>
              <w:rPr/>
              <w:t>= 1,18.</w:t>
            </w:r>
          </w:p>
          <w:p>
            <w:pPr>
              <w:pStyle w:val="Normal"/>
              <w:rPr/>
            </w:pPr>
            <w:r>
              <w:rPr/>
            </w:r>
          </w:p>
        </w:tc>
      </w:tr>
      <w:tr>
        <w:trPr/>
        <w:tc>
          <w:tcPr>
            <w:tcW w:w="4185" w:type="dxa"/>
            <w:tcBorders/>
            <w:shd w:fill="auto" w:val="clear"/>
          </w:tcPr>
          <w:p>
            <w:pPr>
              <w:pStyle w:val="Normal"/>
              <w:rPr/>
            </w:pPr>
            <w:r>
              <w:rPr/>
              <w:t xml:space="preserve">      </w:t>
            </w:r>
            <w:r>
              <w:rPr/>
              <w:t xml:space="preserve">Сопло надлежит располагать на расстоянии </w:t>
            </w:r>
          </w:p>
          <w:p>
            <w:pPr>
              <w:pStyle w:val="Normal"/>
              <w:rPr/>
            </w:pPr>
            <w:r>
              <w:rPr/>
            </w:r>
          </w:p>
        </w:tc>
        <w:tc>
          <w:tcPr>
            <w:tcW w:w="285" w:type="dxa"/>
            <w:tcBorders/>
            <w:shd w:fill="auto" w:val="clear"/>
          </w:tcPr>
          <w:p>
            <w:pPr>
              <w:pStyle w:val="Normal"/>
              <w:rPr/>
            </w:pPr>
            <w:r>
              <w:rPr/>
              <w:t xml:space="preserve">0,2  </w:t>
            </w:r>
          </w:p>
          <w:p>
            <w:pPr>
              <w:pStyle w:val="Normal"/>
              <w:rPr/>
            </w:pPr>
            <w:r>
              <w:rPr/>
            </w:r>
          </w:p>
        </w:tc>
        <w:tc>
          <w:tcPr>
            <w:tcW w:w="465" w:type="dxa"/>
            <w:tcBorders/>
            <w:shd w:fill="auto" w:val="clear"/>
          </w:tcPr>
          <w:p>
            <w:pPr>
              <w:pStyle w:val="Normal"/>
              <w:rPr/>
            </w:pPr>
            <w:r>
              <w:rPr/>
              <w:drawing>
                <wp:inline distT="0" distB="0" distL="0" distR="0">
                  <wp:extent cx="161290" cy="184150"/>
                  <wp:effectExtent l="0" t="0" r="0" b="0"/>
                  <wp:docPr id="46" name="Изображение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title=""/>
                          <pic:cNvPicPr>
                            <a:picLocks noChangeAspect="1" noChangeArrowheads="1"/>
                          </pic:cNvPicPr>
                        </pic:nvPicPr>
                        <pic:blipFill>
                          <a:blip r:embed="rId47"/>
                          <a:stretch>
                            <a:fillRect/>
                          </a:stretch>
                        </pic:blipFill>
                        <pic:spPr bwMode="auto">
                          <a:xfrm>
                            <a:off x="0" y="0"/>
                            <a:ext cx="161290" cy="184150"/>
                          </a:xfrm>
                          <a:prstGeom prst="rect">
                            <a:avLst/>
                          </a:prstGeom>
                        </pic:spPr>
                      </pic:pic>
                    </a:graphicData>
                  </a:graphic>
                </wp:inline>
              </w:drawing>
            </w:r>
          </w:p>
        </w:tc>
        <w:tc>
          <w:tcPr>
            <w:tcW w:w="1725" w:type="dxa"/>
            <w:tcBorders/>
            <w:shd w:fill="auto" w:val="clear"/>
          </w:tcPr>
          <w:p>
            <w:pPr>
              <w:pStyle w:val="Normal"/>
              <w:rPr/>
            </w:pPr>
            <w:r>
              <w:rPr/>
              <w:t xml:space="preserve"> </w:t>
            </w:r>
            <w:r>
              <w:rPr/>
              <w:t xml:space="preserve">от стенки камеры </w:t>
            </w:r>
          </w:p>
          <w:p>
            <w:pPr>
              <w:pStyle w:val="Normal"/>
              <w:rPr/>
            </w:pPr>
            <w:r>
              <w:rPr/>
            </w:r>
          </w:p>
        </w:tc>
        <w:tc>
          <w:tcPr>
            <w:tcW w:w="150" w:type="dxa"/>
            <w:tcBorders/>
            <w:shd w:fill="auto" w:val="clear"/>
          </w:tcPr>
          <w:p>
            <w:pPr>
              <w:pStyle w:val="Normal"/>
              <w:rPr/>
            </w:pPr>
            <w:r>
              <w:rPr/>
              <w:t>(</w:t>
            </w:r>
          </w:p>
          <w:p>
            <w:pPr>
              <w:pStyle w:val="Normal"/>
              <w:rPr/>
            </w:pPr>
            <w:r>
              <w:rPr/>
            </w:r>
          </w:p>
        </w:tc>
        <w:tc>
          <w:tcPr>
            <w:tcW w:w="480" w:type="dxa"/>
            <w:gridSpan w:val="2"/>
            <w:tcBorders/>
            <w:shd w:fill="auto" w:val="clear"/>
          </w:tcPr>
          <w:p>
            <w:pPr>
              <w:pStyle w:val="Normal"/>
              <w:rPr/>
            </w:pPr>
            <w:r>
              <w:rPr/>
              <w:drawing>
                <wp:inline distT="0" distB="0" distL="0" distR="0">
                  <wp:extent cx="161290" cy="184150"/>
                  <wp:effectExtent l="0" t="0" r="0" b="0"/>
                  <wp:docPr id="47" name="Изображение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descr="" title=""/>
                          <pic:cNvPicPr>
                            <a:picLocks noChangeAspect="1" noChangeArrowheads="1"/>
                          </pic:cNvPicPr>
                        </pic:nvPicPr>
                        <pic:blipFill>
                          <a:blip r:embed="rId48"/>
                          <a:stretch>
                            <a:fillRect/>
                          </a:stretch>
                        </pic:blipFill>
                        <pic:spPr bwMode="auto">
                          <a:xfrm>
                            <a:off x="0" y="0"/>
                            <a:ext cx="161290" cy="184150"/>
                          </a:xfrm>
                          <a:prstGeom prst="rect">
                            <a:avLst/>
                          </a:prstGeom>
                        </pic:spPr>
                      </pic:pic>
                    </a:graphicData>
                  </a:graphic>
                </wp:inline>
              </w:drawing>
            </w:r>
          </w:p>
        </w:tc>
        <w:tc>
          <w:tcPr>
            <w:tcW w:w="630" w:type="dxa"/>
            <w:gridSpan w:val="4"/>
            <w:tcBorders/>
            <w:shd w:fill="auto" w:val="clear"/>
          </w:tcPr>
          <w:p>
            <w:pPr>
              <w:pStyle w:val="Normal"/>
              <w:rPr/>
            </w:pPr>
            <w:r>
              <w:rPr/>
              <w:t xml:space="preserve">  </w:t>
            </w:r>
            <w:r>
              <w:rPr/>
              <w:t>-</w:t>
            </w:r>
          </w:p>
          <w:p>
            <w:pPr>
              <w:pStyle w:val="Normal"/>
              <w:rPr/>
            </w:pPr>
            <w:r>
              <w:rPr/>
            </w:r>
          </w:p>
        </w:tc>
        <w:tc>
          <w:tcPr>
            <w:tcW w:w="810" w:type="dxa"/>
            <w:tcBorders/>
            <w:shd w:fill="auto" w:val="clear"/>
            <w:tcMar>
              <w:start w:w="0" w:type="dxa"/>
              <w:end w:w="0" w:type="dxa"/>
            </w:tcMar>
          </w:tcPr>
          <w:p>
            <w:pPr>
              <w:pStyle w:val="Normal"/>
              <w:snapToGrid w:val="false"/>
              <w:rPr/>
            </w:pPr>
            <w:r>
              <w:rPr/>
            </w:r>
          </w:p>
        </w:tc>
      </w:tr>
      <w:tr>
        <w:trPr/>
        <w:tc>
          <w:tcPr>
            <w:tcW w:w="6930" w:type="dxa"/>
            <w:gridSpan w:val="6"/>
            <w:tcBorders/>
            <w:shd w:fill="auto" w:val="clear"/>
          </w:tcPr>
          <w:p>
            <w:pPr>
              <w:pStyle w:val="Normal"/>
              <w:rPr/>
            </w:pPr>
            <w:r>
              <w:rPr/>
              <w:t>диаметр камеры хлопьеобразования) на глубине 0,5 м от поверхности воды.</w:t>
            </w:r>
          </w:p>
          <w:p>
            <w:pPr>
              <w:pStyle w:val="Normal"/>
              <w:rPr/>
            </w:pPr>
            <w:r>
              <w:rPr/>
            </w:r>
          </w:p>
        </w:tc>
        <w:tc>
          <w:tcPr>
            <w:tcW w:w="585" w:type="dxa"/>
            <w:gridSpan w:val="3"/>
            <w:tcBorders/>
            <w:shd w:fill="auto" w:val="clear"/>
          </w:tcPr>
          <w:p>
            <w:pPr>
              <w:pStyle w:val="Normal"/>
              <w:rPr/>
            </w:pPr>
            <w:r>
              <w:rPr/>
              <w:t xml:space="preserve"> </w:t>
            </w:r>
          </w:p>
          <w:p>
            <w:pPr>
              <w:pStyle w:val="Normal"/>
              <w:rPr/>
            </w:pPr>
            <w:r>
              <w:rPr/>
            </w:r>
          </w:p>
        </w:tc>
        <w:tc>
          <w:tcPr>
            <w:tcW w:w="1215" w:type="dxa"/>
            <w:gridSpan w:val="3"/>
            <w:tcBorders/>
            <w:shd w:fill="auto" w:val="clear"/>
            <w:tcMar>
              <w:start w:w="0" w:type="dxa"/>
              <w:end w:w="0" w:type="dxa"/>
            </w:tcMar>
          </w:tcPr>
          <w:p>
            <w:pPr>
              <w:pStyle w:val="Normal"/>
              <w:snapToGrid w:val="false"/>
              <w:rPr/>
            </w:pPr>
            <w:r>
              <w:rPr/>
            </w:r>
          </w:p>
        </w:tc>
      </w:tr>
    </w:tbl>
    <w:p>
      <w:pPr>
        <w:pStyle w:val="Normal"/>
        <w:jc w:val="both"/>
        <w:rPr/>
      </w:pPr>
      <w:r>
        <w:rPr/>
      </w:r>
    </w:p>
    <w:p>
      <w:pPr>
        <w:pStyle w:val="Normal"/>
        <w:ind w:firstLine="225"/>
        <w:jc w:val="both"/>
        <w:rPr/>
      </w:pPr>
      <w:r>
        <w:rPr/>
        <w:t>6.60. Площадь камеры хлопьеобразования водоворотного типа следует определять из расчета времени пребывания воды в ней в течение 15 - 20 мин и высоты камеры, принимаемой 3,5-4 м.</w:t>
      </w:r>
    </w:p>
    <w:p>
      <w:pPr>
        <w:pStyle w:val="Normal"/>
        <w:ind w:firstLine="270"/>
        <w:jc w:val="both"/>
        <w:rPr/>
      </w:pPr>
      <w:r>
        <w:rPr/>
      </w:r>
    </w:p>
    <w:p>
      <w:pPr>
        <w:pStyle w:val="Normal"/>
        <w:ind w:firstLine="225"/>
        <w:jc w:val="both"/>
        <w:rPr/>
      </w:pPr>
      <w:r>
        <w:rPr/>
        <w:t>6.61. Над камерами хлопьеобразования необходимо предусматривать павильоны шириной не более 6 м.</w:t>
      </w:r>
    </w:p>
    <w:p>
      <w:pPr>
        <w:pStyle w:val="Normal"/>
        <w:ind w:firstLine="225"/>
        <w:jc w:val="both"/>
        <w:rPr/>
      </w:pPr>
      <w:r>
        <w:rPr/>
      </w:r>
    </w:p>
    <w:p>
      <w:pPr>
        <w:pStyle w:val="Normal"/>
        <w:ind w:firstLine="270"/>
        <w:jc w:val="both"/>
        <w:rPr/>
      </w:pPr>
      <w:r>
        <w:rPr/>
        <w:t>6.62. При количестве встроенных в отстойники камер хлопьеобразования менее шести следует предусматривать одну резервную (пп. 6.63, 6.68).</w:t>
      </w:r>
    </w:p>
    <w:p>
      <w:pPr>
        <w:pStyle w:val="Normal"/>
        <w:ind w:firstLine="225"/>
        <w:jc w:val="both"/>
        <w:rPr/>
      </w:pPr>
      <w:r>
        <w:rPr/>
      </w:r>
    </w:p>
    <w:p>
      <w:pPr>
        <w:pStyle w:val="Normal"/>
        <w:ind w:firstLine="270"/>
        <w:jc w:val="both"/>
        <w:rPr/>
      </w:pPr>
      <w:r>
        <w:rPr/>
      </w:r>
    </w:p>
    <w:p>
      <w:pPr>
        <w:pStyle w:val="Heading"/>
        <w:jc w:val="center"/>
        <w:rPr/>
      </w:pPr>
      <w:r>
        <w:rPr/>
        <w:t xml:space="preserve">Вертикальные отстойники </w:t>
      </w:r>
    </w:p>
    <w:p>
      <w:pPr>
        <w:pStyle w:val="Normal"/>
        <w:ind w:firstLine="270"/>
        <w:jc w:val="both"/>
        <w:rPr/>
      </w:pPr>
      <w:r>
        <w:rPr/>
      </w:r>
    </w:p>
    <w:tbl>
      <w:tblPr>
        <w:tblW w:w="8565" w:type="dxa"/>
        <w:jc w:val="start"/>
        <w:tblInd w:w="165" w:type="dxa"/>
        <w:tblBorders/>
        <w:tblCellMar>
          <w:top w:w="0" w:type="dxa"/>
          <w:start w:w="15" w:type="dxa"/>
          <w:bottom w:w="0" w:type="dxa"/>
          <w:end w:w="15" w:type="dxa"/>
        </w:tblCellMar>
      </w:tblPr>
      <w:tblGrid>
        <w:gridCol w:w="3000"/>
        <w:gridCol w:w="645"/>
        <w:gridCol w:w="525"/>
        <w:gridCol w:w="4395"/>
      </w:tblGrid>
      <w:tr>
        <w:trPr/>
        <w:tc>
          <w:tcPr>
            <w:tcW w:w="3000" w:type="dxa"/>
            <w:tcBorders/>
            <w:shd w:fill="auto" w:val="clear"/>
          </w:tcPr>
          <w:p>
            <w:pPr>
              <w:pStyle w:val="Normal"/>
              <w:rPr/>
            </w:pPr>
            <w:r>
              <w:rPr>
                <w:vanish/>
              </w:rPr>
              <w:t>#G0</w:t>
            </w:r>
            <w:r>
              <w:rPr/>
              <w:t xml:space="preserve">  </w:t>
            </w:r>
          </w:p>
          <w:p>
            <w:pPr>
              <w:pStyle w:val="Normal"/>
              <w:ind w:firstLine="45"/>
              <w:jc w:val="both"/>
              <w:rPr/>
            </w:pPr>
            <w:r>
              <w:rPr/>
              <w:t xml:space="preserve">6.63. Площадь зоны осаждения </w:t>
            </w:r>
          </w:p>
          <w:p>
            <w:pPr>
              <w:pStyle w:val="Normal"/>
              <w:ind w:firstLine="45"/>
              <w:jc w:val="both"/>
              <w:rPr/>
            </w:pPr>
            <w:r>
              <w:rPr/>
            </w:r>
          </w:p>
        </w:tc>
        <w:tc>
          <w:tcPr>
            <w:tcW w:w="645" w:type="dxa"/>
            <w:tcBorders/>
            <w:shd w:fill="auto" w:val="clear"/>
          </w:tcPr>
          <w:p>
            <w:pPr>
              <w:pStyle w:val="Normal"/>
              <w:rPr/>
            </w:pPr>
            <w:r>
              <w:rPr/>
              <w:t xml:space="preserve">  </w:t>
            </w:r>
          </w:p>
          <w:p>
            <w:pPr>
              <w:pStyle w:val="Normal"/>
              <w:rPr/>
            </w:pPr>
            <w:r>
              <w:rPr/>
              <w:drawing>
                <wp:inline distT="0" distB="0" distL="0" distR="0">
                  <wp:extent cx="276225" cy="184150"/>
                  <wp:effectExtent l="0" t="0" r="0" b="0"/>
                  <wp:docPr id="48" name="Изображение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descr="" title=""/>
                          <pic:cNvPicPr>
                            <a:picLocks noChangeAspect="1" noChangeArrowheads="1"/>
                          </pic:cNvPicPr>
                        </pic:nvPicPr>
                        <pic:blipFill>
                          <a:blip r:embed="rId49"/>
                          <a:stretch>
                            <a:fillRect/>
                          </a:stretch>
                        </pic:blipFill>
                        <pic:spPr bwMode="auto">
                          <a:xfrm>
                            <a:off x="0" y="0"/>
                            <a:ext cx="276225" cy="184150"/>
                          </a:xfrm>
                          <a:prstGeom prst="rect">
                            <a:avLst/>
                          </a:prstGeom>
                        </pic:spPr>
                      </pic:pic>
                    </a:graphicData>
                  </a:graphic>
                </wp:inline>
              </w:drawing>
            </w:r>
          </w:p>
        </w:tc>
        <w:tc>
          <w:tcPr>
            <w:tcW w:w="525" w:type="dxa"/>
            <w:tcBorders/>
            <w:shd w:fill="auto" w:val="clear"/>
          </w:tcPr>
          <w:p>
            <w:pPr>
              <w:pStyle w:val="Normal"/>
              <w:rPr/>
            </w:pPr>
            <w:r>
              <w:rPr/>
              <w:t xml:space="preserve">  </w:t>
            </w:r>
          </w:p>
          <w:p>
            <w:pPr>
              <w:pStyle w:val="Normal"/>
              <w:jc w:val="both"/>
              <w:rPr/>
            </w:pPr>
            <w:r>
              <w:rPr/>
              <w:t xml:space="preserve">кв.м,  </w:t>
            </w:r>
          </w:p>
          <w:p>
            <w:pPr>
              <w:pStyle w:val="Normal"/>
              <w:rPr/>
            </w:pPr>
            <w:r>
              <w:rPr/>
            </w:r>
          </w:p>
          <w:p>
            <w:pPr>
              <w:pStyle w:val="Normal"/>
              <w:rPr/>
            </w:pPr>
            <w:r>
              <w:rPr/>
            </w:r>
          </w:p>
        </w:tc>
        <w:tc>
          <w:tcPr>
            <w:tcW w:w="4395" w:type="dxa"/>
            <w:tcBorders/>
            <w:shd w:fill="auto" w:val="clear"/>
          </w:tcPr>
          <w:p>
            <w:pPr>
              <w:pStyle w:val="Normal"/>
              <w:rPr/>
            </w:pPr>
            <w:r>
              <w:rPr/>
              <w:t xml:space="preserve">  </w:t>
            </w:r>
          </w:p>
          <w:p>
            <w:pPr>
              <w:pStyle w:val="Normal"/>
              <w:jc w:val="both"/>
              <w:rPr/>
            </w:pPr>
            <w:r>
              <w:rPr/>
              <w:t xml:space="preserve">вертикального отстойника без установки в нем </w:t>
            </w:r>
          </w:p>
          <w:p>
            <w:pPr>
              <w:pStyle w:val="Normal"/>
              <w:jc w:val="both"/>
              <w:rPr/>
            </w:pPr>
            <w:r>
              <w:rPr/>
            </w:r>
          </w:p>
        </w:tc>
      </w:tr>
    </w:tbl>
    <w:p>
      <w:pPr>
        <w:pStyle w:val="Normal"/>
        <w:ind w:firstLine="270"/>
        <w:jc w:val="both"/>
        <w:rPr/>
      </w:pPr>
      <w:r>
        <w:rPr/>
        <w:t>тонкослойных блоков следует определять по формуле (9) для двух периодов:</w:t>
      </w:r>
    </w:p>
    <w:p>
      <w:pPr>
        <w:pStyle w:val="Normal"/>
        <w:ind w:firstLine="225"/>
        <w:jc w:val="both"/>
        <w:rPr/>
      </w:pPr>
      <w:r>
        <w:rPr/>
      </w:r>
    </w:p>
    <w:p>
      <w:pPr>
        <w:pStyle w:val="Normal"/>
        <w:ind w:firstLine="270"/>
        <w:jc w:val="both"/>
        <w:rPr/>
      </w:pPr>
      <w:r>
        <w:rPr/>
        <w:t>минимальной мутности при минимальном зимнем расходе воды;</w:t>
      </w:r>
    </w:p>
    <w:p>
      <w:pPr>
        <w:pStyle w:val="Normal"/>
        <w:ind w:firstLine="225"/>
        <w:jc w:val="both"/>
        <w:rPr/>
      </w:pPr>
      <w:r>
        <w:rPr/>
      </w:r>
    </w:p>
    <w:p>
      <w:pPr>
        <w:pStyle w:val="Normal"/>
        <w:ind w:firstLine="270"/>
        <w:jc w:val="both"/>
        <w:rPr/>
      </w:pPr>
      <w:r>
        <w:rPr/>
        <w:t>наибольшей мутности при наибольшем расходе воды, соответствующем этому периоду.</w:t>
      </w:r>
    </w:p>
    <w:p>
      <w:pPr>
        <w:pStyle w:val="Normal"/>
        <w:ind w:firstLine="270"/>
        <w:jc w:val="both"/>
        <w:rPr/>
      </w:pPr>
      <w:r>
        <w:rPr/>
      </w:r>
    </w:p>
    <w:p>
      <w:pPr>
        <w:pStyle w:val="Normal"/>
        <w:ind w:firstLine="225"/>
        <w:jc w:val="both"/>
        <w:rPr/>
      </w:pPr>
      <w:r>
        <w:rPr/>
        <w:t>Расчетная площадь зоны осаждения должна соответствовать наибольшему значению</w:t>
      </w:r>
    </w:p>
    <w:p>
      <w:pPr>
        <w:pStyle w:val="Normal"/>
        <w:ind w:firstLine="135"/>
        <w:jc w:val="both"/>
        <w:rPr/>
      </w:pPr>
      <w:r>
        <w:rPr/>
      </w:r>
    </w:p>
    <w:p>
      <w:pPr>
        <w:pStyle w:val="Normal"/>
        <w:ind w:firstLine="225"/>
        <w:jc w:val="both"/>
        <w:rPr/>
      </w:pPr>
      <w:r>
        <w:rPr/>
      </w:r>
    </w:p>
    <w:p>
      <w:pPr>
        <w:pStyle w:val="Normal"/>
        <w:ind w:firstLine="225"/>
        <w:jc w:val="both"/>
        <w:rPr/>
      </w:pPr>
      <w:r>
        <w:rPr/>
        <w:drawing>
          <wp:inline distT="0" distB="0" distL="0" distR="0">
            <wp:extent cx="3617595" cy="207645"/>
            <wp:effectExtent l="0" t="0" r="0" b="0"/>
            <wp:docPr id="49" name="Изображение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descr="" title=""/>
                    <pic:cNvPicPr>
                      <a:picLocks noChangeAspect="1" noChangeArrowheads="1"/>
                    </pic:cNvPicPr>
                  </pic:nvPicPr>
                  <pic:blipFill>
                    <a:blip r:embed="rId50"/>
                    <a:stretch>
                      <a:fillRect/>
                    </a:stretch>
                  </pic:blipFill>
                  <pic:spPr bwMode="auto">
                    <a:xfrm>
                      <a:off x="0" y="0"/>
                      <a:ext cx="3617595" cy="207645"/>
                    </a:xfrm>
                    <a:prstGeom prst="rect">
                      <a:avLst/>
                    </a:prstGeom>
                  </pic:spPr>
                </pic:pic>
              </a:graphicData>
            </a:graphic>
          </wp:inline>
        </w:drawing>
      </w:r>
    </w:p>
    <w:p>
      <w:pPr>
        <w:pStyle w:val="Normal"/>
        <w:ind w:firstLine="225"/>
        <w:jc w:val="both"/>
        <w:rPr/>
      </w:pPr>
      <w:r>
        <w:rPr/>
        <w:tab/>
        <w:tab/>
      </w:r>
    </w:p>
    <w:p>
      <w:pPr>
        <w:pStyle w:val="Normal"/>
        <w:ind w:firstLine="225"/>
        <w:jc w:val="both"/>
        <w:rPr/>
      </w:pPr>
      <w:r>
        <w:rPr/>
        <w:t xml:space="preserve">где   q   -  расчетный расход для периодов максимального и минимального суточного водопотребления, куб.м/ч;      </w:t>
      </w:r>
    </w:p>
    <w:tbl>
      <w:tblPr>
        <w:tblW w:w="8385" w:type="dxa"/>
        <w:jc w:val="start"/>
        <w:tblInd w:w="165" w:type="dxa"/>
        <w:tblBorders/>
        <w:tblCellMar>
          <w:top w:w="0" w:type="dxa"/>
          <w:start w:w="15" w:type="dxa"/>
          <w:bottom w:w="0" w:type="dxa"/>
          <w:end w:w="15" w:type="dxa"/>
        </w:tblCellMar>
      </w:tblPr>
      <w:tblGrid>
        <w:gridCol w:w="510"/>
        <w:gridCol w:w="7875"/>
      </w:tblGrid>
      <w:tr>
        <w:trPr/>
        <w:tc>
          <w:tcPr>
            <w:tcW w:w="510" w:type="dxa"/>
            <w:tcBorders/>
            <w:shd w:fill="auto" w:val="clear"/>
          </w:tcPr>
          <w:p>
            <w:pPr>
              <w:pStyle w:val="Normal"/>
              <w:rPr/>
            </w:pPr>
            <w:r>
              <w:rPr>
                <w:vanish/>
              </w:rPr>
              <w:t>#G0</w:t>
            </w:r>
            <w:r>
              <w:rPr/>
              <w:t xml:space="preserve">  </w:t>
            </w:r>
          </w:p>
          <w:p>
            <w:pPr>
              <w:pStyle w:val="Normal"/>
              <w:rPr/>
            </w:pPr>
            <w:r>
              <w:rPr/>
              <w:drawing>
                <wp:inline distT="0" distB="0" distL="0" distR="0">
                  <wp:extent cx="172720" cy="207645"/>
                  <wp:effectExtent l="0" t="0" r="0" b="0"/>
                  <wp:docPr id="50" name="Изображение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descr="" title=""/>
                          <pic:cNvPicPr>
                            <a:picLocks noChangeAspect="1" noChangeArrowheads="1"/>
                          </pic:cNvPicPr>
                        </pic:nvPicPr>
                        <pic:blipFill>
                          <a:blip r:embed="rId51"/>
                          <a:stretch>
                            <a:fillRect/>
                          </a:stretch>
                        </pic:blipFill>
                        <pic:spPr bwMode="auto">
                          <a:xfrm>
                            <a:off x="0" y="0"/>
                            <a:ext cx="172720" cy="207645"/>
                          </a:xfrm>
                          <a:prstGeom prst="rect">
                            <a:avLst/>
                          </a:prstGeom>
                        </pic:spPr>
                      </pic:pic>
                    </a:graphicData>
                  </a:graphic>
                </wp:inline>
              </w:drawing>
            </w:r>
          </w:p>
        </w:tc>
        <w:tc>
          <w:tcPr>
            <w:tcW w:w="7875" w:type="dxa"/>
            <w:tcBorders/>
            <w:shd w:fill="auto" w:val="clear"/>
          </w:tcPr>
          <w:p>
            <w:pPr>
              <w:pStyle w:val="Normal"/>
              <w:rPr/>
            </w:pPr>
            <w:r>
              <w:rPr/>
              <w:t xml:space="preserve">  </w:t>
            </w:r>
          </w:p>
          <w:p>
            <w:pPr>
              <w:pStyle w:val="Normal"/>
              <w:ind w:firstLine="45"/>
              <w:jc w:val="both"/>
              <w:rPr/>
            </w:pPr>
            <w:r>
              <w:rPr/>
              <w:t>- расчетная скорость восходящего потока, мм/с, принимается при отсутствии данных технологических изысканий не более указанных в табл. 18 величин скоростей выпадения взвеси с учетом п. 6.56;</w:t>
            </w:r>
          </w:p>
          <w:p>
            <w:pPr>
              <w:pStyle w:val="Normal"/>
              <w:ind w:firstLine="270"/>
              <w:jc w:val="both"/>
              <w:rPr/>
            </w:pPr>
            <w:r>
              <w:rPr/>
            </w:r>
          </w:p>
          <w:p>
            <w:pPr>
              <w:pStyle w:val="Normal"/>
              <w:ind w:firstLine="270"/>
              <w:jc w:val="both"/>
              <w:rPr/>
            </w:pPr>
            <w:r>
              <w:rPr/>
            </w:r>
          </w:p>
        </w:tc>
      </w:tr>
      <w:tr>
        <w:trPr/>
        <w:tc>
          <w:tcPr>
            <w:tcW w:w="510" w:type="dxa"/>
            <w:tcBorders/>
            <w:shd w:fill="auto" w:val="clear"/>
          </w:tcPr>
          <w:p>
            <w:pPr>
              <w:pStyle w:val="Normal"/>
              <w:rPr/>
            </w:pPr>
            <w:r>
              <w:rPr/>
              <w:t xml:space="preserve">  </w:t>
            </w:r>
          </w:p>
          <w:p>
            <w:pPr>
              <w:pStyle w:val="Normal"/>
              <w:rPr/>
            </w:pPr>
            <w:r>
              <w:rPr/>
              <w:drawing>
                <wp:inline distT="0" distB="0" distL="0" distR="0">
                  <wp:extent cx="207645" cy="207645"/>
                  <wp:effectExtent l="0" t="0" r="0" b="0"/>
                  <wp:docPr id="51" name="Изображение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descr="" title=""/>
                          <pic:cNvPicPr>
                            <a:picLocks noChangeAspect="1" noChangeArrowheads="1"/>
                          </pic:cNvPicPr>
                        </pic:nvPicPr>
                        <pic:blipFill>
                          <a:blip r:embed="rId52"/>
                          <a:stretch>
                            <a:fillRect/>
                          </a:stretch>
                        </pic:blipFill>
                        <pic:spPr bwMode="auto">
                          <a:xfrm>
                            <a:off x="0" y="0"/>
                            <a:ext cx="207645" cy="207645"/>
                          </a:xfrm>
                          <a:prstGeom prst="rect">
                            <a:avLst/>
                          </a:prstGeom>
                        </pic:spPr>
                      </pic:pic>
                    </a:graphicData>
                  </a:graphic>
                </wp:inline>
              </w:drawing>
            </w:r>
          </w:p>
        </w:tc>
        <w:tc>
          <w:tcPr>
            <w:tcW w:w="7875" w:type="dxa"/>
            <w:tcBorders/>
            <w:shd w:fill="auto" w:val="clear"/>
          </w:tcPr>
          <w:p>
            <w:pPr>
              <w:pStyle w:val="Normal"/>
              <w:rPr/>
            </w:pPr>
            <w:r>
              <w:rPr/>
              <w:t xml:space="preserve">  </w:t>
            </w:r>
          </w:p>
          <w:p>
            <w:pPr>
              <w:pStyle w:val="Normal"/>
              <w:ind w:firstLine="90"/>
              <w:jc w:val="both"/>
              <w:rPr/>
            </w:pPr>
            <w:r>
              <w:rPr/>
              <w:t xml:space="preserve">- количество рабочих отстойников; </w:t>
            </w:r>
          </w:p>
          <w:p>
            <w:pPr>
              <w:pStyle w:val="Normal"/>
              <w:ind w:firstLine="225"/>
              <w:jc w:val="both"/>
              <w:rPr/>
            </w:pPr>
            <w:r>
              <w:rPr/>
            </w:r>
          </w:p>
          <w:p>
            <w:pPr>
              <w:pStyle w:val="Normal"/>
              <w:ind w:firstLine="225"/>
              <w:jc w:val="both"/>
              <w:rPr/>
            </w:pPr>
            <w:r>
              <w:rPr/>
            </w:r>
          </w:p>
        </w:tc>
      </w:tr>
      <w:tr>
        <w:trPr/>
        <w:tc>
          <w:tcPr>
            <w:tcW w:w="510" w:type="dxa"/>
            <w:tcBorders/>
            <w:shd w:fill="auto" w:val="clear"/>
          </w:tcPr>
          <w:p>
            <w:pPr>
              <w:pStyle w:val="Normal"/>
              <w:rPr/>
            </w:pPr>
            <w:r>
              <w:rPr/>
              <w:t xml:space="preserve">  </w:t>
            </w:r>
          </w:p>
          <w:p>
            <w:pPr>
              <w:pStyle w:val="Normal"/>
              <w:rPr/>
            </w:pPr>
            <w:r>
              <w:rPr/>
              <w:drawing>
                <wp:inline distT="0" distB="0" distL="0" distR="0">
                  <wp:extent cx="207645" cy="184150"/>
                  <wp:effectExtent l="0" t="0" r="0" b="0"/>
                  <wp:docPr id="52" name="Изображение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descr="" title=""/>
                          <pic:cNvPicPr>
                            <a:picLocks noChangeAspect="1" noChangeArrowheads="1"/>
                          </pic:cNvPicPr>
                        </pic:nvPicPr>
                        <pic:blipFill>
                          <a:blip r:embed="rId53"/>
                          <a:stretch>
                            <a:fillRect/>
                          </a:stretch>
                        </pic:blipFill>
                        <pic:spPr bwMode="auto">
                          <a:xfrm>
                            <a:off x="0" y="0"/>
                            <a:ext cx="207645" cy="184150"/>
                          </a:xfrm>
                          <a:prstGeom prst="rect">
                            <a:avLst/>
                          </a:prstGeom>
                        </pic:spPr>
                      </pic:pic>
                    </a:graphicData>
                  </a:graphic>
                </wp:inline>
              </w:drawing>
            </w:r>
          </w:p>
        </w:tc>
        <w:tc>
          <w:tcPr>
            <w:tcW w:w="7875" w:type="dxa"/>
            <w:tcBorders/>
            <w:shd w:fill="auto" w:val="clear"/>
          </w:tcPr>
          <w:p>
            <w:pPr>
              <w:pStyle w:val="Normal"/>
              <w:rPr/>
            </w:pPr>
            <w:r>
              <w:rPr/>
              <w:t xml:space="preserve">  </w:t>
            </w:r>
          </w:p>
          <w:p>
            <w:pPr>
              <w:pStyle w:val="Normal"/>
              <w:jc w:val="both"/>
              <w:rPr/>
            </w:pPr>
            <w:r>
              <w:rPr/>
              <w:t xml:space="preserve">-  коэффициент, учитывающий объемное использование отстойника, величина которого принимается 1,3-1,5 (нижний предел - при отношении диаметра к высоте отстойника  1, верхний  - при отношении диаметра к высоте - 1,5).    </w:t>
            </w:r>
          </w:p>
          <w:p>
            <w:pPr>
              <w:pStyle w:val="Normal"/>
              <w:jc w:val="both"/>
              <w:rPr/>
            </w:pPr>
            <w:r>
              <w:rPr/>
            </w:r>
          </w:p>
        </w:tc>
      </w:tr>
    </w:tbl>
    <w:p>
      <w:pPr>
        <w:pStyle w:val="Normal"/>
        <w:ind w:firstLine="225"/>
        <w:jc w:val="both"/>
        <w:rPr/>
      </w:pPr>
      <w:r>
        <w:rPr/>
      </w:r>
    </w:p>
    <w:p>
      <w:pPr>
        <w:pStyle w:val="Normal"/>
        <w:ind w:firstLine="270"/>
        <w:jc w:val="both"/>
        <w:rPr/>
      </w:pPr>
      <w:r>
        <w:rPr/>
        <w:t>При количестве отстойников менее шести следует предусматривать один резервный.</w:t>
      </w:r>
    </w:p>
    <w:p>
      <w:pPr>
        <w:pStyle w:val="Normal"/>
        <w:ind w:firstLine="225"/>
        <w:jc w:val="both"/>
        <w:rPr/>
      </w:pPr>
      <w:r>
        <w:rPr/>
      </w:r>
    </w:p>
    <w:p>
      <w:pPr>
        <w:pStyle w:val="Normal"/>
        <w:ind w:firstLine="270"/>
        <w:jc w:val="both"/>
        <w:rPr/>
      </w:pPr>
      <w:r>
        <w:rPr/>
        <w:t>6.64. При установке в зоне осаждения тонкослойных блоков площадь зоны осаждения определяется исходя из удельных нагрузок, отнесенных к площади зеркала воды, занятой тонкослойными блоками: для маломутных и цветных вод, обработанных коагулянтом, 3-3,5 куб.м/(ч х кв. м), для средней мутности 3,6-4,5 куб.м/(ч х кв.м), для мутных вод 4,6-5,5 куб.м/(ч х кв.м).</w:t>
      </w:r>
    </w:p>
    <w:p>
      <w:pPr>
        <w:pStyle w:val="Normal"/>
        <w:ind w:firstLine="225"/>
        <w:jc w:val="both"/>
        <w:rPr/>
      </w:pPr>
      <w:r>
        <w:rPr/>
      </w:r>
    </w:p>
    <w:p>
      <w:pPr>
        <w:pStyle w:val="Normal"/>
        <w:ind w:firstLine="225"/>
        <w:jc w:val="both"/>
        <w:rPr/>
      </w:pPr>
      <w:r>
        <w:rPr/>
        <w:t>6.65. Зона накопления и уплотнения осадка вертикальных отстойников должна предусматриваться с наклонными стенками. Угол между наклонными стенками следует принимать 70-80°.</w:t>
      </w:r>
    </w:p>
    <w:p>
      <w:pPr>
        <w:pStyle w:val="Normal"/>
        <w:ind w:firstLine="225"/>
        <w:jc w:val="both"/>
        <w:rPr/>
      </w:pPr>
      <w:r>
        <w:rPr/>
      </w:r>
    </w:p>
    <w:p>
      <w:pPr>
        <w:pStyle w:val="Normal"/>
        <w:ind w:firstLine="225"/>
        <w:jc w:val="both"/>
        <w:rPr/>
      </w:pPr>
      <w:r>
        <w:rPr/>
        <w:t>Сброс осадка следует предусматривать без выключения отстойника. Период работы, Тр, ч, между сбросами осадка следует определять по формуле</w:t>
      </w:r>
    </w:p>
    <w:p>
      <w:pPr>
        <w:pStyle w:val="Normal"/>
        <w:ind w:firstLine="225"/>
        <w:jc w:val="both"/>
        <w:rPr/>
      </w:pPr>
      <w:r>
        <w:rPr/>
      </w:r>
    </w:p>
    <w:p>
      <w:pPr>
        <w:pStyle w:val="Normal"/>
        <w:ind w:firstLine="225"/>
        <w:jc w:val="both"/>
        <w:rPr/>
      </w:pPr>
      <w:r>
        <w:rPr/>
      </w:r>
    </w:p>
    <w:p>
      <w:pPr>
        <w:pStyle w:val="Normal"/>
        <w:ind w:firstLine="810"/>
        <w:jc w:val="both"/>
        <w:rPr/>
      </w:pPr>
      <w:r>
        <w:rPr/>
        <w:drawing>
          <wp:inline distT="0" distB="0" distL="0" distR="0">
            <wp:extent cx="661035" cy="52705"/>
            <wp:effectExtent l="0" t="0" r="0" b="0"/>
            <wp:docPr id="53" name="Изображение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descr="" title=""/>
                    <pic:cNvPicPr>
                      <a:picLocks noChangeAspect="1" noChangeArrowheads="1"/>
                    </pic:cNvPicPr>
                  </pic:nvPicPr>
                  <pic:blipFill>
                    <a:blip r:embed="rId54"/>
                    <a:stretch>
                      <a:fillRect/>
                    </a:stretch>
                  </pic:blipFill>
                  <pic:spPr bwMode="auto">
                    <a:xfrm>
                      <a:off x="0" y="0"/>
                      <a:ext cx="661035" cy="52705"/>
                    </a:xfrm>
                    <a:prstGeom prst="rect">
                      <a:avLst/>
                    </a:prstGeom>
                  </pic:spPr>
                </pic:pic>
              </a:graphicData>
            </a:graphic>
          </wp:inline>
        </w:drawing>
      </w:r>
    </w:p>
    <w:p>
      <w:pPr>
        <w:pStyle w:val="Normal"/>
        <w:ind w:firstLine="270"/>
        <w:jc w:val="both"/>
        <w:rPr/>
      </w:pPr>
      <w:r>
        <w:rPr/>
        <w:tab/>
      </w:r>
    </w:p>
    <w:p>
      <w:pPr>
        <w:pStyle w:val="Normal"/>
        <w:ind w:firstLine="270"/>
        <w:jc w:val="both"/>
        <w:rPr/>
      </w:pPr>
      <w:r>
        <w:rPr/>
        <w:tab/>
        <w:t xml:space="preserve">           </w:t>
      </w:r>
    </w:p>
    <w:tbl>
      <w:tblPr>
        <w:tblW w:w="8475" w:type="dxa"/>
        <w:jc w:val="start"/>
        <w:tblInd w:w="165" w:type="dxa"/>
        <w:tblBorders/>
        <w:tblCellMar>
          <w:top w:w="0" w:type="dxa"/>
          <w:start w:w="15" w:type="dxa"/>
          <w:bottom w:w="0" w:type="dxa"/>
          <w:end w:w="15" w:type="dxa"/>
        </w:tblCellMar>
      </w:tblPr>
      <w:tblGrid>
        <w:gridCol w:w="450"/>
        <w:gridCol w:w="705"/>
        <w:gridCol w:w="7320"/>
      </w:tblGrid>
      <w:tr>
        <w:trPr/>
        <w:tc>
          <w:tcPr>
            <w:tcW w:w="450" w:type="dxa"/>
            <w:tcBorders/>
            <w:shd w:fill="auto" w:val="clear"/>
          </w:tcPr>
          <w:p>
            <w:pPr>
              <w:pStyle w:val="Normal"/>
              <w:rPr/>
            </w:pPr>
            <w:r>
              <w:rPr>
                <w:vanish/>
              </w:rPr>
              <w:t>#G0</w:t>
            </w:r>
            <w:r>
              <w:rPr/>
              <w:t xml:space="preserve">  где </w:t>
            </w:r>
          </w:p>
          <w:p>
            <w:pPr>
              <w:pStyle w:val="Normal"/>
              <w:rPr/>
            </w:pPr>
            <w:r>
              <w:rPr/>
            </w:r>
          </w:p>
        </w:tc>
        <w:tc>
          <w:tcPr>
            <w:tcW w:w="705" w:type="dxa"/>
            <w:tcBorders/>
            <w:shd w:fill="auto" w:val="clear"/>
          </w:tcPr>
          <w:p>
            <w:pPr>
              <w:pStyle w:val="Normal"/>
              <w:rPr/>
            </w:pPr>
            <w:r>
              <w:rPr/>
              <w:drawing>
                <wp:inline distT="0" distB="0" distL="0" distR="0">
                  <wp:extent cx="100330" cy="47625"/>
                  <wp:effectExtent l="0" t="0" r="0" b="0"/>
                  <wp:docPr id="54" name="Изображение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descr="" title=""/>
                          <pic:cNvPicPr>
                            <a:picLocks noChangeAspect="1" noChangeArrowheads="1"/>
                          </pic:cNvPicPr>
                        </pic:nvPicPr>
                        <pic:blipFill>
                          <a:blip r:embed="rId55"/>
                          <a:stretch>
                            <a:fillRect/>
                          </a:stretch>
                        </pic:blipFill>
                        <pic:spPr bwMode="auto">
                          <a:xfrm>
                            <a:off x="0" y="0"/>
                            <a:ext cx="100330" cy="47625"/>
                          </a:xfrm>
                          <a:prstGeom prst="rect">
                            <a:avLst/>
                          </a:prstGeom>
                        </pic:spPr>
                      </pic:pic>
                    </a:graphicData>
                  </a:graphic>
                </wp:inline>
              </w:drawing>
            </w:r>
            <w:r>
              <w:rPr/>
              <w:t xml:space="preserve"> </w:t>
            </w:r>
          </w:p>
          <w:p>
            <w:pPr>
              <w:pStyle w:val="Normal"/>
              <w:rPr/>
            </w:pPr>
            <w:r>
              <w:rPr/>
            </w:r>
          </w:p>
        </w:tc>
        <w:tc>
          <w:tcPr>
            <w:tcW w:w="7320" w:type="dxa"/>
            <w:tcBorders/>
            <w:shd w:fill="auto" w:val="clear"/>
          </w:tcPr>
          <w:p>
            <w:pPr>
              <w:pStyle w:val="Normal"/>
              <w:rPr/>
            </w:pPr>
            <w:r>
              <w:rPr/>
              <w:t xml:space="preserve">- объем зоны накопления и уплотнения осадка, куб.м; </w:t>
            </w:r>
          </w:p>
          <w:p>
            <w:pPr>
              <w:pStyle w:val="Normal"/>
              <w:rPr/>
            </w:pPr>
            <w:r>
              <w:rPr/>
            </w:r>
          </w:p>
        </w:tc>
      </w:tr>
      <w:tr>
        <w:trPr/>
        <w:tc>
          <w:tcPr>
            <w:tcW w:w="450" w:type="dxa"/>
            <w:tcBorders/>
            <w:shd w:fill="auto" w:val="clear"/>
          </w:tcPr>
          <w:p>
            <w:pPr>
              <w:pStyle w:val="Normal"/>
              <w:rPr/>
            </w:pPr>
            <w:r>
              <w:rPr/>
              <w:t xml:space="preserve">  </w:t>
            </w:r>
          </w:p>
          <w:p>
            <w:pPr>
              <w:pStyle w:val="Normal"/>
              <w:rPr/>
            </w:pPr>
            <w:r>
              <w:rPr/>
            </w:r>
          </w:p>
        </w:tc>
        <w:tc>
          <w:tcPr>
            <w:tcW w:w="705" w:type="dxa"/>
            <w:tcBorders/>
            <w:shd w:fill="auto" w:val="clear"/>
          </w:tcPr>
          <w:p>
            <w:pPr>
              <w:pStyle w:val="Normal"/>
              <w:rPr/>
            </w:pPr>
            <w:r>
              <w:rPr/>
              <w:drawing>
                <wp:inline distT="0" distB="0" distL="0" distR="0">
                  <wp:extent cx="114935" cy="161290"/>
                  <wp:effectExtent l="0" t="0" r="0" b="0"/>
                  <wp:docPr id="55" name="Изображение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descr="" title=""/>
                          <pic:cNvPicPr>
                            <a:picLocks noChangeAspect="1" noChangeArrowheads="1"/>
                          </pic:cNvPicPr>
                        </pic:nvPicPr>
                        <pic:blipFill>
                          <a:blip r:embed="rId56"/>
                          <a:stretch>
                            <a:fillRect/>
                          </a:stretch>
                        </pic:blipFill>
                        <pic:spPr bwMode="auto">
                          <a:xfrm>
                            <a:off x="0" y="0"/>
                            <a:ext cx="114935" cy="161290"/>
                          </a:xfrm>
                          <a:prstGeom prst="rect">
                            <a:avLst/>
                          </a:prstGeom>
                        </pic:spPr>
                      </pic:pic>
                    </a:graphicData>
                  </a:graphic>
                </wp:inline>
              </w:drawing>
            </w:r>
          </w:p>
          <w:p>
            <w:pPr>
              <w:pStyle w:val="Normal"/>
              <w:rPr/>
            </w:pPr>
            <w:r>
              <w:rPr/>
            </w:r>
          </w:p>
        </w:tc>
        <w:tc>
          <w:tcPr>
            <w:tcW w:w="7320" w:type="dxa"/>
            <w:tcBorders/>
            <w:shd w:fill="auto" w:val="clear"/>
          </w:tcPr>
          <w:p>
            <w:pPr>
              <w:pStyle w:val="Normal"/>
              <w:rPr/>
            </w:pPr>
            <w:r>
              <w:rPr/>
              <w:t xml:space="preserve">- средняя по всей высоте осадочной части концентрация твердой фазы в осадке, г/куб.м, в зависимости от мутности воды и продолжительности интервалов между сбросами, принимаемая по данным табл. 19; </w:t>
            </w:r>
          </w:p>
          <w:p>
            <w:pPr>
              <w:pStyle w:val="Normal"/>
              <w:rPr/>
            </w:pPr>
            <w:r>
              <w:rPr/>
            </w:r>
          </w:p>
        </w:tc>
      </w:tr>
      <w:tr>
        <w:trPr/>
        <w:tc>
          <w:tcPr>
            <w:tcW w:w="450" w:type="dxa"/>
            <w:tcBorders/>
            <w:shd w:fill="auto" w:val="clear"/>
          </w:tcPr>
          <w:p>
            <w:pPr>
              <w:pStyle w:val="Normal"/>
              <w:rPr/>
            </w:pPr>
            <w:r>
              <w:rPr/>
              <w:t xml:space="preserve">  </w:t>
            </w:r>
          </w:p>
          <w:p>
            <w:pPr>
              <w:pStyle w:val="Normal"/>
              <w:rPr/>
            </w:pPr>
            <w:r>
              <w:rPr/>
            </w:r>
          </w:p>
        </w:tc>
        <w:tc>
          <w:tcPr>
            <w:tcW w:w="705" w:type="dxa"/>
            <w:tcBorders/>
            <w:shd w:fill="auto" w:val="clear"/>
          </w:tcPr>
          <w:p>
            <w:pPr>
              <w:pStyle w:val="Normal"/>
              <w:rPr/>
            </w:pPr>
            <w:r>
              <w:rPr/>
              <w:t xml:space="preserve">  </w:t>
            </w:r>
          </w:p>
          <w:p>
            <w:pPr>
              <w:pStyle w:val="Normal"/>
              <w:rPr/>
            </w:pPr>
            <w:r>
              <w:rPr/>
              <w:drawing>
                <wp:inline distT="0" distB="0" distL="0" distR="0">
                  <wp:extent cx="322580" cy="184150"/>
                  <wp:effectExtent l="0" t="0" r="0" b="0"/>
                  <wp:docPr id="56" name="Изображение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6" descr="" title=""/>
                          <pic:cNvPicPr>
                            <a:picLocks noChangeAspect="1" noChangeArrowheads="1"/>
                          </pic:cNvPicPr>
                        </pic:nvPicPr>
                        <pic:blipFill>
                          <a:blip r:embed="rId57"/>
                          <a:stretch>
                            <a:fillRect/>
                          </a:stretch>
                        </pic:blipFill>
                        <pic:spPr bwMode="auto">
                          <a:xfrm>
                            <a:off x="0" y="0"/>
                            <a:ext cx="322580" cy="184150"/>
                          </a:xfrm>
                          <a:prstGeom prst="rect">
                            <a:avLst/>
                          </a:prstGeom>
                        </pic:spPr>
                      </pic:pic>
                    </a:graphicData>
                  </a:graphic>
                </wp:inline>
              </w:drawing>
            </w:r>
          </w:p>
        </w:tc>
        <w:tc>
          <w:tcPr>
            <w:tcW w:w="7320" w:type="dxa"/>
            <w:tcBorders/>
            <w:shd w:fill="auto" w:val="clear"/>
          </w:tcPr>
          <w:p>
            <w:pPr>
              <w:pStyle w:val="Normal"/>
              <w:rPr/>
            </w:pPr>
            <w:r>
              <w:rPr/>
              <w:t xml:space="preserve">  </w:t>
            </w:r>
          </w:p>
          <w:p>
            <w:pPr>
              <w:pStyle w:val="Normal"/>
              <w:jc w:val="both"/>
              <w:rPr/>
            </w:pPr>
            <w:r>
              <w:rPr/>
              <w:t>- мутность воды, выходящей из отстойника, г/куб.м, принимаемая от 8 до 15 г/куб.м;</w:t>
            </w:r>
          </w:p>
          <w:p>
            <w:pPr>
              <w:pStyle w:val="Normal"/>
              <w:jc w:val="both"/>
              <w:rPr/>
            </w:pPr>
            <w:r>
              <w:rPr/>
            </w:r>
          </w:p>
        </w:tc>
      </w:tr>
      <w:tr>
        <w:trPr/>
        <w:tc>
          <w:tcPr>
            <w:tcW w:w="450" w:type="dxa"/>
            <w:tcBorders/>
            <w:shd w:fill="auto" w:val="clear"/>
          </w:tcPr>
          <w:p>
            <w:pPr>
              <w:pStyle w:val="Normal"/>
              <w:rPr/>
            </w:pPr>
            <w:r>
              <w:rPr/>
              <w:t xml:space="preserve">  </w:t>
            </w:r>
          </w:p>
          <w:p>
            <w:pPr>
              <w:pStyle w:val="Normal"/>
              <w:rPr/>
            </w:pPr>
            <w:r>
              <w:rPr/>
            </w:r>
          </w:p>
        </w:tc>
        <w:tc>
          <w:tcPr>
            <w:tcW w:w="705" w:type="dxa"/>
            <w:tcBorders/>
            <w:shd w:fill="auto" w:val="clear"/>
          </w:tcPr>
          <w:p>
            <w:pPr>
              <w:pStyle w:val="Normal"/>
              <w:rPr/>
            </w:pPr>
            <w:r>
              <w:rPr/>
              <w:t xml:space="preserve">  </w:t>
            </w:r>
          </w:p>
          <w:p>
            <w:pPr>
              <w:pStyle w:val="Normal"/>
              <w:rPr/>
            </w:pPr>
            <w:r>
              <w:rPr/>
              <w:drawing>
                <wp:inline distT="0" distB="0" distL="0" distR="0">
                  <wp:extent cx="172720" cy="184150"/>
                  <wp:effectExtent l="0" t="0" r="0" b="0"/>
                  <wp:docPr id="57" name="Изображение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7" descr="" title=""/>
                          <pic:cNvPicPr>
                            <a:picLocks noChangeAspect="1" noChangeArrowheads="1"/>
                          </pic:cNvPicPr>
                        </pic:nvPicPr>
                        <pic:blipFill>
                          <a:blip r:embed="rId58"/>
                          <a:stretch>
                            <a:fillRect/>
                          </a:stretch>
                        </pic:blipFill>
                        <pic:spPr bwMode="auto">
                          <a:xfrm>
                            <a:off x="0" y="0"/>
                            <a:ext cx="172720" cy="184150"/>
                          </a:xfrm>
                          <a:prstGeom prst="rect">
                            <a:avLst/>
                          </a:prstGeom>
                        </pic:spPr>
                      </pic:pic>
                    </a:graphicData>
                  </a:graphic>
                </wp:inline>
              </w:drawing>
            </w:r>
          </w:p>
        </w:tc>
        <w:tc>
          <w:tcPr>
            <w:tcW w:w="7320" w:type="dxa"/>
            <w:tcBorders/>
            <w:shd w:fill="auto" w:val="clear"/>
          </w:tcPr>
          <w:p>
            <w:pPr>
              <w:pStyle w:val="Normal"/>
              <w:rPr/>
            </w:pPr>
            <w:r>
              <w:rPr/>
              <w:t xml:space="preserve">  </w:t>
            </w:r>
          </w:p>
          <w:p>
            <w:pPr>
              <w:pStyle w:val="Normal"/>
              <w:jc w:val="both"/>
              <w:rPr/>
            </w:pPr>
            <w:r>
              <w:rPr/>
              <w:t>- концентрация взвешенных веществ в воде, г/куб.м, поступающих в отстойник, определяемая по формуле</w:t>
            </w:r>
          </w:p>
          <w:p>
            <w:pPr>
              <w:pStyle w:val="Normal"/>
              <w:ind w:firstLine="270"/>
              <w:jc w:val="both"/>
              <w:rPr/>
            </w:pPr>
            <w:r>
              <w:rPr/>
            </w:r>
          </w:p>
          <w:p>
            <w:pPr>
              <w:pStyle w:val="Normal"/>
              <w:ind w:firstLine="270"/>
              <w:jc w:val="both"/>
              <w:rPr/>
            </w:pPr>
            <w:r>
              <w:rPr/>
            </w:r>
          </w:p>
        </w:tc>
      </w:tr>
    </w:tbl>
    <w:p>
      <w:pPr>
        <w:pStyle w:val="Normal"/>
        <w:ind w:firstLine="225"/>
        <w:jc w:val="both"/>
        <w:rPr/>
      </w:pPr>
      <w:r>
        <w:rPr/>
      </w:r>
    </w:p>
    <w:p>
      <w:pPr>
        <w:pStyle w:val="Normal"/>
        <w:ind w:firstLine="225"/>
        <w:jc w:val="both"/>
        <w:rPr/>
      </w:pPr>
      <w:r>
        <w:rPr/>
        <w:drawing>
          <wp:inline distT="0" distB="0" distL="0" distR="0">
            <wp:extent cx="3352165" cy="184150"/>
            <wp:effectExtent l="0" t="0" r="0" b="0"/>
            <wp:docPr id="58" name="Изображение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descr="" title=""/>
                    <pic:cNvPicPr>
                      <a:picLocks noChangeAspect="1" noChangeArrowheads="1"/>
                    </pic:cNvPicPr>
                  </pic:nvPicPr>
                  <pic:blipFill>
                    <a:blip r:embed="rId59"/>
                    <a:stretch>
                      <a:fillRect/>
                    </a:stretch>
                  </pic:blipFill>
                  <pic:spPr bwMode="auto">
                    <a:xfrm>
                      <a:off x="0" y="0"/>
                      <a:ext cx="3352165" cy="184150"/>
                    </a:xfrm>
                    <a:prstGeom prst="rect">
                      <a:avLst/>
                    </a:prstGeom>
                  </pic:spPr>
                </pic:pic>
              </a:graphicData>
            </a:graphic>
          </wp:inline>
        </w:drawing>
      </w:r>
    </w:p>
    <w:tbl>
      <w:tblPr>
        <w:tblW w:w="8625" w:type="dxa"/>
        <w:jc w:val="start"/>
        <w:tblInd w:w="195" w:type="dxa"/>
        <w:tblBorders/>
        <w:tblCellMar>
          <w:top w:w="0" w:type="dxa"/>
          <w:start w:w="15" w:type="dxa"/>
          <w:bottom w:w="0" w:type="dxa"/>
          <w:end w:w="15" w:type="dxa"/>
        </w:tblCellMar>
      </w:tblPr>
      <w:tblGrid>
        <w:gridCol w:w="450"/>
        <w:gridCol w:w="945"/>
        <w:gridCol w:w="7230"/>
      </w:tblGrid>
      <w:tr>
        <w:trPr/>
        <w:tc>
          <w:tcPr>
            <w:tcW w:w="450" w:type="dxa"/>
            <w:tcBorders/>
            <w:shd w:fill="auto" w:val="clear"/>
          </w:tcPr>
          <w:p>
            <w:pPr>
              <w:pStyle w:val="Normal"/>
              <w:rPr/>
            </w:pPr>
            <w:r>
              <w:rPr>
                <w:vanish/>
              </w:rPr>
              <w:t>#G0</w:t>
            </w:r>
            <w:r>
              <w:rPr/>
              <w:t xml:space="preserve">       где </w:t>
            </w:r>
          </w:p>
          <w:p>
            <w:pPr>
              <w:pStyle w:val="Normal"/>
              <w:rPr/>
            </w:pPr>
            <w:r>
              <w:rPr/>
            </w:r>
          </w:p>
        </w:tc>
        <w:tc>
          <w:tcPr>
            <w:tcW w:w="945" w:type="dxa"/>
            <w:tcBorders/>
            <w:shd w:fill="auto" w:val="clear"/>
          </w:tcPr>
          <w:p>
            <w:pPr>
              <w:pStyle w:val="Normal"/>
              <w:snapToGrid w:val="false"/>
              <w:rPr/>
            </w:pPr>
            <w:r>
              <w:rPr/>
            </w:r>
          </w:p>
          <w:p>
            <w:pPr>
              <w:pStyle w:val="Normal"/>
              <w:rPr/>
            </w:pPr>
            <w:r>
              <w:rPr/>
              <w:t xml:space="preserve">  </w:t>
            </w:r>
            <w:r>
              <w:rPr/>
              <w:t>М -</w:t>
            </w:r>
          </w:p>
          <w:p>
            <w:pPr>
              <w:pStyle w:val="Normal"/>
              <w:rPr/>
            </w:pPr>
            <w:r>
              <w:rPr/>
            </w:r>
          </w:p>
        </w:tc>
        <w:tc>
          <w:tcPr>
            <w:tcW w:w="7230" w:type="dxa"/>
            <w:tcBorders/>
            <w:shd w:fill="auto" w:val="clear"/>
          </w:tcPr>
          <w:p>
            <w:pPr>
              <w:pStyle w:val="Normal"/>
              <w:rPr/>
            </w:pPr>
            <w:r>
              <w:rPr/>
              <w:t xml:space="preserve">  </w:t>
            </w:r>
          </w:p>
          <w:p>
            <w:pPr>
              <w:pStyle w:val="Normal"/>
              <w:jc w:val="both"/>
              <w:rPr/>
            </w:pPr>
            <w:r>
              <w:rPr/>
              <w:t>количество взвешенных веществ в исходной воде, г/куб.м (принимается равным мутности воды);</w:t>
            </w:r>
          </w:p>
          <w:p>
            <w:pPr>
              <w:pStyle w:val="Normal"/>
              <w:jc w:val="both"/>
              <w:rPr/>
            </w:pPr>
            <w:r>
              <w:rPr/>
            </w:r>
          </w:p>
        </w:tc>
      </w:tr>
      <w:tr>
        <w:trPr/>
        <w:tc>
          <w:tcPr>
            <w:tcW w:w="450" w:type="dxa"/>
            <w:tcBorders/>
            <w:shd w:fill="auto" w:val="clear"/>
          </w:tcPr>
          <w:p>
            <w:pPr>
              <w:pStyle w:val="Normal"/>
              <w:rPr/>
            </w:pPr>
            <w:r>
              <w:rPr/>
              <w:t xml:space="preserve">  </w:t>
            </w:r>
          </w:p>
          <w:p>
            <w:pPr>
              <w:pStyle w:val="Normal"/>
              <w:rPr/>
            </w:pPr>
            <w:r>
              <w:rPr/>
            </w:r>
          </w:p>
        </w:tc>
        <w:tc>
          <w:tcPr>
            <w:tcW w:w="945" w:type="dxa"/>
            <w:tcBorders/>
            <w:shd w:fill="auto" w:val="clear"/>
          </w:tcPr>
          <w:p>
            <w:pPr>
              <w:pStyle w:val="Normal"/>
              <w:rPr/>
            </w:pPr>
            <w:r>
              <w:rPr/>
              <w:t xml:space="preserve">  </w:t>
            </w:r>
          </w:p>
          <w:p>
            <w:pPr>
              <w:pStyle w:val="Normal"/>
              <w:rPr/>
            </w:pPr>
            <w:r>
              <w:rPr/>
              <w:drawing>
                <wp:inline distT="0" distB="0" distL="0" distR="0">
                  <wp:extent cx="322580" cy="184150"/>
                  <wp:effectExtent l="0" t="0" r="0" b="0"/>
                  <wp:docPr id="59" name="Изображение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descr="" title=""/>
                          <pic:cNvPicPr>
                            <a:picLocks noChangeAspect="1" noChangeArrowheads="1"/>
                          </pic:cNvPicPr>
                        </pic:nvPicPr>
                        <pic:blipFill>
                          <a:blip r:embed="rId60"/>
                          <a:stretch>
                            <a:fillRect/>
                          </a:stretch>
                        </pic:blipFill>
                        <pic:spPr bwMode="auto">
                          <a:xfrm>
                            <a:off x="0" y="0"/>
                            <a:ext cx="322580" cy="184150"/>
                          </a:xfrm>
                          <a:prstGeom prst="rect">
                            <a:avLst/>
                          </a:prstGeom>
                        </pic:spPr>
                      </pic:pic>
                    </a:graphicData>
                  </a:graphic>
                </wp:inline>
              </w:drawing>
            </w:r>
          </w:p>
        </w:tc>
        <w:tc>
          <w:tcPr>
            <w:tcW w:w="7230" w:type="dxa"/>
            <w:tcBorders/>
            <w:shd w:fill="auto" w:val="clear"/>
          </w:tcPr>
          <w:p>
            <w:pPr>
              <w:pStyle w:val="Normal"/>
              <w:rPr/>
            </w:pPr>
            <w:r>
              <w:rPr/>
              <w:t xml:space="preserve">  </w:t>
            </w:r>
          </w:p>
          <w:p>
            <w:pPr>
              <w:pStyle w:val="Normal"/>
              <w:jc w:val="both"/>
              <w:rPr/>
            </w:pPr>
            <w:r>
              <w:rPr/>
              <w:t>доза коагулянта по безводному продукту, г/куб.м;</w:t>
            </w:r>
          </w:p>
          <w:p>
            <w:pPr>
              <w:pStyle w:val="Normal"/>
              <w:jc w:val="both"/>
              <w:rPr/>
            </w:pPr>
            <w:r>
              <w:rPr/>
            </w:r>
          </w:p>
        </w:tc>
      </w:tr>
      <w:tr>
        <w:trPr/>
        <w:tc>
          <w:tcPr>
            <w:tcW w:w="450" w:type="dxa"/>
            <w:tcBorders/>
            <w:shd w:fill="auto" w:val="clear"/>
          </w:tcPr>
          <w:p>
            <w:pPr>
              <w:pStyle w:val="Normal"/>
              <w:rPr/>
            </w:pPr>
            <w:r>
              <w:rPr/>
              <w:t xml:space="preserve">  </w:t>
            </w:r>
          </w:p>
          <w:p>
            <w:pPr>
              <w:pStyle w:val="Normal"/>
              <w:rPr/>
            </w:pPr>
            <w:r>
              <w:rPr/>
            </w:r>
          </w:p>
        </w:tc>
        <w:tc>
          <w:tcPr>
            <w:tcW w:w="945" w:type="dxa"/>
            <w:tcBorders/>
            <w:shd w:fill="auto" w:val="clear"/>
          </w:tcPr>
          <w:p>
            <w:pPr>
              <w:pStyle w:val="Normal"/>
              <w:rPr/>
            </w:pPr>
            <w:r>
              <w:rPr/>
              <w:t xml:space="preserve">  </w:t>
            </w:r>
          </w:p>
          <w:p>
            <w:pPr>
              <w:pStyle w:val="Normal"/>
              <w:rPr/>
            </w:pPr>
            <w:r>
              <w:rPr/>
              <w:drawing>
                <wp:inline distT="0" distB="0" distL="0" distR="0">
                  <wp:extent cx="322580" cy="184150"/>
                  <wp:effectExtent l="0" t="0" r="0" b="0"/>
                  <wp:docPr id="60" name="Изображение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descr="" title=""/>
                          <pic:cNvPicPr>
                            <a:picLocks noChangeAspect="1" noChangeArrowheads="1"/>
                          </pic:cNvPicPr>
                        </pic:nvPicPr>
                        <pic:blipFill>
                          <a:blip r:embed="rId61"/>
                          <a:stretch>
                            <a:fillRect/>
                          </a:stretch>
                        </pic:blipFill>
                        <pic:spPr bwMode="auto">
                          <a:xfrm>
                            <a:off x="0" y="0"/>
                            <a:ext cx="322580" cy="184150"/>
                          </a:xfrm>
                          <a:prstGeom prst="rect">
                            <a:avLst/>
                          </a:prstGeom>
                        </pic:spPr>
                      </pic:pic>
                    </a:graphicData>
                  </a:graphic>
                </wp:inline>
              </w:drawing>
            </w:r>
          </w:p>
        </w:tc>
        <w:tc>
          <w:tcPr>
            <w:tcW w:w="7230" w:type="dxa"/>
            <w:tcBorders/>
            <w:shd w:fill="auto" w:val="clear"/>
          </w:tcPr>
          <w:p>
            <w:pPr>
              <w:pStyle w:val="Normal"/>
              <w:rPr/>
            </w:pPr>
            <w:r>
              <w:rPr/>
              <w:t xml:space="preserve">  </w:t>
            </w:r>
          </w:p>
          <w:p>
            <w:pPr>
              <w:pStyle w:val="Normal"/>
              <w:jc w:val="both"/>
              <w:rPr/>
            </w:pPr>
            <w:r>
              <w:rPr/>
              <w:t xml:space="preserve">коэффициент, принимаемый для очищенного сернокислого алюминия - 0,5, для нефелинового коагулянта -  1,2,  для хлорного железа - 0,7; </w:t>
            </w:r>
          </w:p>
          <w:p>
            <w:pPr>
              <w:pStyle w:val="Normal"/>
              <w:jc w:val="both"/>
              <w:rPr/>
            </w:pPr>
            <w:r>
              <w:rPr/>
            </w:r>
          </w:p>
        </w:tc>
      </w:tr>
      <w:tr>
        <w:trPr/>
        <w:tc>
          <w:tcPr>
            <w:tcW w:w="450" w:type="dxa"/>
            <w:tcBorders/>
            <w:shd w:fill="auto" w:val="clear"/>
          </w:tcPr>
          <w:p>
            <w:pPr>
              <w:pStyle w:val="Normal"/>
              <w:rPr/>
            </w:pPr>
            <w:r>
              <w:rPr/>
              <w:t xml:space="preserve">  </w:t>
            </w:r>
          </w:p>
          <w:p>
            <w:pPr>
              <w:pStyle w:val="Normal"/>
              <w:rPr/>
            </w:pPr>
            <w:r>
              <w:rPr/>
            </w:r>
          </w:p>
        </w:tc>
        <w:tc>
          <w:tcPr>
            <w:tcW w:w="945" w:type="dxa"/>
            <w:tcBorders/>
            <w:shd w:fill="auto" w:val="clear"/>
          </w:tcPr>
          <w:p>
            <w:pPr>
              <w:pStyle w:val="Normal"/>
              <w:rPr/>
            </w:pPr>
            <w:r>
              <w:rPr/>
              <w:t xml:space="preserve"> </w:t>
            </w:r>
          </w:p>
          <w:p>
            <w:pPr>
              <w:pStyle w:val="Normal"/>
              <w:rPr/>
            </w:pPr>
            <w:r>
              <w:rPr/>
              <w:t xml:space="preserve">   </w:t>
            </w:r>
            <w:r>
              <w:rPr/>
              <w:t>Ц -</w:t>
            </w:r>
          </w:p>
          <w:p>
            <w:pPr>
              <w:pStyle w:val="Normal"/>
              <w:rPr/>
            </w:pPr>
            <w:r>
              <w:rPr/>
            </w:r>
          </w:p>
        </w:tc>
        <w:tc>
          <w:tcPr>
            <w:tcW w:w="7230" w:type="dxa"/>
            <w:tcBorders/>
            <w:shd w:fill="auto" w:val="clear"/>
          </w:tcPr>
          <w:p>
            <w:pPr>
              <w:pStyle w:val="Normal"/>
              <w:rPr/>
            </w:pPr>
            <w:r>
              <w:rPr/>
              <w:t xml:space="preserve">  </w:t>
            </w:r>
          </w:p>
          <w:p>
            <w:pPr>
              <w:pStyle w:val="Normal"/>
              <w:jc w:val="both"/>
              <w:rPr/>
            </w:pPr>
            <w:r>
              <w:rPr/>
              <w:t>цветность исходной воды, град;</w:t>
            </w:r>
          </w:p>
          <w:p>
            <w:pPr>
              <w:pStyle w:val="Normal"/>
              <w:jc w:val="both"/>
              <w:rPr/>
            </w:pPr>
            <w:r>
              <w:rPr/>
            </w:r>
          </w:p>
        </w:tc>
      </w:tr>
      <w:tr>
        <w:trPr/>
        <w:tc>
          <w:tcPr>
            <w:tcW w:w="450" w:type="dxa"/>
            <w:tcBorders/>
            <w:shd w:fill="auto" w:val="clear"/>
          </w:tcPr>
          <w:p>
            <w:pPr>
              <w:pStyle w:val="Normal"/>
              <w:rPr/>
            </w:pPr>
            <w:r>
              <w:rPr/>
              <w:t xml:space="preserve">  </w:t>
            </w:r>
          </w:p>
          <w:p>
            <w:pPr>
              <w:pStyle w:val="Normal"/>
              <w:rPr/>
            </w:pPr>
            <w:r>
              <w:rPr/>
            </w:r>
          </w:p>
        </w:tc>
        <w:tc>
          <w:tcPr>
            <w:tcW w:w="945" w:type="dxa"/>
            <w:tcBorders/>
            <w:shd w:fill="auto" w:val="clear"/>
          </w:tcPr>
          <w:p>
            <w:pPr>
              <w:pStyle w:val="Normal"/>
              <w:rPr/>
            </w:pPr>
            <w:r>
              <w:rPr/>
              <w:t xml:space="preserve">  </w:t>
            </w:r>
          </w:p>
          <w:p>
            <w:pPr>
              <w:pStyle w:val="Normal"/>
              <w:rPr/>
            </w:pPr>
            <w:r>
              <w:rPr/>
              <w:drawing>
                <wp:inline distT="0" distB="0" distL="0" distR="0">
                  <wp:extent cx="299720" cy="184150"/>
                  <wp:effectExtent l="0" t="0" r="0" b="0"/>
                  <wp:docPr id="61" name="Изображение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descr="" title=""/>
                          <pic:cNvPicPr>
                            <a:picLocks noChangeAspect="1" noChangeArrowheads="1"/>
                          </pic:cNvPicPr>
                        </pic:nvPicPr>
                        <pic:blipFill>
                          <a:blip r:embed="rId62"/>
                          <a:stretch>
                            <a:fillRect/>
                          </a:stretch>
                        </pic:blipFill>
                        <pic:spPr bwMode="auto">
                          <a:xfrm>
                            <a:off x="0" y="0"/>
                            <a:ext cx="299720" cy="184150"/>
                          </a:xfrm>
                          <a:prstGeom prst="rect">
                            <a:avLst/>
                          </a:prstGeom>
                        </pic:spPr>
                      </pic:pic>
                    </a:graphicData>
                  </a:graphic>
                </wp:inline>
              </w:drawing>
            </w:r>
          </w:p>
        </w:tc>
        <w:tc>
          <w:tcPr>
            <w:tcW w:w="7230" w:type="dxa"/>
            <w:tcBorders/>
            <w:shd w:fill="auto" w:val="clear"/>
          </w:tcPr>
          <w:p>
            <w:pPr>
              <w:pStyle w:val="Normal"/>
              <w:rPr/>
            </w:pPr>
            <w:r>
              <w:rPr/>
              <w:t xml:space="preserve">  </w:t>
            </w:r>
          </w:p>
          <w:p>
            <w:pPr>
              <w:pStyle w:val="Normal"/>
              <w:jc w:val="both"/>
              <w:rPr/>
            </w:pPr>
            <w:r>
              <w:rPr/>
              <w:t>количество нерастворимых веществ, вводимых с известью, г/куб.м, которое определяется по формуле</w:t>
            </w:r>
          </w:p>
          <w:p>
            <w:pPr>
              <w:pStyle w:val="Normal"/>
              <w:ind w:firstLine="225"/>
              <w:jc w:val="both"/>
              <w:rPr/>
            </w:pPr>
            <w:r>
              <w:rPr/>
            </w:r>
          </w:p>
          <w:p>
            <w:pPr>
              <w:pStyle w:val="Normal"/>
              <w:ind w:firstLine="225"/>
              <w:jc w:val="both"/>
              <w:rPr/>
            </w:pPr>
            <w:r>
              <w:rPr/>
            </w:r>
          </w:p>
        </w:tc>
      </w:tr>
    </w:tbl>
    <w:p>
      <w:pPr>
        <w:pStyle w:val="Normal"/>
        <w:ind w:firstLine="225"/>
        <w:jc w:val="both"/>
        <w:rPr/>
      </w:pPr>
      <w:r>
        <w:rPr/>
      </w:r>
    </w:p>
    <w:p>
      <w:pPr>
        <w:pStyle w:val="Normal"/>
        <w:ind w:firstLine="225"/>
        <w:jc w:val="both"/>
        <w:rPr/>
      </w:pPr>
      <w:r>
        <w:rPr/>
      </w:r>
    </w:p>
    <w:p>
      <w:pPr>
        <w:pStyle w:val="Normal"/>
        <w:ind w:firstLine="270"/>
        <w:jc w:val="both"/>
        <w:rPr/>
      </w:pPr>
      <w:r>
        <w:rPr/>
        <w:drawing>
          <wp:inline distT="0" distB="0" distL="0" distR="0">
            <wp:extent cx="2327275" cy="184150"/>
            <wp:effectExtent l="0" t="0" r="0" b="0"/>
            <wp:docPr id="62" name="Изображение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descr="" title=""/>
                    <pic:cNvPicPr>
                      <a:picLocks noChangeAspect="1" noChangeArrowheads="1"/>
                    </pic:cNvPicPr>
                  </pic:nvPicPr>
                  <pic:blipFill>
                    <a:blip r:embed="rId63"/>
                    <a:stretch>
                      <a:fillRect/>
                    </a:stretch>
                  </pic:blipFill>
                  <pic:spPr bwMode="auto">
                    <a:xfrm>
                      <a:off x="0" y="0"/>
                      <a:ext cx="2327275" cy="184150"/>
                    </a:xfrm>
                    <a:prstGeom prst="rect">
                      <a:avLst/>
                    </a:prstGeom>
                  </pic:spPr>
                </pic:pic>
              </a:graphicData>
            </a:graphic>
          </wp:inline>
        </w:drawing>
      </w:r>
    </w:p>
    <w:p>
      <w:pPr>
        <w:pStyle w:val="Normal"/>
        <w:ind w:firstLine="720"/>
        <w:jc w:val="both"/>
        <w:rPr/>
      </w:pPr>
      <w:r>
        <w:rPr/>
        <w:tab/>
        <w:tab/>
        <w:t xml:space="preserve">                </w:t>
      </w:r>
    </w:p>
    <w:tbl>
      <w:tblPr>
        <w:tblW w:w="5595" w:type="dxa"/>
        <w:jc w:val="start"/>
        <w:tblInd w:w="165" w:type="dxa"/>
        <w:tblBorders/>
        <w:tblCellMar>
          <w:top w:w="0" w:type="dxa"/>
          <w:start w:w="15" w:type="dxa"/>
          <w:bottom w:w="0" w:type="dxa"/>
          <w:end w:w="15" w:type="dxa"/>
        </w:tblCellMar>
      </w:tblPr>
      <w:tblGrid>
        <w:gridCol w:w="450"/>
        <w:gridCol w:w="825"/>
        <w:gridCol w:w="4320"/>
      </w:tblGrid>
      <w:tr>
        <w:trPr/>
        <w:tc>
          <w:tcPr>
            <w:tcW w:w="450" w:type="dxa"/>
            <w:tcBorders/>
            <w:shd w:fill="auto" w:val="clear"/>
          </w:tcPr>
          <w:p>
            <w:pPr>
              <w:pStyle w:val="Normal"/>
              <w:rPr/>
            </w:pPr>
            <w:r>
              <w:rPr>
                <w:vanish/>
              </w:rPr>
              <w:t>#G0</w:t>
            </w:r>
            <w:r>
              <w:rPr/>
              <w:t xml:space="preserve">     где </w:t>
            </w:r>
          </w:p>
          <w:p>
            <w:pPr>
              <w:pStyle w:val="Normal"/>
              <w:rPr/>
            </w:pPr>
            <w:r>
              <w:rPr/>
            </w:r>
          </w:p>
        </w:tc>
        <w:tc>
          <w:tcPr>
            <w:tcW w:w="825" w:type="dxa"/>
            <w:tcBorders/>
            <w:shd w:fill="auto" w:val="clear"/>
          </w:tcPr>
          <w:p>
            <w:pPr>
              <w:pStyle w:val="Normal"/>
              <w:rPr/>
            </w:pPr>
            <w:r>
              <w:rPr/>
              <w:t xml:space="preserve">  </w:t>
            </w:r>
          </w:p>
          <w:p>
            <w:pPr>
              <w:pStyle w:val="Normal"/>
              <w:rPr/>
            </w:pPr>
            <w:r>
              <w:rPr/>
              <w:drawing>
                <wp:inline distT="0" distB="0" distL="0" distR="0">
                  <wp:extent cx="322580" cy="184150"/>
                  <wp:effectExtent l="0" t="0" r="0" b="0"/>
                  <wp:docPr id="63" name="Изображение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descr="" title=""/>
                          <pic:cNvPicPr>
                            <a:picLocks noChangeAspect="1" noChangeArrowheads="1"/>
                          </pic:cNvPicPr>
                        </pic:nvPicPr>
                        <pic:blipFill>
                          <a:blip r:embed="rId64"/>
                          <a:stretch>
                            <a:fillRect/>
                          </a:stretch>
                        </pic:blipFill>
                        <pic:spPr bwMode="auto">
                          <a:xfrm>
                            <a:off x="0" y="0"/>
                            <a:ext cx="322580" cy="184150"/>
                          </a:xfrm>
                          <a:prstGeom prst="rect">
                            <a:avLst/>
                          </a:prstGeom>
                        </pic:spPr>
                      </pic:pic>
                    </a:graphicData>
                  </a:graphic>
                </wp:inline>
              </w:drawing>
            </w:r>
          </w:p>
        </w:tc>
        <w:tc>
          <w:tcPr>
            <w:tcW w:w="4320" w:type="dxa"/>
            <w:tcBorders/>
            <w:shd w:fill="auto" w:val="clear"/>
          </w:tcPr>
          <w:p>
            <w:pPr>
              <w:pStyle w:val="Normal"/>
              <w:rPr/>
            </w:pPr>
            <w:r>
              <w:rPr/>
              <w:t xml:space="preserve">  </w:t>
            </w:r>
          </w:p>
          <w:p>
            <w:pPr>
              <w:pStyle w:val="Normal"/>
              <w:jc w:val="both"/>
              <w:rPr/>
            </w:pPr>
            <w:r>
              <w:rPr/>
              <w:t>долевое содержание СаО в извести,</w:t>
            </w:r>
          </w:p>
          <w:p>
            <w:pPr>
              <w:pStyle w:val="Normal"/>
              <w:jc w:val="both"/>
              <w:rPr/>
            </w:pPr>
            <w:r>
              <w:rPr/>
            </w:r>
          </w:p>
        </w:tc>
      </w:tr>
      <w:tr>
        <w:trPr/>
        <w:tc>
          <w:tcPr>
            <w:tcW w:w="450" w:type="dxa"/>
            <w:tcBorders/>
            <w:shd w:fill="auto" w:val="clear"/>
          </w:tcPr>
          <w:p>
            <w:pPr>
              <w:pStyle w:val="Normal"/>
              <w:rPr/>
            </w:pPr>
            <w:r>
              <w:rPr/>
              <w:t xml:space="preserve">  </w:t>
            </w:r>
          </w:p>
          <w:p>
            <w:pPr>
              <w:pStyle w:val="Normal"/>
              <w:rPr/>
            </w:pPr>
            <w:r>
              <w:rPr/>
            </w:r>
          </w:p>
        </w:tc>
        <w:tc>
          <w:tcPr>
            <w:tcW w:w="825" w:type="dxa"/>
            <w:tcBorders/>
            <w:shd w:fill="auto" w:val="clear"/>
          </w:tcPr>
          <w:p>
            <w:pPr>
              <w:pStyle w:val="Normal"/>
              <w:rPr/>
            </w:pPr>
            <w:r>
              <w:rPr/>
              <w:t xml:space="preserve">  </w:t>
            </w:r>
          </w:p>
          <w:p>
            <w:pPr>
              <w:pStyle w:val="Normal"/>
              <w:rPr/>
            </w:pPr>
            <w:r>
              <w:rPr/>
              <w:drawing>
                <wp:inline distT="0" distB="0" distL="0" distR="0">
                  <wp:extent cx="322580" cy="184150"/>
                  <wp:effectExtent l="0" t="0" r="0" b="0"/>
                  <wp:docPr id="64" name="Изображение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descr="" title=""/>
                          <pic:cNvPicPr>
                            <a:picLocks noChangeAspect="1" noChangeArrowheads="1"/>
                          </pic:cNvPicPr>
                        </pic:nvPicPr>
                        <pic:blipFill>
                          <a:blip r:embed="rId65"/>
                          <a:stretch>
                            <a:fillRect/>
                          </a:stretch>
                        </pic:blipFill>
                        <pic:spPr bwMode="auto">
                          <a:xfrm>
                            <a:off x="0" y="0"/>
                            <a:ext cx="322580" cy="184150"/>
                          </a:xfrm>
                          <a:prstGeom prst="rect">
                            <a:avLst/>
                          </a:prstGeom>
                        </pic:spPr>
                      </pic:pic>
                    </a:graphicData>
                  </a:graphic>
                </wp:inline>
              </w:drawing>
            </w:r>
          </w:p>
        </w:tc>
        <w:tc>
          <w:tcPr>
            <w:tcW w:w="4320" w:type="dxa"/>
            <w:tcBorders/>
            <w:shd w:fill="auto" w:val="clear"/>
          </w:tcPr>
          <w:p>
            <w:pPr>
              <w:pStyle w:val="Normal"/>
              <w:snapToGrid w:val="false"/>
              <w:rPr/>
            </w:pPr>
            <w:r>
              <w:rPr/>
            </w:r>
          </w:p>
          <w:p>
            <w:pPr>
              <w:pStyle w:val="Normal"/>
              <w:rPr/>
            </w:pPr>
            <w:r>
              <w:rPr/>
              <w:t xml:space="preserve"> </w:t>
            </w:r>
            <w:r>
              <w:rPr/>
              <w:t xml:space="preserve">доза извести по СаО, г/куб.м. </w:t>
            </w:r>
          </w:p>
          <w:p>
            <w:pPr>
              <w:pStyle w:val="Normal"/>
              <w:rPr/>
            </w:pPr>
            <w:r>
              <w:rPr/>
            </w:r>
          </w:p>
        </w:tc>
      </w:tr>
    </w:tbl>
    <w:p>
      <w:pPr>
        <w:pStyle w:val="Normal"/>
        <w:jc w:val="both"/>
        <w:rPr/>
      </w:pPr>
      <w:r>
        <w:rPr/>
      </w:r>
    </w:p>
    <w:p>
      <w:pPr>
        <w:pStyle w:val="Normal"/>
        <w:ind w:firstLine="270"/>
        <w:jc w:val="both"/>
        <w:rPr/>
      </w:pPr>
      <w:r>
        <w:rPr/>
        <w:t>Период работы отстойника между сбросами осадка должен быть не менее 6 ч.</w:t>
      </w:r>
    </w:p>
    <w:p>
      <w:pPr>
        <w:pStyle w:val="Normal"/>
        <w:ind w:firstLine="225"/>
        <w:jc w:val="both"/>
        <w:rPr/>
      </w:pPr>
      <w:r>
        <w:rPr/>
      </w:r>
    </w:p>
    <w:p>
      <w:pPr>
        <w:pStyle w:val="Normal"/>
        <w:ind w:firstLine="270"/>
        <w:jc w:val="both"/>
        <w:rPr/>
      </w:pPr>
      <w:r>
        <w:rPr/>
        <w:t>6.66. Сбор осветленной воды в вертикальных отстойниках следует предусматривать периферийными и радиальными желобами с отверстиями или с треугольными вырезами.</w:t>
      </w:r>
    </w:p>
    <w:p>
      <w:pPr>
        <w:pStyle w:val="Normal"/>
        <w:ind w:firstLine="225"/>
        <w:jc w:val="both"/>
        <w:rPr/>
      </w:pPr>
      <w:r>
        <w:rPr/>
      </w:r>
    </w:p>
    <w:p>
      <w:pPr>
        <w:pStyle w:val="Normal"/>
        <w:ind w:firstLine="270"/>
        <w:jc w:val="both"/>
        <w:rPr/>
      </w:pPr>
      <w:r>
        <w:rPr/>
        <w:t>Сечения желобов следует рассчитывать на скорость движения воды 0,5-0,6 м/с.</w:t>
      </w:r>
    </w:p>
    <w:p>
      <w:pPr>
        <w:pStyle w:val="Normal"/>
        <w:ind w:firstLine="270"/>
        <w:jc w:val="both"/>
        <w:rPr/>
      </w:pPr>
      <w:r>
        <w:rPr/>
      </w:r>
    </w:p>
    <w:p>
      <w:pPr>
        <w:pStyle w:val="Normal"/>
        <w:ind w:firstLine="225"/>
        <w:jc w:val="both"/>
        <w:rPr/>
      </w:pPr>
      <w:r>
        <w:rPr/>
      </w:r>
    </w:p>
    <w:p>
      <w:pPr>
        <w:pStyle w:val="Heading"/>
        <w:jc w:val="center"/>
        <w:rPr/>
      </w:pPr>
      <w:r>
        <w:rPr/>
        <w:t>Горизонтальные отстойники</w:t>
      </w:r>
    </w:p>
    <w:p>
      <w:pPr>
        <w:pStyle w:val="Heading"/>
        <w:jc w:val="center"/>
        <w:rPr/>
      </w:pPr>
      <w:r>
        <w:rPr/>
      </w:r>
    </w:p>
    <w:p>
      <w:pPr>
        <w:pStyle w:val="Normal"/>
        <w:ind w:firstLine="270"/>
        <w:jc w:val="both"/>
        <w:rPr/>
      </w:pPr>
      <w:r>
        <w:rPr/>
      </w:r>
    </w:p>
    <w:p>
      <w:pPr>
        <w:pStyle w:val="Normal"/>
        <w:ind w:firstLine="270"/>
        <w:jc w:val="both"/>
        <w:rPr/>
      </w:pPr>
      <w:r>
        <w:rPr/>
        <w:t xml:space="preserve">6.67. Горизонтальные отстойники надлежит проектировать с рассредоточенным по площади сбором воды. Расчет отстойников следует производить для двух периодов согласно п. 6.63.     </w:t>
      </w:r>
    </w:p>
    <w:tbl>
      <w:tblPr>
        <w:tblW w:w="8415" w:type="dxa"/>
        <w:jc w:val="start"/>
        <w:tblInd w:w="165" w:type="dxa"/>
        <w:tblBorders/>
        <w:tblCellMar>
          <w:top w:w="0" w:type="dxa"/>
          <w:start w:w="15" w:type="dxa"/>
          <w:bottom w:w="0" w:type="dxa"/>
          <w:end w:w="15" w:type="dxa"/>
        </w:tblCellMar>
      </w:tblPr>
      <w:tblGrid>
        <w:gridCol w:w="4290"/>
        <w:gridCol w:w="510"/>
        <w:gridCol w:w="525"/>
        <w:gridCol w:w="3090"/>
      </w:tblGrid>
      <w:tr>
        <w:trPr/>
        <w:tc>
          <w:tcPr>
            <w:tcW w:w="4290" w:type="dxa"/>
            <w:tcBorders/>
            <w:shd w:fill="auto" w:val="clear"/>
          </w:tcPr>
          <w:p>
            <w:pPr>
              <w:pStyle w:val="Normal"/>
              <w:rPr/>
            </w:pPr>
            <w:r>
              <w:rPr>
                <w:vanish/>
              </w:rPr>
              <w:t>#G0</w:t>
            </w:r>
            <w:r>
              <w:rPr/>
              <w:t xml:space="preserve">  </w:t>
            </w:r>
          </w:p>
          <w:p>
            <w:pPr>
              <w:pStyle w:val="Normal"/>
              <w:ind w:firstLine="90"/>
              <w:jc w:val="both"/>
              <w:rPr/>
            </w:pPr>
            <w:r>
              <w:rPr/>
              <w:t xml:space="preserve">Площадь горизонтальных отстойников в плане </w:t>
            </w:r>
          </w:p>
          <w:p>
            <w:pPr>
              <w:pStyle w:val="Normal"/>
              <w:ind w:firstLine="90"/>
              <w:jc w:val="both"/>
              <w:rPr/>
            </w:pPr>
            <w:r>
              <w:rPr/>
            </w:r>
          </w:p>
        </w:tc>
        <w:tc>
          <w:tcPr>
            <w:tcW w:w="510" w:type="dxa"/>
            <w:tcBorders/>
            <w:shd w:fill="auto" w:val="clear"/>
          </w:tcPr>
          <w:p>
            <w:pPr>
              <w:pStyle w:val="Normal"/>
              <w:rPr/>
            </w:pPr>
            <w:r>
              <w:rPr/>
              <w:t xml:space="preserve">  </w:t>
            </w:r>
          </w:p>
          <w:p>
            <w:pPr>
              <w:pStyle w:val="Normal"/>
              <w:rPr/>
            </w:pPr>
            <w:r>
              <w:rPr/>
              <w:drawing>
                <wp:inline distT="0" distB="0" distL="0" distR="0">
                  <wp:extent cx="253365" cy="184150"/>
                  <wp:effectExtent l="0" t="0" r="0" b="0"/>
                  <wp:docPr id="65" name="Изображение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descr="" title=""/>
                          <pic:cNvPicPr>
                            <a:picLocks noChangeAspect="1" noChangeArrowheads="1"/>
                          </pic:cNvPicPr>
                        </pic:nvPicPr>
                        <pic:blipFill>
                          <a:blip r:embed="rId66"/>
                          <a:stretch>
                            <a:fillRect/>
                          </a:stretch>
                        </pic:blipFill>
                        <pic:spPr bwMode="auto">
                          <a:xfrm>
                            <a:off x="0" y="0"/>
                            <a:ext cx="253365" cy="184150"/>
                          </a:xfrm>
                          <a:prstGeom prst="rect">
                            <a:avLst/>
                          </a:prstGeom>
                        </pic:spPr>
                      </pic:pic>
                    </a:graphicData>
                  </a:graphic>
                </wp:inline>
              </w:drawing>
            </w:r>
          </w:p>
        </w:tc>
        <w:tc>
          <w:tcPr>
            <w:tcW w:w="525" w:type="dxa"/>
            <w:tcBorders/>
            <w:shd w:fill="auto" w:val="clear"/>
          </w:tcPr>
          <w:p>
            <w:pPr>
              <w:pStyle w:val="Normal"/>
              <w:rPr/>
            </w:pPr>
            <w:r>
              <w:rPr/>
              <w:t xml:space="preserve">  </w:t>
            </w:r>
            <w:r>
              <w:rPr/>
              <w:t>,кв.м,</w:t>
            </w:r>
          </w:p>
          <w:p>
            <w:pPr>
              <w:pStyle w:val="Normal"/>
              <w:rPr/>
            </w:pPr>
            <w:r>
              <w:rPr/>
            </w:r>
          </w:p>
        </w:tc>
        <w:tc>
          <w:tcPr>
            <w:tcW w:w="3090" w:type="dxa"/>
            <w:tcBorders/>
            <w:shd w:fill="auto" w:val="clear"/>
          </w:tcPr>
          <w:p>
            <w:pPr>
              <w:pStyle w:val="Normal"/>
              <w:rPr/>
            </w:pPr>
            <w:r>
              <w:rPr/>
              <w:t xml:space="preserve">  </w:t>
            </w:r>
          </w:p>
          <w:p>
            <w:pPr>
              <w:pStyle w:val="Normal"/>
              <w:ind w:firstLine="45"/>
              <w:jc w:val="both"/>
              <w:rPr/>
            </w:pPr>
            <w:r>
              <w:rPr/>
              <w:t xml:space="preserve">следует определять по формуле </w:t>
            </w:r>
          </w:p>
          <w:p>
            <w:pPr>
              <w:pStyle w:val="Normal"/>
              <w:ind w:firstLine="45"/>
              <w:jc w:val="both"/>
              <w:rPr/>
            </w:pPr>
            <w:r>
              <w:rPr/>
            </w:r>
          </w:p>
        </w:tc>
      </w:tr>
    </w:tbl>
    <w:p>
      <w:pPr>
        <w:pStyle w:val="Normal"/>
        <w:ind w:firstLine="765"/>
        <w:jc w:val="both"/>
        <w:rPr/>
      </w:pPr>
      <w:r>
        <w:rPr/>
        <w:tab/>
        <w:tab/>
      </w:r>
    </w:p>
    <w:p>
      <w:pPr>
        <w:pStyle w:val="Normal"/>
        <w:ind w:firstLine="135"/>
        <w:jc w:val="both"/>
        <w:rPr/>
      </w:pPr>
      <w:r>
        <w:rPr/>
        <w:drawing>
          <wp:inline distT="0" distB="0" distL="0" distR="0">
            <wp:extent cx="2499995" cy="184150"/>
            <wp:effectExtent l="0" t="0" r="0" b="0"/>
            <wp:docPr id="66" name="Изображение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descr="" title=""/>
                    <pic:cNvPicPr>
                      <a:picLocks noChangeAspect="1" noChangeArrowheads="1"/>
                    </pic:cNvPicPr>
                  </pic:nvPicPr>
                  <pic:blipFill>
                    <a:blip r:embed="rId67"/>
                    <a:stretch>
                      <a:fillRect/>
                    </a:stretch>
                  </pic:blipFill>
                  <pic:spPr bwMode="auto">
                    <a:xfrm>
                      <a:off x="0" y="0"/>
                      <a:ext cx="2499995" cy="184150"/>
                    </a:xfrm>
                    <a:prstGeom prst="rect">
                      <a:avLst/>
                    </a:prstGeom>
                  </pic:spPr>
                </pic:pic>
              </a:graphicData>
            </a:graphic>
          </wp:inline>
        </w:drawing>
      </w:r>
    </w:p>
    <w:tbl>
      <w:tblPr>
        <w:tblW w:w="8640" w:type="dxa"/>
        <w:jc w:val="start"/>
        <w:tblInd w:w="165" w:type="dxa"/>
        <w:tblBorders/>
        <w:tblCellMar>
          <w:top w:w="0" w:type="dxa"/>
          <w:start w:w="15" w:type="dxa"/>
          <w:bottom w:w="0" w:type="dxa"/>
          <w:end w:w="15" w:type="dxa"/>
        </w:tblCellMar>
      </w:tblPr>
      <w:tblGrid>
        <w:gridCol w:w="675"/>
        <w:gridCol w:w="600"/>
        <w:gridCol w:w="7365"/>
      </w:tblGrid>
      <w:tr>
        <w:trPr/>
        <w:tc>
          <w:tcPr>
            <w:tcW w:w="675" w:type="dxa"/>
            <w:tcBorders/>
            <w:shd w:fill="auto" w:val="clear"/>
          </w:tcPr>
          <w:p>
            <w:pPr>
              <w:pStyle w:val="Normal"/>
              <w:rPr/>
            </w:pPr>
            <w:r>
              <w:rPr>
                <w:vanish/>
              </w:rPr>
              <w:t>#G0</w:t>
            </w:r>
            <w:r>
              <w:rPr/>
              <w:t xml:space="preserve"> где  </w:t>
            </w:r>
          </w:p>
          <w:p>
            <w:pPr>
              <w:pStyle w:val="Normal"/>
              <w:rPr/>
            </w:pPr>
            <w:r>
              <w:rPr/>
            </w:r>
          </w:p>
        </w:tc>
        <w:tc>
          <w:tcPr>
            <w:tcW w:w="600" w:type="dxa"/>
            <w:tcBorders/>
            <w:shd w:fill="auto" w:val="clear"/>
          </w:tcPr>
          <w:p>
            <w:pPr>
              <w:pStyle w:val="Normal"/>
              <w:rPr/>
            </w:pPr>
            <w:r>
              <w:rPr/>
              <w:t xml:space="preserve">  </w:t>
            </w:r>
            <w:r>
              <w:rPr/>
              <w:t>q -</w:t>
            </w:r>
          </w:p>
          <w:p>
            <w:pPr>
              <w:pStyle w:val="Normal"/>
              <w:rPr/>
            </w:pPr>
            <w:r>
              <w:rPr/>
            </w:r>
          </w:p>
        </w:tc>
        <w:tc>
          <w:tcPr>
            <w:tcW w:w="7365" w:type="dxa"/>
            <w:tcBorders/>
            <w:shd w:fill="auto" w:val="clear"/>
          </w:tcPr>
          <w:p>
            <w:pPr>
              <w:pStyle w:val="Normal"/>
              <w:rPr/>
            </w:pPr>
            <w:r>
              <w:rPr/>
              <w:t xml:space="preserve"> </w:t>
            </w:r>
            <w:r>
              <w:rPr/>
              <w:t xml:space="preserve">расчетный расход воды, куб.м/ч, принимаемый согласно п. 6.63;      </w:t>
            </w:r>
          </w:p>
          <w:p>
            <w:pPr>
              <w:pStyle w:val="Normal"/>
              <w:rPr/>
            </w:pPr>
            <w:r>
              <w:rPr/>
            </w:r>
          </w:p>
        </w:tc>
      </w:tr>
      <w:tr>
        <w:trPr/>
        <w:tc>
          <w:tcPr>
            <w:tcW w:w="675" w:type="dxa"/>
            <w:tcBorders/>
            <w:shd w:fill="auto" w:val="clear"/>
          </w:tcPr>
          <w:p>
            <w:pPr>
              <w:pStyle w:val="Normal"/>
              <w:rPr/>
            </w:pPr>
            <w:r>
              <w:rPr/>
              <w:t xml:space="preserve">  </w:t>
            </w:r>
          </w:p>
          <w:p>
            <w:pPr>
              <w:pStyle w:val="Normal"/>
              <w:rPr/>
            </w:pPr>
            <w:r>
              <w:rPr/>
            </w:r>
          </w:p>
        </w:tc>
        <w:tc>
          <w:tcPr>
            <w:tcW w:w="600" w:type="dxa"/>
            <w:tcBorders/>
            <w:shd w:fill="auto" w:val="clear"/>
          </w:tcPr>
          <w:p>
            <w:pPr>
              <w:pStyle w:val="Normal"/>
              <w:rPr/>
            </w:pPr>
            <w:r>
              <w:rPr/>
              <w:t xml:space="preserve">  </w:t>
            </w:r>
          </w:p>
          <w:p>
            <w:pPr>
              <w:pStyle w:val="Normal"/>
              <w:rPr/>
            </w:pPr>
            <w:r>
              <w:rPr/>
              <w:drawing>
                <wp:inline distT="0" distB="0" distL="0" distR="0">
                  <wp:extent cx="276225" cy="184150"/>
                  <wp:effectExtent l="0" t="0" r="0" b="0"/>
                  <wp:docPr id="67" name="Изображение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7" descr="" title=""/>
                          <pic:cNvPicPr>
                            <a:picLocks noChangeAspect="1" noChangeArrowheads="1"/>
                          </pic:cNvPicPr>
                        </pic:nvPicPr>
                        <pic:blipFill>
                          <a:blip r:embed="rId68"/>
                          <a:stretch>
                            <a:fillRect/>
                          </a:stretch>
                        </pic:blipFill>
                        <pic:spPr bwMode="auto">
                          <a:xfrm>
                            <a:off x="0" y="0"/>
                            <a:ext cx="276225" cy="184150"/>
                          </a:xfrm>
                          <a:prstGeom prst="rect">
                            <a:avLst/>
                          </a:prstGeom>
                        </pic:spPr>
                      </pic:pic>
                    </a:graphicData>
                  </a:graphic>
                </wp:inline>
              </w:drawing>
            </w:r>
          </w:p>
        </w:tc>
        <w:tc>
          <w:tcPr>
            <w:tcW w:w="7365" w:type="dxa"/>
            <w:tcBorders/>
            <w:shd w:fill="auto" w:val="clear"/>
          </w:tcPr>
          <w:p>
            <w:pPr>
              <w:pStyle w:val="Normal"/>
              <w:rPr/>
            </w:pPr>
            <w:r>
              <w:rPr/>
              <w:t xml:space="preserve">  </w:t>
            </w:r>
          </w:p>
          <w:p>
            <w:pPr>
              <w:pStyle w:val="Normal"/>
              <w:jc w:val="both"/>
              <w:rPr/>
            </w:pPr>
            <w:r>
              <w:rPr/>
              <w:t xml:space="preserve">скорость выпадения взвеси, мм/с, принимаемая по табл. 18;     </w:t>
            </w:r>
          </w:p>
          <w:p>
            <w:pPr>
              <w:pStyle w:val="Normal"/>
              <w:jc w:val="both"/>
              <w:rPr/>
            </w:pPr>
            <w:r>
              <w:rPr/>
            </w:r>
          </w:p>
        </w:tc>
      </w:tr>
      <w:tr>
        <w:trPr/>
        <w:tc>
          <w:tcPr>
            <w:tcW w:w="675" w:type="dxa"/>
            <w:tcBorders/>
            <w:shd w:fill="auto" w:val="clear"/>
          </w:tcPr>
          <w:p>
            <w:pPr>
              <w:pStyle w:val="Normal"/>
              <w:rPr/>
            </w:pPr>
            <w:r>
              <w:rPr/>
              <w:t xml:space="preserve">  </w:t>
            </w:r>
          </w:p>
          <w:p>
            <w:pPr>
              <w:pStyle w:val="Normal"/>
              <w:rPr/>
            </w:pPr>
            <w:r>
              <w:rPr/>
            </w:r>
          </w:p>
        </w:tc>
        <w:tc>
          <w:tcPr>
            <w:tcW w:w="600" w:type="dxa"/>
            <w:tcBorders/>
            <w:shd w:fill="auto" w:val="clear"/>
          </w:tcPr>
          <w:p>
            <w:pPr>
              <w:pStyle w:val="Normal"/>
              <w:rPr/>
            </w:pPr>
            <w:r>
              <w:rPr/>
              <w:t xml:space="preserve">  </w:t>
            </w:r>
          </w:p>
          <w:p>
            <w:pPr>
              <w:pStyle w:val="Normal"/>
              <w:rPr/>
            </w:pPr>
            <w:r>
              <w:rPr/>
              <w:drawing>
                <wp:inline distT="0" distB="0" distL="0" distR="0">
                  <wp:extent cx="345440" cy="184150"/>
                  <wp:effectExtent l="0" t="0" r="0" b="0"/>
                  <wp:docPr id="68" name="Изображение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8" descr="" title=""/>
                          <pic:cNvPicPr>
                            <a:picLocks noChangeAspect="1" noChangeArrowheads="1"/>
                          </pic:cNvPicPr>
                        </pic:nvPicPr>
                        <pic:blipFill>
                          <a:blip r:embed="rId69"/>
                          <a:stretch>
                            <a:fillRect/>
                          </a:stretch>
                        </pic:blipFill>
                        <pic:spPr bwMode="auto">
                          <a:xfrm>
                            <a:off x="0" y="0"/>
                            <a:ext cx="345440" cy="184150"/>
                          </a:xfrm>
                          <a:prstGeom prst="rect">
                            <a:avLst/>
                          </a:prstGeom>
                        </pic:spPr>
                      </pic:pic>
                    </a:graphicData>
                  </a:graphic>
                </wp:inline>
              </w:drawing>
            </w:r>
          </w:p>
        </w:tc>
        <w:tc>
          <w:tcPr>
            <w:tcW w:w="7365" w:type="dxa"/>
            <w:tcBorders/>
            <w:shd w:fill="auto" w:val="clear"/>
          </w:tcPr>
          <w:p>
            <w:pPr>
              <w:pStyle w:val="Normal"/>
              <w:rPr/>
            </w:pPr>
            <w:r>
              <w:rPr/>
              <w:t xml:space="preserve">  </w:t>
            </w:r>
          </w:p>
          <w:p>
            <w:pPr>
              <w:pStyle w:val="Normal"/>
              <w:ind w:firstLine="45"/>
              <w:jc w:val="both"/>
              <w:rPr/>
            </w:pPr>
            <w:r>
              <w:rPr/>
              <w:t xml:space="preserve">коэффициент объемного использования отстойников, принимаемый равным 1,3.  </w:t>
            </w:r>
          </w:p>
          <w:p>
            <w:pPr>
              <w:pStyle w:val="Normal"/>
              <w:ind w:firstLine="45"/>
              <w:jc w:val="both"/>
              <w:rPr/>
            </w:pPr>
            <w:r>
              <w:rPr/>
            </w:r>
          </w:p>
        </w:tc>
      </w:tr>
    </w:tbl>
    <w:p>
      <w:pPr>
        <w:pStyle w:val="Normal"/>
        <w:jc w:val="end"/>
        <w:rPr/>
      </w:pPr>
      <w:r>
        <w:rPr/>
        <w:tab/>
        <w:tab/>
        <w:tab/>
      </w:r>
    </w:p>
    <w:p>
      <w:pPr>
        <w:pStyle w:val="Normal"/>
        <w:jc w:val="end"/>
        <w:rPr/>
      </w:pPr>
      <w:r>
        <w:rPr/>
      </w:r>
    </w:p>
    <w:p>
      <w:pPr>
        <w:pStyle w:val="Normal"/>
        <w:jc w:val="end"/>
        <w:rPr/>
      </w:pPr>
      <w:r>
        <w:rPr/>
        <w:t xml:space="preserve">Таблица 19 </w:t>
      </w:r>
    </w:p>
    <w:p>
      <w:pPr>
        <w:pStyle w:val="Normal"/>
        <w:ind w:firstLine="270"/>
        <w:jc w:val="both"/>
        <w:rPr/>
      </w:pPr>
      <w:r>
        <w:rPr/>
      </w:r>
    </w:p>
    <w:p>
      <w:pPr>
        <w:pStyle w:val="Normal"/>
        <w:ind w:firstLine="270"/>
        <w:jc w:val="both"/>
        <w:rPr/>
      </w:pPr>
      <w:r>
        <w:rPr/>
      </w:r>
    </w:p>
    <w:tbl>
      <w:tblPr>
        <w:tblW w:w="7025"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2160"/>
        <w:gridCol w:w="1485"/>
        <w:gridCol w:w="1155"/>
        <w:gridCol w:w="1155"/>
        <w:gridCol w:w="1070"/>
      </w:tblGrid>
      <w:tr>
        <w:trPr/>
        <w:tc>
          <w:tcPr>
            <w:tcW w:w="2160" w:type="dxa"/>
            <w:tcBorders>
              <w:top w:val="single" w:sz="2" w:space="0" w:color="000000"/>
              <w:start w:val="single" w:sz="2" w:space="0" w:color="000000"/>
            </w:tcBorders>
            <w:shd w:fill="auto" w:val="clear"/>
            <w:tcMar>
              <w:start w:w="102" w:type="dxa"/>
            </w:tcMar>
          </w:tcPr>
          <w:p>
            <w:pPr>
              <w:pStyle w:val="Normal"/>
              <w:jc w:val="center"/>
              <w:rPr>
                <w:vanish/>
              </w:rPr>
            </w:pPr>
            <w:r>
              <w:rPr>
                <w:vanish/>
              </w:rPr>
              <w:t>#G0</w:t>
            </w:r>
          </w:p>
          <w:p>
            <w:pPr>
              <w:pStyle w:val="Normal"/>
              <w:jc w:val="center"/>
              <w:rPr/>
            </w:pPr>
            <w:r>
              <w:rPr/>
            </w:r>
          </w:p>
          <w:p>
            <w:pPr>
              <w:pStyle w:val="Normal"/>
              <w:jc w:val="center"/>
              <w:rPr/>
            </w:pPr>
            <w:r>
              <w:rPr/>
              <w:t xml:space="preserve">Мутность исходной воды, мг/л </w:t>
            </w:r>
          </w:p>
          <w:p>
            <w:pPr>
              <w:pStyle w:val="Normal"/>
              <w:jc w:val="center"/>
              <w:rPr/>
            </w:pPr>
            <w:r>
              <w:rPr/>
            </w:r>
          </w:p>
        </w:tc>
        <w:tc>
          <w:tcPr>
            <w:tcW w:w="1485" w:type="dxa"/>
            <w:tcBorders>
              <w:top w:val="single" w:sz="2" w:space="0" w:color="000000"/>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Применяемые реагенты </w:t>
            </w:r>
          </w:p>
          <w:p>
            <w:pPr>
              <w:pStyle w:val="Normal"/>
              <w:rPr/>
            </w:pPr>
            <w:r>
              <w:rPr/>
            </w:r>
          </w:p>
        </w:tc>
        <w:tc>
          <w:tcPr>
            <w:tcW w:w="3380" w:type="dxa"/>
            <w:gridSpan w:val="3"/>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Средняя по высоте осадочной части отстойника концентрация твердой фазы в осадке, г/куб.м, </w:t>
            </w:r>
          </w:p>
          <w:p>
            <w:pPr>
              <w:pStyle w:val="Normal"/>
              <w:rPr/>
            </w:pPr>
            <w:r>
              <w:rPr/>
              <w:t xml:space="preserve">при интервалах между сбросами осадка, ч </w:t>
            </w:r>
          </w:p>
          <w:p>
            <w:pPr>
              <w:pStyle w:val="Normal"/>
              <w:rPr/>
            </w:pPr>
            <w:r>
              <w:rPr/>
            </w:r>
          </w:p>
        </w:tc>
      </w:tr>
      <w:tr>
        <w:trPr/>
        <w:tc>
          <w:tcPr>
            <w:tcW w:w="216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148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115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6 </w:t>
            </w:r>
          </w:p>
          <w:p>
            <w:pPr>
              <w:pStyle w:val="Normal"/>
              <w:jc w:val="center"/>
              <w:rPr/>
            </w:pPr>
            <w:r>
              <w:rPr/>
            </w:r>
          </w:p>
        </w:tc>
        <w:tc>
          <w:tcPr>
            <w:tcW w:w="115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12 </w:t>
            </w:r>
          </w:p>
          <w:p>
            <w:pPr>
              <w:pStyle w:val="Normal"/>
              <w:rPr/>
            </w:pPr>
            <w:r>
              <w:rPr/>
            </w:r>
          </w:p>
        </w:tc>
        <w:tc>
          <w:tcPr>
            <w:tcW w:w="107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24 и более </w:t>
            </w:r>
          </w:p>
          <w:p>
            <w:pPr>
              <w:pStyle w:val="Normal"/>
              <w:rPr/>
            </w:pPr>
            <w:r>
              <w:rPr/>
            </w:r>
          </w:p>
        </w:tc>
      </w:tr>
      <w:tr>
        <w:trPr/>
        <w:tc>
          <w:tcPr>
            <w:tcW w:w="2160" w:type="dxa"/>
            <w:tcBorders>
              <w:start w:val="single" w:sz="2" w:space="0" w:color="000000"/>
            </w:tcBorders>
            <w:shd w:fill="auto" w:val="clear"/>
            <w:tcMar>
              <w:start w:w="102" w:type="dxa"/>
            </w:tcMar>
          </w:tcPr>
          <w:p>
            <w:pPr>
              <w:pStyle w:val="Normal"/>
              <w:snapToGrid w:val="false"/>
              <w:jc w:val="both"/>
              <w:rPr/>
            </w:pPr>
            <w:r>
              <w:rPr/>
            </w:r>
          </w:p>
          <w:p>
            <w:pPr>
              <w:pStyle w:val="Normal"/>
              <w:ind w:firstLine="45"/>
              <w:jc w:val="both"/>
              <w:rPr/>
            </w:pPr>
            <w:r>
              <w:rPr/>
              <w:t xml:space="preserve">До      50 </w:t>
            </w:r>
          </w:p>
          <w:p>
            <w:pPr>
              <w:pStyle w:val="Normal"/>
              <w:ind w:firstLine="45"/>
              <w:jc w:val="both"/>
              <w:rPr/>
            </w:pPr>
            <w:r>
              <w:rPr/>
            </w:r>
          </w:p>
        </w:tc>
        <w:tc>
          <w:tcPr>
            <w:tcW w:w="1485" w:type="dxa"/>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t xml:space="preserve">Коагулянт </w:t>
            </w:r>
          </w:p>
          <w:p>
            <w:pPr>
              <w:pStyle w:val="Normal"/>
              <w:jc w:val="center"/>
              <w:rPr/>
            </w:pPr>
            <w:r>
              <w:rPr/>
            </w:r>
          </w:p>
        </w:tc>
        <w:tc>
          <w:tcPr>
            <w:tcW w:w="1155"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9 000 </w:t>
            </w:r>
          </w:p>
          <w:p>
            <w:pPr>
              <w:pStyle w:val="Normal"/>
              <w:rPr/>
            </w:pPr>
            <w:r>
              <w:rPr/>
            </w:r>
          </w:p>
        </w:tc>
        <w:tc>
          <w:tcPr>
            <w:tcW w:w="1155"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12 000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t xml:space="preserve">15 000 </w:t>
            </w:r>
          </w:p>
          <w:p>
            <w:pPr>
              <w:pStyle w:val="Normal"/>
              <w:rPr/>
            </w:pPr>
            <w:r>
              <w:rPr/>
            </w:r>
          </w:p>
        </w:tc>
      </w:tr>
      <w:tr>
        <w:trPr/>
        <w:tc>
          <w:tcPr>
            <w:tcW w:w="2160" w:type="dxa"/>
            <w:tcBorders>
              <w:start w:val="single" w:sz="2" w:space="0" w:color="000000"/>
            </w:tcBorders>
            <w:shd w:fill="auto" w:val="clear"/>
            <w:tcMar>
              <w:start w:w="102" w:type="dxa"/>
            </w:tcMar>
          </w:tcPr>
          <w:p>
            <w:pPr>
              <w:pStyle w:val="Normal"/>
              <w:ind w:firstLine="45"/>
              <w:jc w:val="both"/>
              <w:rPr/>
            </w:pPr>
            <w:r>
              <w:rPr/>
              <w:t xml:space="preserve">Св.     50   до     100 </w:t>
            </w:r>
          </w:p>
          <w:p>
            <w:pPr>
              <w:pStyle w:val="Normal"/>
              <w:ind w:firstLine="45"/>
              <w:jc w:val="both"/>
              <w:rPr/>
            </w:pPr>
            <w:r>
              <w:rPr/>
            </w:r>
          </w:p>
        </w:tc>
        <w:tc>
          <w:tcPr>
            <w:tcW w:w="1485" w:type="dxa"/>
            <w:tcBorders>
              <w:start w:val="single" w:sz="2" w:space="0" w:color="000000"/>
            </w:tcBorders>
            <w:shd w:fill="auto" w:val="clear"/>
            <w:tcMar>
              <w:start w:w="102" w:type="dxa"/>
            </w:tcMar>
          </w:tcPr>
          <w:p>
            <w:pPr>
              <w:pStyle w:val="Normal"/>
              <w:jc w:val="center"/>
              <w:rPr/>
            </w:pPr>
            <w:r>
              <w:rPr/>
              <w:t>«</w:t>
            </w:r>
          </w:p>
          <w:p>
            <w:pPr>
              <w:pStyle w:val="Normal"/>
              <w:jc w:val="center"/>
              <w:rPr/>
            </w:pPr>
            <w:r>
              <w:rPr/>
            </w:r>
          </w:p>
        </w:tc>
        <w:tc>
          <w:tcPr>
            <w:tcW w:w="1155" w:type="dxa"/>
            <w:tcBorders>
              <w:start w:val="single" w:sz="2" w:space="0" w:color="000000"/>
            </w:tcBorders>
            <w:shd w:fill="auto" w:val="clear"/>
            <w:tcMar>
              <w:start w:w="102" w:type="dxa"/>
            </w:tcMar>
          </w:tcPr>
          <w:p>
            <w:pPr>
              <w:pStyle w:val="Normal"/>
              <w:rPr/>
            </w:pPr>
            <w:r>
              <w:rPr/>
              <w:t xml:space="preserve">12 000 </w:t>
            </w:r>
          </w:p>
          <w:p>
            <w:pPr>
              <w:pStyle w:val="Normal"/>
              <w:rPr/>
            </w:pPr>
            <w:r>
              <w:rPr/>
            </w:r>
          </w:p>
        </w:tc>
        <w:tc>
          <w:tcPr>
            <w:tcW w:w="1155" w:type="dxa"/>
            <w:tcBorders>
              <w:start w:val="single" w:sz="2" w:space="0" w:color="000000"/>
            </w:tcBorders>
            <w:shd w:fill="auto" w:val="clear"/>
            <w:tcMar>
              <w:start w:w="102" w:type="dxa"/>
            </w:tcMar>
          </w:tcPr>
          <w:p>
            <w:pPr>
              <w:pStyle w:val="Normal"/>
              <w:rPr/>
            </w:pPr>
            <w:r>
              <w:rPr/>
              <w:t xml:space="preserve">16 000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20 000 </w:t>
            </w:r>
          </w:p>
          <w:p>
            <w:pPr>
              <w:pStyle w:val="Normal"/>
              <w:rPr/>
            </w:pPr>
            <w:r>
              <w:rPr/>
            </w:r>
          </w:p>
        </w:tc>
      </w:tr>
      <w:tr>
        <w:trPr/>
        <w:tc>
          <w:tcPr>
            <w:tcW w:w="2160" w:type="dxa"/>
            <w:tcBorders>
              <w:start w:val="single" w:sz="2" w:space="0" w:color="000000"/>
            </w:tcBorders>
            <w:shd w:fill="auto" w:val="clear"/>
            <w:tcMar>
              <w:start w:w="102" w:type="dxa"/>
            </w:tcMar>
          </w:tcPr>
          <w:p>
            <w:pPr>
              <w:pStyle w:val="Normal"/>
              <w:ind w:firstLine="90"/>
              <w:jc w:val="both"/>
              <w:rPr/>
            </w:pPr>
            <w:r>
              <w:rPr/>
              <w:t xml:space="preserve">«     100    «       400 </w:t>
            </w:r>
          </w:p>
          <w:p>
            <w:pPr>
              <w:pStyle w:val="Normal"/>
              <w:ind w:firstLine="90"/>
              <w:jc w:val="both"/>
              <w:rPr/>
            </w:pPr>
            <w:r>
              <w:rPr/>
            </w:r>
          </w:p>
        </w:tc>
        <w:tc>
          <w:tcPr>
            <w:tcW w:w="1485" w:type="dxa"/>
            <w:tcBorders>
              <w:start w:val="single" w:sz="2" w:space="0" w:color="000000"/>
            </w:tcBorders>
            <w:shd w:fill="auto" w:val="clear"/>
            <w:tcMar>
              <w:start w:w="102" w:type="dxa"/>
            </w:tcMar>
          </w:tcPr>
          <w:p>
            <w:pPr>
              <w:pStyle w:val="Normal"/>
              <w:jc w:val="center"/>
              <w:rPr/>
            </w:pPr>
            <w:r>
              <w:rPr/>
              <w:t>«</w:t>
            </w:r>
          </w:p>
          <w:p>
            <w:pPr>
              <w:pStyle w:val="Normal"/>
              <w:jc w:val="center"/>
              <w:rPr/>
            </w:pPr>
            <w:r>
              <w:rPr/>
            </w:r>
          </w:p>
        </w:tc>
        <w:tc>
          <w:tcPr>
            <w:tcW w:w="1155" w:type="dxa"/>
            <w:tcBorders>
              <w:start w:val="single" w:sz="2" w:space="0" w:color="000000"/>
            </w:tcBorders>
            <w:shd w:fill="auto" w:val="clear"/>
            <w:tcMar>
              <w:start w:w="102" w:type="dxa"/>
            </w:tcMar>
          </w:tcPr>
          <w:p>
            <w:pPr>
              <w:pStyle w:val="Normal"/>
              <w:rPr/>
            </w:pPr>
            <w:r>
              <w:rPr/>
              <w:t xml:space="preserve">20 000 </w:t>
            </w:r>
          </w:p>
          <w:p>
            <w:pPr>
              <w:pStyle w:val="Normal"/>
              <w:rPr/>
            </w:pPr>
            <w:r>
              <w:rPr/>
            </w:r>
          </w:p>
        </w:tc>
        <w:tc>
          <w:tcPr>
            <w:tcW w:w="1155" w:type="dxa"/>
            <w:tcBorders>
              <w:start w:val="single" w:sz="2" w:space="0" w:color="000000"/>
            </w:tcBorders>
            <w:shd w:fill="auto" w:val="clear"/>
            <w:tcMar>
              <w:start w:w="102" w:type="dxa"/>
            </w:tcMar>
          </w:tcPr>
          <w:p>
            <w:pPr>
              <w:pStyle w:val="Normal"/>
              <w:rPr/>
            </w:pPr>
            <w:r>
              <w:rPr/>
              <w:t xml:space="preserve">32 000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40 000 </w:t>
            </w:r>
          </w:p>
          <w:p>
            <w:pPr>
              <w:pStyle w:val="Normal"/>
              <w:rPr/>
            </w:pPr>
            <w:r>
              <w:rPr/>
            </w:r>
          </w:p>
        </w:tc>
      </w:tr>
      <w:tr>
        <w:trPr/>
        <w:tc>
          <w:tcPr>
            <w:tcW w:w="2160" w:type="dxa"/>
            <w:tcBorders>
              <w:start w:val="single" w:sz="2" w:space="0" w:color="000000"/>
            </w:tcBorders>
            <w:shd w:fill="auto" w:val="clear"/>
            <w:tcMar>
              <w:start w:w="102" w:type="dxa"/>
            </w:tcMar>
          </w:tcPr>
          <w:p>
            <w:pPr>
              <w:pStyle w:val="Normal"/>
              <w:ind w:firstLine="90"/>
              <w:jc w:val="both"/>
              <w:rPr/>
            </w:pPr>
            <w:r>
              <w:rPr/>
              <w:t xml:space="preserve">«     400    «     1000 </w:t>
            </w:r>
          </w:p>
          <w:p>
            <w:pPr>
              <w:pStyle w:val="Normal"/>
              <w:ind w:firstLine="90"/>
              <w:jc w:val="both"/>
              <w:rPr/>
            </w:pPr>
            <w:r>
              <w:rPr/>
            </w:r>
          </w:p>
        </w:tc>
        <w:tc>
          <w:tcPr>
            <w:tcW w:w="1485" w:type="dxa"/>
            <w:tcBorders>
              <w:start w:val="single" w:sz="2" w:space="0" w:color="000000"/>
            </w:tcBorders>
            <w:shd w:fill="auto" w:val="clear"/>
            <w:tcMar>
              <w:start w:w="102" w:type="dxa"/>
            </w:tcMar>
          </w:tcPr>
          <w:p>
            <w:pPr>
              <w:pStyle w:val="Normal"/>
              <w:jc w:val="center"/>
              <w:rPr/>
            </w:pPr>
            <w:r>
              <w:rPr/>
              <w:t>«</w:t>
            </w:r>
          </w:p>
          <w:p>
            <w:pPr>
              <w:pStyle w:val="Normal"/>
              <w:jc w:val="center"/>
              <w:rPr/>
            </w:pPr>
            <w:r>
              <w:rPr/>
            </w:r>
          </w:p>
        </w:tc>
        <w:tc>
          <w:tcPr>
            <w:tcW w:w="1155" w:type="dxa"/>
            <w:tcBorders>
              <w:start w:val="single" w:sz="2" w:space="0" w:color="000000"/>
            </w:tcBorders>
            <w:shd w:fill="auto" w:val="clear"/>
            <w:tcMar>
              <w:start w:w="102" w:type="dxa"/>
            </w:tcMar>
          </w:tcPr>
          <w:p>
            <w:pPr>
              <w:pStyle w:val="Normal"/>
              <w:rPr/>
            </w:pPr>
            <w:r>
              <w:rPr/>
              <w:t xml:space="preserve">35 000 </w:t>
            </w:r>
          </w:p>
          <w:p>
            <w:pPr>
              <w:pStyle w:val="Normal"/>
              <w:rPr/>
            </w:pPr>
            <w:r>
              <w:rPr/>
            </w:r>
          </w:p>
        </w:tc>
        <w:tc>
          <w:tcPr>
            <w:tcW w:w="1155" w:type="dxa"/>
            <w:tcBorders>
              <w:start w:val="single" w:sz="2" w:space="0" w:color="000000"/>
            </w:tcBorders>
            <w:shd w:fill="auto" w:val="clear"/>
            <w:tcMar>
              <w:start w:w="102" w:type="dxa"/>
            </w:tcMar>
          </w:tcPr>
          <w:p>
            <w:pPr>
              <w:pStyle w:val="Normal"/>
              <w:rPr/>
            </w:pPr>
            <w:r>
              <w:rPr/>
              <w:t xml:space="preserve">50 000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60 000 </w:t>
            </w:r>
          </w:p>
          <w:p>
            <w:pPr>
              <w:pStyle w:val="Normal"/>
              <w:rPr/>
            </w:pPr>
            <w:r>
              <w:rPr/>
            </w:r>
          </w:p>
        </w:tc>
      </w:tr>
      <w:tr>
        <w:trPr/>
        <w:tc>
          <w:tcPr>
            <w:tcW w:w="2160" w:type="dxa"/>
            <w:tcBorders>
              <w:start w:val="single" w:sz="2" w:space="0" w:color="000000"/>
            </w:tcBorders>
            <w:shd w:fill="auto" w:val="clear"/>
            <w:tcMar>
              <w:start w:w="102" w:type="dxa"/>
            </w:tcMar>
          </w:tcPr>
          <w:p>
            <w:pPr>
              <w:pStyle w:val="Normal"/>
              <w:ind w:firstLine="90"/>
              <w:jc w:val="both"/>
              <w:rPr/>
            </w:pPr>
            <w:r>
              <w:rPr/>
              <w:t xml:space="preserve">«   1000    «     1500 </w:t>
            </w:r>
          </w:p>
          <w:p>
            <w:pPr>
              <w:pStyle w:val="Normal"/>
              <w:ind w:firstLine="90"/>
              <w:jc w:val="both"/>
              <w:rPr/>
            </w:pPr>
            <w:r>
              <w:rPr/>
            </w:r>
          </w:p>
        </w:tc>
        <w:tc>
          <w:tcPr>
            <w:tcW w:w="1485" w:type="dxa"/>
            <w:tcBorders>
              <w:start w:val="single" w:sz="2" w:space="0" w:color="000000"/>
            </w:tcBorders>
            <w:shd w:fill="auto" w:val="clear"/>
            <w:tcMar>
              <w:start w:w="102" w:type="dxa"/>
            </w:tcMar>
          </w:tcPr>
          <w:p>
            <w:pPr>
              <w:pStyle w:val="Normal"/>
              <w:jc w:val="center"/>
              <w:rPr/>
            </w:pPr>
            <w:r>
              <w:rPr/>
              <w:t>«</w:t>
            </w:r>
          </w:p>
          <w:p>
            <w:pPr>
              <w:pStyle w:val="Normal"/>
              <w:jc w:val="center"/>
              <w:rPr/>
            </w:pPr>
            <w:r>
              <w:rPr/>
            </w:r>
          </w:p>
        </w:tc>
        <w:tc>
          <w:tcPr>
            <w:tcW w:w="1155" w:type="dxa"/>
            <w:tcBorders>
              <w:start w:val="single" w:sz="2" w:space="0" w:color="000000"/>
            </w:tcBorders>
            <w:shd w:fill="auto" w:val="clear"/>
            <w:tcMar>
              <w:start w:w="102" w:type="dxa"/>
            </w:tcMar>
          </w:tcPr>
          <w:p>
            <w:pPr>
              <w:pStyle w:val="Normal"/>
              <w:rPr/>
            </w:pPr>
            <w:r>
              <w:rPr/>
              <w:t xml:space="preserve">80 000 </w:t>
            </w:r>
          </w:p>
          <w:p>
            <w:pPr>
              <w:pStyle w:val="Normal"/>
              <w:rPr/>
            </w:pPr>
            <w:r>
              <w:rPr/>
            </w:r>
          </w:p>
        </w:tc>
        <w:tc>
          <w:tcPr>
            <w:tcW w:w="1155" w:type="dxa"/>
            <w:tcBorders>
              <w:start w:val="single" w:sz="2" w:space="0" w:color="000000"/>
            </w:tcBorders>
            <w:shd w:fill="auto" w:val="clear"/>
            <w:tcMar>
              <w:start w:w="102" w:type="dxa"/>
            </w:tcMar>
          </w:tcPr>
          <w:p>
            <w:pPr>
              <w:pStyle w:val="Normal"/>
              <w:rPr/>
            </w:pPr>
            <w:r>
              <w:rPr/>
              <w:t xml:space="preserve">100 000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120 000 </w:t>
            </w:r>
          </w:p>
          <w:p>
            <w:pPr>
              <w:pStyle w:val="Normal"/>
              <w:rPr/>
            </w:pPr>
            <w:r>
              <w:rPr/>
            </w:r>
          </w:p>
        </w:tc>
      </w:tr>
      <w:tr>
        <w:trPr/>
        <w:tc>
          <w:tcPr>
            <w:tcW w:w="2160" w:type="dxa"/>
            <w:tcBorders>
              <w:start w:val="single" w:sz="2" w:space="0" w:color="000000"/>
            </w:tcBorders>
            <w:shd w:fill="auto" w:val="clear"/>
            <w:tcMar>
              <w:start w:w="102" w:type="dxa"/>
            </w:tcMar>
          </w:tcPr>
          <w:p>
            <w:pPr>
              <w:pStyle w:val="Normal"/>
              <w:ind w:firstLine="90"/>
              <w:jc w:val="both"/>
              <w:rPr/>
            </w:pPr>
            <w:r>
              <w:rPr/>
              <w:t xml:space="preserve">«   1500 </w:t>
            </w:r>
          </w:p>
          <w:p>
            <w:pPr>
              <w:pStyle w:val="Normal"/>
              <w:ind w:firstLine="90"/>
              <w:jc w:val="both"/>
              <w:rPr/>
            </w:pPr>
            <w:r>
              <w:rPr/>
            </w:r>
          </w:p>
        </w:tc>
        <w:tc>
          <w:tcPr>
            <w:tcW w:w="1485" w:type="dxa"/>
            <w:tcBorders>
              <w:start w:val="single" w:sz="2" w:space="0" w:color="000000"/>
            </w:tcBorders>
            <w:shd w:fill="auto" w:val="clear"/>
            <w:tcMar>
              <w:start w:w="102" w:type="dxa"/>
            </w:tcMar>
          </w:tcPr>
          <w:p>
            <w:pPr>
              <w:pStyle w:val="Normal"/>
              <w:jc w:val="center"/>
              <w:rPr/>
            </w:pPr>
            <w:r>
              <w:rPr/>
              <w:t xml:space="preserve">Флокулянт </w:t>
            </w:r>
          </w:p>
          <w:p>
            <w:pPr>
              <w:pStyle w:val="Normal"/>
              <w:jc w:val="center"/>
              <w:rPr/>
            </w:pPr>
            <w:r>
              <w:rPr/>
            </w:r>
          </w:p>
        </w:tc>
        <w:tc>
          <w:tcPr>
            <w:tcW w:w="1155" w:type="dxa"/>
            <w:tcBorders>
              <w:start w:val="single" w:sz="2" w:space="0" w:color="000000"/>
            </w:tcBorders>
            <w:shd w:fill="auto" w:val="clear"/>
            <w:tcMar>
              <w:start w:w="102" w:type="dxa"/>
            </w:tcMar>
          </w:tcPr>
          <w:p>
            <w:pPr>
              <w:pStyle w:val="Normal"/>
              <w:rPr/>
            </w:pPr>
            <w:r>
              <w:rPr/>
              <w:t xml:space="preserve">90 000 </w:t>
            </w:r>
          </w:p>
          <w:p>
            <w:pPr>
              <w:pStyle w:val="Normal"/>
              <w:rPr/>
            </w:pPr>
            <w:r>
              <w:rPr/>
            </w:r>
          </w:p>
        </w:tc>
        <w:tc>
          <w:tcPr>
            <w:tcW w:w="1155" w:type="dxa"/>
            <w:tcBorders>
              <w:start w:val="single" w:sz="2" w:space="0" w:color="000000"/>
            </w:tcBorders>
            <w:shd w:fill="auto" w:val="clear"/>
            <w:tcMar>
              <w:start w:w="102" w:type="dxa"/>
            </w:tcMar>
          </w:tcPr>
          <w:p>
            <w:pPr>
              <w:pStyle w:val="Normal"/>
              <w:rPr/>
            </w:pPr>
            <w:r>
              <w:rPr/>
              <w:t xml:space="preserve">140 000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160 000 </w:t>
            </w:r>
          </w:p>
          <w:p>
            <w:pPr>
              <w:pStyle w:val="Normal"/>
              <w:rPr/>
            </w:pPr>
            <w:r>
              <w:rPr/>
            </w:r>
          </w:p>
        </w:tc>
      </w:tr>
      <w:tr>
        <w:trPr/>
        <w:tc>
          <w:tcPr>
            <w:tcW w:w="2160" w:type="dxa"/>
            <w:tcBorders>
              <w:start w:val="single" w:sz="2" w:space="0" w:color="000000"/>
              <w:bottom w:val="single" w:sz="2" w:space="0" w:color="000000"/>
              <w:insideH w:val="single" w:sz="2" w:space="0" w:color="000000"/>
            </w:tcBorders>
            <w:shd w:fill="auto" w:val="clear"/>
            <w:tcMar>
              <w:start w:w="102" w:type="dxa"/>
            </w:tcMar>
          </w:tcPr>
          <w:p>
            <w:pPr>
              <w:pStyle w:val="Normal"/>
              <w:ind w:firstLine="90"/>
              <w:jc w:val="both"/>
              <w:rPr/>
            </w:pPr>
            <w:r>
              <w:rPr/>
              <w:t>«   1500</w:t>
            </w:r>
          </w:p>
          <w:p>
            <w:pPr>
              <w:pStyle w:val="Normal"/>
              <w:ind w:firstLine="90"/>
              <w:jc w:val="both"/>
              <w:rPr/>
            </w:pPr>
            <w:r>
              <w:rPr/>
            </w:r>
          </w:p>
          <w:p>
            <w:pPr>
              <w:pStyle w:val="Normal"/>
              <w:ind w:firstLine="90"/>
              <w:jc w:val="both"/>
              <w:rPr/>
            </w:pPr>
            <w:r>
              <w:rPr/>
            </w:r>
          </w:p>
        </w:tc>
        <w:tc>
          <w:tcPr>
            <w:tcW w:w="148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Без реагентов </w:t>
            </w:r>
          </w:p>
          <w:p>
            <w:pPr>
              <w:pStyle w:val="Normal"/>
              <w:jc w:val="center"/>
              <w:rPr/>
            </w:pPr>
            <w:r>
              <w:rPr/>
            </w:r>
          </w:p>
        </w:tc>
        <w:tc>
          <w:tcPr>
            <w:tcW w:w="115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200 000 </w:t>
            </w:r>
          </w:p>
          <w:p>
            <w:pPr>
              <w:pStyle w:val="Normal"/>
              <w:rPr/>
            </w:pPr>
            <w:r>
              <w:rPr/>
            </w:r>
          </w:p>
        </w:tc>
        <w:tc>
          <w:tcPr>
            <w:tcW w:w="115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250 000 </w:t>
            </w:r>
          </w:p>
          <w:p>
            <w:pPr>
              <w:pStyle w:val="Normal"/>
              <w:rPr/>
            </w:pPr>
            <w:r>
              <w:rPr/>
            </w:r>
          </w:p>
        </w:tc>
        <w:tc>
          <w:tcPr>
            <w:tcW w:w="107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300 000 </w:t>
            </w:r>
          </w:p>
          <w:p>
            <w:pPr>
              <w:pStyle w:val="Normal"/>
              <w:rPr/>
            </w:pPr>
            <w:r>
              <w:rPr/>
            </w:r>
          </w:p>
        </w:tc>
      </w:tr>
    </w:tbl>
    <w:p>
      <w:pPr>
        <w:pStyle w:val="Normal"/>
        <w:jc w:val="both"/>
        <w:rPr/>
      </w:pPr>
      <w:r>
        <w:rPr/>
      </w:r>
    </w:p>
    <w:p>
      <w:pPr>
        <w:pStyle w:val="Normal"/>
        <w:ind w:firstLine="270"/>
        <w:jc w:val="both"/>
        <w:rPr/>
      </w:pPr>
      <w:r>
        <w:rPr/>
        <w:t>Примечание. При обработке исходной воды коагулянтами совместно с флокулянтами среднюю концентрацию твердой фазы в осадке надлежит принимать на 25% больше для маломутных цветных вод и на 15%  - для вод средней мутности.</w:t>
      </w:r>
    </w:p>
    <w:p>
      <w:pPr>
        <w:pStyle w:val="Normal"/>
        <w:ind w:firstLine="270"/>
        <w:jc w:val="both"/>
        <w:rPr/>
      </w:pPr>
      <w:r>
        <w:rPr/>
      </w:r>
    </w:p>
    <w:p>
      <w:pPr>
        <w:pStyle w:val="Normal"/>
        <w:ind w:firstLine="270"/>
        <w:jc w:val="both"/>
        <w:rPr/>
      </w:pPr>
      <w:r>
        <w:rPr/>
        <w:t>При установке в зоне осаждения тонкослойных блоков площадь отстойника следует определять согласно п. 6.64. Блоки следует предусматривать на всей длине отстойника.</w:t>
      </w:r>
    </w:p>
    <w:p>
      <w:pPr>
        <w:pStyle w:val="Normal"/>
        <w:ind w:firstLine="135"/>
        <w:jc w:val="both"/>
        <w:rPr/>
      </w:pPr>
      <w:r>
        <w:rPr/>
      </w:r>
    </w:p>
    <w:p>
      <w:pPr>
        <w:pStyle w:val="Normal"/>
        <w:ind w:firstLine="315"/>
        <w:jc w:val="both"/>
        <w:rPr/>
      </w:pPr>
      <w:r>
        <w:rPr/>
        <w:t>6.68. Длину отстойников L, м, следует определять по формуле</w:t>
      </w:r>
    </w:p>
    <w:p>
      <w:pPr>
        <w:pStyle w:val="Normal"/>
        <w:ind w:firstLine="225"/>
        <w:jc w:val="both"/>
        <w:rPr/>
      </w:pPr>
      <w:r>
        <w:rPr/>
      </w:r>
    </w:p>
    <w:p>
      <w:pPr>
        <w:pStyle w:val="Normal"/>
        <w:ind w:firstLine="225"/>
        <w:jc w:val="both"/>
        <w:rPr/>
      </w:pPr>
      <w:r>
        <w:rPr/>
      </w:r>
    </w:p>
    <w:p>
      <w:pPr>
        <w:pStyle w:val="Normal"/>
        <w:ind w:firstLine="225"/>
        <w:jc w:val="both"/>
        <w:rPr/>
      </w:pPr>
      <w:r>
        <w:rPr/>
      </w:r>
    </w:p>
    <w:p>
      <w:pPr>
        <w:pStyle w:val="Normal"/>
        <w:ind w:firstLine="270"/>
        <w:jc w:val="both"/>
        <w:rPr/>
      </w:pPr>
      <w:r>
        <w:rPr/>
        <w:drawing>
          <wp:inline distT="0" distB="0" distL="0" distR="0">
            <wp:extent cx="3732530" cy="207645"/>
            <wp:effectExtent l="0" t="0" r="0" b="0"/>
            <wp:docPr id="69" name="Изображение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9" descr="" title=""/>
                    <pic:cNvPicPr>
                      <a:picLocks noChangeAspect="1" noChangeArrowheads="1"/>
                    </pic:cNvPicPr>
                  </pic:nvPicPr>
                  <pic:blipFill>
                    <a:blip r:embed="rId70"/>
                    <a:stretch>
                      <a:fillRect/>
                    </a:stretch>
                  </pic:blipFill>
                  <pic:spPr bwMode="auto">
                    <a:xfrm>
                      <a:off x="0" y="0"/>
                      <a:ext cx="3732530" cy="207645"/>
                    </a:xfrm>
                    <a:prstGeom prst="rect">
                      <a:avLst/>
                    </a:prstGeom>
                  </pic:spPr>
                </pic:pic>
              </a:graphicData>
            </a:graphic>
          </wp:inline>
        </w:drawing>
      </w:r>
    </w:p>
    <w:p>
      <w:pPr>
        <w:pStyle w:val="Normal"/>
        <w:ind w:firstLine="225"/>
        <w:jc w:val="both"/>
        <w:rPr/>
      </w:pPr>
      <w:r>
        <w:rPr/>
      </w:r>
    </w:p>
    <w:p>
      <w:pPr>
        <w:pStyle w:val="Normal"/>
        <w:ind w:firstLine="45"/>
        <w:jc w:val="both"/>
        <w:rPr/>
      </w:pPr>
      <w:r>
        <w:rPr/>
        <w:tab/>
        <w:tab/>
        <w:tab/>
        <w:tab/>
        <w:t xml:space="preserve">      </w:t>
      </w:r>
    </w:p>
    <w:tbl>
      <w:tblPr>
        <w:tblW w:w="8445" w:type="dxa"/>
        <w:jc w:val="start"/>
        <w:tblInd w:w="195" w:type="dxa"/>
        <w:tblBorders/>
        <w:tblCellMar>
          <w:top w:w="0" w:type="dxa"/>
          <w:start w:w="15" w:type="dxa"/>
          <w:bottom w:w="0" w:type="dxa"/>
          <w:end w:w="15" w:type="dxa"/>
        </w:tblCellMar>
      </w:tblPr>
      <w:tblGrid>
        <w:gridCol w:w="675"/>
        <w:gridCol w:w="675"/>
        <w:gridCol w:w="7095"/>
      </w:tblGrid>
      <w:tr>
        <w:trPr/>
        <w:tc>
          <w:tcPr>
            <w:tcW w:w="675" w:type="dxa"/>
            <w:tcBorders/>
            <w:shd w:fill="auto" w:val="clear"/>
          </w:tcPr>
          <w:p>
            <w:pPr>
              <w:pStyle w:val="Normal"/>
              <w:rPr>
                <w:vanish/>
              </w:rPr>
            </w:pPr>
            <w:r>
              <w:rPr>
                <w:vanish/>
              </w:rPr>
              <w:t>#G0</w:t>
            </w:r>
          </w:p>
          <w:p>
            <w:pPr>
              <w:pStyle w:val="Normal"/>
              <w:rPr/>
            </w:pPr>
            <w:r>
              <w:rPr/>
              <w:t xml:space="preserve">     </w:t>
            </w:r>
            <w:r>
              <w:rPr/>
              <w:t xml:space="preserve">где </w:t>
            </w:r>
          </w:p>
          <w:p>
            <w:pPr>
              <w:pStyle w:val="Normal"/>
              <w:rPr/>
            </w:pPr>
            <w:r>
              <w:rPr/>
            </w:r>
          </w:p>
        </w:tc>
        <w:tc>
          <w:tcPr>
            <w:tcW w:w="675" w:type="dxa"/>
            <w:tcBorders/>
            <w:shd w:fill="auto" w:val="clear"/>
          </w:tcPr>
          <w:p>
            <w:pPr>
              <w:pStyle w:val="Normal"/>
              <w:rPr/>
            </w:pPr>
            <w:r>
              <w:rPr/>
              <w:t xml:space="preserve">  </w:t>
            </w:r>
          </w:p>
          <w:p>
            <w:pPr>
              <w:pStyle w:val="Normal"/>
              <w:rPr/>
            </w:pPr>
            <w:r>
              <w:rPr/>
              <w:drawing>
                <wp:inline distT="0" distB="0" distL="0" distR="0">
                  <wp:extent cx="241935" cy="207645"/>
                  <wp:effectExtent l="0" t="0" r="0" b="0"/>
                  <wp:docPr id="70" name="Изображение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70" descr="" title=""/>
                          <pic:cNvPicPr>
                            <a:picLocks noChangeAspect="1" noChangeArrowheads="1"/>
                          </pic:cNvPicPr>
                        </pic:nvPicPr>
                        <pic:blipFill>
                          <a:blip r:embed="rId71"/>
                          <a:stretch>
                            <a:fillRect/>
                          </a:stretch>
                        </pic:blipFill>
                        <pic:spPr bwMode="auto">
                          <a:xfrm>
                            <a:off x="0" y="0"/>
                            <a:ext cx="241935" cy="207645"/>
                          </a:xfrm>
                          <a:prstGeom prst="rect">
                            <a:avLst/>
                          </a:prstGeom>
                        </pic:spPr>
                      </pic:pic>
                    </a:graphicData>
                  </a:graphic>
                </wp:inline>
              </w:drawing>
            </w:r>
          </w:p>
        </w:tc>
        <w:tc>
          <w:tcPr>
            <w:tcW w:w="7095" w:type="dxa"/>
            <w:tcBorders/>
            <w:shd w:fill="auto" w:val="clear"/>
          </w:tcPr>
          <w:p>
            <w:pPr>
              <w:pStyle w:val="Normal"/>
              <w:rPr/>
            </w:pPr>
            <w:r>
              <w:rPr/>
              <w:t xml:space="preserve">  </w:t>
            </w:r>
          </w:p>
          <w:p>
            <w:pPr>
              <w:pStyle w:val="Normal"/>
              <w:rPr/>
            </w:pPr>
            <w:r>
              <w:rPr/>
              <w:t>- средняя высота зоны осаждения, м, принимаемая равной 3-3,5 м в зависимости от высотной схемы станции;</w:t>
            </w:r>
          </w:p>
          <w:p>
            <w:pPr>
              <w:pStyle w:val="Normal"/>
              <w:rPr/>
            </w:pPr>
            <w:r>
              <w:rPr/>
            </w:r>
          </w:p>
        </w:tc>
      </w:tr>
      <w:tr>
        <w:trPr/>
        <w:tc>
          <w:tcPr>
            <w:tcW w:w="675" w:type="dxa"/>
            <w:tcBorders/>
            <w:shd w:fill="auto" w:val="clear"/>
          </w:tcPr>
          <w:p>
            <w:pPr>
              <w:pStyle w:val="Normal"/>
              <w:rPr/>
            </w:pPr>
            <w:r>
              <w:rPr/>
              <w:t xml:space="preserve">  </w:t>
            </w:r>
          </w:p>
          <w:p>
            <w:pPr>
              <w:pStyle w:val="Normal"/>
              <w:rPr/>
            </w:pPr>
            <w:r>
              <w:rPr/>
            </w:r>
          </w:p>
        </w:tc>
        <w:tc>
          <w:tcPr>
            <w:tcW w:w="675" w:type="dxa"/>
            <w:tcBorders/>
            <w:shd w:fill="auto" w:val="clear"/>
          </w:tcPr>
          <w:p>
            <w:pPr>
              <w:pStyle w:val="Normal"/>
              <w:rPr/>
            </w:pPr>
            <w:r>
              <w:rPr/>
              <w:t xml:space="preserve">  </w:t>
            </w:r>
          </w:p>
          <w:p>
            <w:pPr>
              <w:pStyle w:val="Normal"/>
              <w:rPr/>
            </w:pPr>
            <w:r>
              <w:rPr/>
              <w:drawing>
                <wp:inline distT="0" distB="0" distL="0" distR="0">
                  <wp:extent cx="207645" cy="207645"/>
                  <wp:effectExtent l="0" t="0" r="0" b="0"/>
                  <wp:docPr id="71" name="Изображение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1" descr="" title=""/>
                          <pic:cNvPicPr>
                            <a:picLocks noChangeAspect="1" noChangeArrowheads="1"/>
                          </pic:cNvPicPr>
                        </pic:nvPicPr>
                        <pic:blipFill>
                          <a:blip r:embed="rId72"/>
                          <a:stretch>
                            <a:fillRect/>
                          </a:stretch>
                        </pic:blipFill>
                        <pic:spPr bwMode="auto">
                          <a:xfrm>
                            <a:off x="0" y="0"/>
                            <a:ext cx="207645" cy="207645"/>
                          </a:xfrm>
                          <a:prstGeom prst="rect">
                            <a:avLst/>
                          </a:prstGeom>
                        </pic:spPr>
                      </pic:pic>
                    </a:graphicData>
                  </a:graphic>
                </wp:inline>
              </w:drawing>
            </w:r>
          </w:p>
        </w:tc>
        <w:tc>
          <w:tcPr>
            <w:tcW w:w="7095" w:type="dxa"/>
            <w:tcBorders/>
            <w:shd w:fill="auto" w:val="clear"/>
          </w:tcPr>
          <w:p>
            <w:pPr>
              <w:pStyle w:val="Normal"/>
              <w:rPr/>
            </w:pPr>
            <w:r>
              <w:rPr/>
              <w:t xml:space="preserve">  </w:t>
            </w:r>
          </w:p>
          <w:p>
            <w:pPr>
              <w:pStyle w:val="Normal"/>
              <w:jc w:val="both"/>
              <w:rPr/>
            </w:pPr>
            <w:r>
              <w:rPr/>
              <w:t>- расчетная скорость горизонтального движения воды в начале отстойника, принимаемая равной 6-8, 7-10 и 9-12 мм/с соответственно для вод маломутных, средней мутности и мутных.</w:t>
            </w:r>
          </w:p>
          <w:p>
            <w:pPr>
              <w:pStyle w:val="Normal"/>
              <w:jc w:val="both"/>
              <w:rPr/>
            </w:pPr>
            <w:r>
              <w:rPr/>
            </w:r>
          </w:p>
        </w:tc>
      </w:tr>
    </w:tbl>
    <w:p>
      <w:pPr>
        <w:pStyle w:val="Normal"/>
        <w:ind w:firstLine="45"/>
        <w:jc w:val="both"/>
        <w:rPr/>
      </w:pPr>
      <w:r>
        <w:rPr/>
      </w:r>
    </w:p>
    <w:p>
      <w:pPr>
        <w:pStyle w:val="Normal"/>
        <w:ind w:firstLine="270"/>
        <w:jc w:val="both"/>
        <w:rPr/>
      </w:pPr>
      <w:r>
        <w:rPr/>
        <w:t>Отстойник должен быть разделен продольными перегородками на самостоятельно действующие секции шириной не более 6 м.</w:t>
      </w:r>
    </w:p>
    <w:p>
      <w:pPr>
        <w:pStyle w:val="Normal"/>
        <w:ind w:firstLine="270"/>
        <w:jc w:val="both"/>
        <w:rPr/>
      </w:pPr>
      <w:r>
        <w:rPr/>
      </w:r>
    </w:p>
    <w:p>
      <w:pPr>
        <w:pStyle w:val="Normal"/>
        <w:ind w:firstLine="225"/>
        <w:jc w:val="both"/>
        <w:rPr/>
      </w:pPr>
      <w:r>
        <w:rPr/>
        <w:t>При количестве секций менее шести следует предусматривать одну резервную.</w:t>
      </w:r>
    </w:p>
    <w:p>
      <w:pPr>
        <w:pStyle w:val="Normal"/>
        <w:ind w:firstLine="225"/>
        <w:jc w:val="both"/>
        <w:rPr/>
      </w:pPr>
      <w:r>
        <w:rPr/>
      </w:r>
    </w:p>
    <w:p>
      <w:pPr>
        <w:pStyle w:val="Normal"/>
        <w:ind w:firstLine="225"/>
        <w:jc w:val="both"/>
        <w:rPr/>
      </w:pPr>
      <w:r>
        <w:rPr/>
        <w:t>6.69. Горизонтальные отстойники следует проектировать с механическим или гидравлическим удалением осадка (без выключения подачи воды в отстойник) или предусматривать в них гидравлическую систему смыва осадка с периодическим отключением подачи воды в отстойник в случае осветления мутных вод с образованием малоподвижных осадков. Для обмыва стен и днища отстойников следует предусматривать трубопровод с вентилями для присоединения шлангов.</w:t>
      </w:r>
    </w:p>
    <w:p>
      <w:pPr>
        <w:pStyle w:val="Normal"/>
        <w:ind w:firstLine="225"/>
        <w:jc w:val="both"/>
        <w:rPr/>
      </w:pPr>
      <w:r>
        <w:rPr/>
      </w:r>
    </w:p>
    <w:p>
      <w:pPr>
        <w:pStyle w:val="Normal"/>
        <w:ind w:firstLine="270"/>
        <w:jc w:val="both"/>
        <w:rPr/>
      </w:pPr>
      <w:r>
        <w:rPr/>
        <w:t>6.70. Для отстойников с механизированным удалением осадка скребковыми механизмами объем зоны накопления и уплотнения осадка надлежит определять в зависимости от размеров скребков, сгребающих осадок в приямок.</w:t>
      </w:r>
    </w:p>
    <w:p>
      <w:pPr>
        <w:pStyle w:val="Normal"/>
        <w:ind w:firstLine="270"/>
        <w:jc w:val="both"/>
        <w:rPr/>
      </w:pPr>
      <w:r>
        <w:rPr/>
      </w:r>
    </w:p>
    <w:p>
      <w:pPr>
        <w:pStyle w:val="Normal"/>
        <w:ind w:firstLine="225"/>
        <w:jc w:val="both"/>
        <w:rPr/>
      </w:pPr>
      <w:r>
        <w:rPr/>
        <w:t>При гидравлическом удалении или напорном смыве осадка объем зоны накопления и уплотнения осадка определяется из формулы (10) при продолжительности работы отстойника между чистками не менее 12 ч.</w:t>
      </w:r>
    </w:p>
    <w:p>
      <w:pPr>
        <w:pStyle w:val="Normal"/>
        <w:ind w:firstLine="225"/>
        <w:jc w:val="both"/>
        <w:rPr/>
      </w:pPr>
      <w:r>
        <w:rPr/>
      </w:r>
    </w:p>
    <w:p>
      <w:pPr>
        <w:pStyle w:val="Normal"/>
        <w:ind w:firstLine="225"/>
        <w:jc w:val="both"/>
        <w:rPr/>
      </w:pPr>
      <w:r>
        <w:rPr/>
        <w:t>Среднюю концентрацию уплотненного осадка следует определять по табл. 19.</w:t>
      </w:r>
    </w:p>
    <w:p>
      <w:pPr>
        <w:pStyle w:val="Normal"/>
        <w:ind w:firstLine="225"/>
        <w:jc w:val="both"/>
        <w:rPr/>
      </w:pPr>
      <w:r>
        <w:rPr/>
      </w:r>
    </w:p>
    <w:p>
      <w:pPr>
        <w:pStyle w:val="Normal"/>
        <w:ind w:firstLine="225"/>
        <w:jc w:val="both"/>
        <w:rPr/>
      </w:pPr>
      <w:r>
        <w:rPr/>
        <w:t>6.71. Для гидравлического удаления осадка следует предусматривать сборную систему из перфорированных труб, обеспечивающую удаление его в течение 20-30 мин.</w:t>
      </w:r>
    </w:p>
    <w:p>
      <w:pPr>
        <w:pStyle w:val="Normal"/>
        <w:ind w:firstLine="225"/>
        <w:jc w:val="both"/>
        <w:rPr/>
      </w:pPr>
      <w:r>
        <w:rPr/>
      </w:r>
    </w:p>
    <w:p>
      <w:pPr>
        <w:pStyle w:val="Normal"/>
        <w:ind w:firstLine="225"/>
        <w:jc w:val="both"/>
        <w:rPr/>
      </w:pPr>
      <w:r>
        <w:rPr/>
        <w:t>Дно отстойника между трубами сборной системы осадка надлежит принимать плоским или призматическим с углом наклона граней 45°.</w:t>
      </w:r>
    </w:p>
    <w:p>
      <w:pPr>
        <w:pStyle w:val="Normal"/>
        <w:ind w:firstLine="225"/>
        <w:jc w:val="both"/>
        <w:rPr/>
      </w:pPr>
      <w:r>
        <w:rPr/>
      </w:r>
    </w:p>
    <w:p>
      <w:pPr>
        <w:pStyle w:val="Normal"/>
        <w:ind w:firstLine="225"/>
        <w:jc w:val="both"/>
        <w:rPr/>
      </w:pPr>
      <w:r>
        <w:rPr/>
        <w:t>Расстояние между осями труб следует принимать не более 3 м - при призматическом днище и 2 м - при плоском.</w:t>
      </w:r>
    </w:p>
    <w:p>
      <w:pPr>
        <w:pStyle w:val="Normal"/>
        <w:ind w:firstLine="225"/>
        <w:jc w:val="both"/>
        <w:rPr/>
      </w:pPr>
      <w:r>
        <w:rPr/>
      </w:r>
    </w:p>
    <w:p>
      <w:pPr>
        <w:pStyle w:val="Normal"/>
        <w:ind w:firstLine="225"/>
        <w:jc w:val="both"/>
        <w:rPr/>
      </w:pPr>
      <w:r>
        <w:rPr/>
        <w:t>Скорость движения осадка в конце труб надлежит принимать не менее 1 м/с; в отверстиях - 1,52 м/с; диаметр отверстий - не менее 25 мм, расстояние между отверстиями - 300-500 мм.</w:t>
      </w:r>
    </w:p>
    <w:p>
      <w:pPr>
        <w:pStyle w:val="Normal"/>
        <w:ind w:firstLine="225"/>
        <w:jc w:val="both"/>
        <w:rPr/>
      </w:pPr>
      <w:r>
        <w:rPr/>
      </w:r>
    </w:p>
    <w:p>
      <w:pPr>
        <w:pStyle w:val="Normal"/>
        <w:ind w:firstLine="270"/>
        <w:jc w:val="both"/>
        <w:rPr/>
      </w:pPr>
      <w:r>
        <w:rPr/>
        <w:t>Отверстия следует располагать в шахматном порядке вниз под углом 45° к оси трубы.</w:t>
      </w:r>
    </w:p>
    <w:p>
      <w:pPr>
        <w:pStyle w:val="Normal"/>
        <w:ind w:firstLine="270"/>
        <w:jc w:val="both"/>
        <w:rPr/>
      </w:pPr>
      <w:r>
        <w:rPr/>
      </w:r>
    </w:p>
    <w:p>
      <w:pPr>
        <w:pStyle w:val="Normal"/>
        <w:ind w:firstLine="225"/>
        <w:jc w:val="both"/>
        <w:rPr/>
      </w:pPr>
      <w:r>
        <w:rPr/>
        <w:t>Отношение суммарной площади отверстий к площади сечения труб надлежит принимать равным 0,5-0,7.</w:t>
      </w:r>
    </w:p>
    <w:p>
      <w:pPr>
        <w:pStyle w:val="Normal"/>
        <w:ind w:firstLine="225"/>
        <w:jc w:val="both"/>
        <w:rPr/>
      </w:pPr>
      <w:r>
        <w:rPr/>
      </w:r>
    </w:p>
    <w:p>
      <w:pPr>
        <w:pStyle w:val="Normal"/>
        <w:ind w:firstLine="225"/>
        <w:jc w:val="both"/>
        <w:rPr/>
      </w:pPr>
      <w:r>
        <w:rPr/>
        <w:t>В начале трубы следует предусматривать отверстие диаметром не менее 15 мм для выпуска воздуха.</w:t>
      </w:r>
    </w:p>
    <w:p>
      <w:pPr>
        <w:pStyle w:val="Normal"/>
        <w:ind w:firstLine="225"/>
        <w:jc w:val="both"/>
        <w:rPr/>
      </w:pPr>
      <w:r>
        <w:rPr/>
      </w:r>
    </w:p>
    <w:p>
      <w:pPr>
        <w:pStyle w:val="Normal"/>
        <w:ind w:firstLine="225"/>
        <w:jc w:val="both"/>
        <w:rPr/>
      </w:pPr>
      <w:r>
        <w:rPr/>
        <w:t>Гидравлический расчет сборной системы осадка следует выполнять согласно п. 6.86.</w:t>
      </w:r>
    </w:p>
    <w:p>
      <w:pPr>
        <w:pStyle w:val="Normal"/>
        <w:ind w:firstLine="225"/>
        <w:jc w:val="both"/>
        <w:rPr/>
      </w:pPr>
      <w:r>
        <w:rPr/>
      </w:r>
    </w:p>
    <w:p>
      <w:pPr>
        <w:pStyle w:val="Normal"/>
        <w:ind w:firstLine="270"/>
        <w:jc w:val="both"/>
        <w:rPr/>
      </w:pPr>
      <w:r>
        <w:rPr/>
        <w:t>6.72. Напорные гидравлические системы смыва осадка, включающие телескопические дырчатые трубы с насадками, насосную установку, резервуар промывной воды и емкости для сбора и уплотнения осадка перед подачей его на сооружения обезвоживания, следует проектировать для удаления из отстойников тяжелых, трудноудаляющихся осадков, образующихся при осветлении мутных и высокомутных вод.</w:t>
      </w:r>
    </w:p>
    <w:p>
      <w:pPr>
        <w:pStyle w:val="Normal"/>
        <w:ind w:firstLine="225"/>
        <w:jc w:val="both"/>
        <w:rPr/>
      </w:pPr>
      <w:r>
        <w:rPr/>
      </w:r>
    </w:p>
    <w:p>
      <w:pPr>
        <w:pStyle w:val="Normal"/>
        <w:ind w:firstLine="270"/>
        <w:jc w:val="both"/>
        <w:rPr/>
      </w:pPr>
      <w:r>
        <w:rPr/>
        <w:t>6.73. Высоту отстойников надлежит определять как сумму высот зоны осаждения и зоны накопления осадка с учетом величины превышения строительной высоты над расчетным уровнем воды не менее 0,3 м.</w:t>
      </w:r>
    </w:p>
    <w:p>
      <w:pPr>
        <w:pStyle w:val="Normal"/>
        <w:ind w:firstLine="225"/>
        <w:jc w:val="both"/>
        <w:rPr/>
      </w:pPr>
      <w:r>
        <w:rPr/>
      </w:r>
    </w:p>
    <w:p>
      <w:pPr>
        <w:pStyle w:val="Normal"/>
        <w:ind w:firstLine="270"/>
        <w:jc w:val="both"/>
        <w:rPr/>
      </w:pPr>
      <w:r>
        <w:rPr/>
        <w:t>6.74. Количество воды, сбрасываемой из отстойника вместе с осадком, следует определять с учетом коэффициента разбавления, принимаемого:</w:t>
      </w:r>
    </w:p>
    <w:p>
      <w:pPr>
        <w:pStyle w:val="Normal"/>
        <w:ind w:firstLine="225"/>
        <w:jc w:val="both"/>
        <w:rPr/>
      </w:pPr>
      <w:r>
        <w:rPr/>
      </w:r>
    </w:p>
    <w:p>
      <w:pPr>
        <w:pStyle w:val="Normal"/>
        <w:ind w:firstLine="270"/>
        <w:jc w:val="both"/>
        <w:rPr/>
      </w:pPr>
      <w:r>
        <w:rPr/>
        <w:t xml:space="preserve">1,5 - при гидравлическом удалении осадка; </w:t>
      </w:r>
    </w:p>
    <w:p>
      <w:pPr>
        <w:pStyle w:val="Normal"/>
        <w:ind w:firstLine="270"/>
        <w:jc w:val="both"/>
        <w:rPr/>
      </w:pPr>
      <w:r>
        <w:rPr/>
      </w:r>
    </w:p>
    <w:p>
      <w:pPr>
        <w:pStyle w:val="Normal"/>
        <w:ind w:firstLine="225"/>
        <w:jc w:val="both"/>
        <w:rPr/>
      </w:pPr>
      <w:r>
        <w:rPr/>
        <w:t xml:space="preserve">1,2 - при механическом удалении осадка; </w:t>
      </w:r>
    </w:p>
    <w:p>
      <w:pPr>
        <w:pStyle w:val="Normal"/>
        <w:ind w:firstLine="225"/>
        <w:jc w:val="both"/>
        <w:rPr/>
      </w:pPr>
      <w:r>
        <w:rPr/>
      </w:r>
    </w:p>
    <w:p>
      <w:pPr>
        <w:pStyle w:val="Normal"/>
        <w:ind w:firstLine="225"/>
        <w:jc w:val="both"/>
        <w:rPr/>
      </w:pPr>
      <w:r>
        <w:rPr/>
        <w:t xml:space="preserve">2-3 -  при напорном смыве осадка. </w:t>
      </w:r>
    </w:p>
    <w:p>
      <w:pPr>
        <w:pStyle w:val="Normal"/>
        <w:ind w:firstLine="225"/>
        <w:jc w:val="both"/>
        <w:rPr/>
      </w:pPr>
      <w:r>
        <w:rPr/>
      </w:r>
    </w:p>
    <w:p>
      <w:pPr>
        <w:pStyle w:val="Normal"/>
        <w:ind w:firstLine="270"/>
        <w:jc w:val="both"/>
        <w:rPr/>
      </w:pPr>
      <w:r>
        <w:rPr/>
        <w:t>При гидравлическом удалении осадка продольный уклон дна отстойника следует принимать не менее 0,005.</w:t>
      </w:r>
    </w:p>
    <w:p>
      <w:pPr>
        <w:pStyle w:val="Normal"/>
        <w:ind w:firstLine="225"/>
        <w:jc w:val="both"/>
        <w:rPr/>
      </w:pPr>
      <w:r>
        <w:rPr/>
      </w:r>
    </w:p>
    <w:p>
      <w:pPr>
        <w:pStyle w:val="Normal"/>
        <w:ind w:firstLine="270"/>
        <w:jc w:val="both"/>
        <w:rPr/>
      </w:pPr>
      <w:r>
        <w:rPr/>
        <w:t>6.75. Сбор осветленной воды следует предусматривать системой горизонтально расположенных дырчатых труб или желобов с затопленными отверстиями или треугольными водосливами, расположенными на участке 2/3 длины отстойника, считая от задней торцевой стенки, или на всю длину отстойника при оснащении его тонкослойными блоками.</w:t>
      </w:r>
    </w:p>
    <w:p>
      <w:pPr>
        <w:pStyle w:val="Normal"/>
        <w:ind w:firstLine="225"/>
        <w:jc w:val="both"/>
        <w:rPr/>
      </w:pPr>
      <w:r>
        <w:rPr/>
      </w:r>
    </w:p>
    <w:p>
      <w:pPr>
        <w:pStyle w:val="Normal"/>
        <w:ind w:firstLine="270"/>
        <w:jc w:val="both"/>
        <w:rPr/>
      </w:pPr>
      <w:r>
        <w:rPr/>
        <w:t>Скорость движения осветленной воды в конце желобов и труб следует принимать 0,6-0,8 м/с, в отверстиях - 1 м/с.</w:t>
      </w:r>
    </w:p>
    <w:p>
      <w:pPr>
        <w:pStyle w:val="Normal"/>
        <w:ind w:firstLine="225"/>
        <w:jc w:val="both"/>
        <w:rPr/>
      </w:pPr>
      <w:r>
        <w:rPr/>
      </w:r>
    </w:p>
    <w:p>
      <w:pPr>
        <w:pStyle w:val="Normal"/>
        <w:ind w:firstLine="270"/>
        <w:jc w:val="both"/>
        <w:rPr/>
      </w:pPr>
      <w:r>
        <w:rPr/>
        <w:t>Верх желоба с затопленными отверстиями должен быть на 10 см выше максимального уровня воды в отстойнике, заглубление трубы под уровень воды необходимо определять гидравлическим расчетом.</w:t>
      </w:r>
    </w:p>
    <w:p>
      <w:pPr>
        <w:pStyle w:val="Normal"/>
        <w:ind w:firstLine="270"/>
        <w:jc w:val="both"/>
        <w:rPr/>
      </w:pPr>
      <w:r>
        <w:rPr/>
      </w:r>
    </w:p>
    <w:p>
      <w:pPr>
        <w:pStyle w:val="Normal"/>
        <w:ind w:firstLine="225"/>
        <w:jc w:val="both"/>
        <w:rPr/>
      </w:pPr>
      <w:r>
        <w:rPr/>
        <w:t>Отверстия в желобе следует располагать на 5-8 см выше дна желоба, в трубах -  горизонтально по оси. Диаметр отверстий должен быть не менее 25 мм.</w:t>
      </w:r>
    </w:p>
    <w:p>
      <w:pPr>
        <w:pStyle w:val="Normal"/>
        <w:ind w:firstLine="225"/>
        <w:jc w:val="both"/>
        <w:rPr/>
      </w:pPr>
      <w:r>
        <w:rPr/>
      </w:r>
    </w:p>
    <w:p>
      <w:pPr>
        <w:pStyle w:val="Normal"/>
        <w:ind w:firstLine="270"/>
        <w:jc w:val="both"/>
        <w:rPr/>
      </w:pPr>
      <w:r>
        <w:rPr/>
        <w:t>Излив воды из желобов и труб в сборный карман должен быть свободным (незатопленным).</w:t>
      </w:r>
    </w:p>
    <w:p>
      <w:pPr>
        <w:pStyle w:val="Normal"/>
        <w:ind w:firstLine="270"/>
        <w:jc w:val="both"/>
        <w:rPr/>
      </w:pPr>
      <w:r>
        <w:rPr/>
      </w:r>
    </w:p>
    <w:p>
      <w:pPr>
        <w:pStyle w:val="Normal"/>
        <w:ind w:firstLine="225"/>
        <w:jc w:val="both"/>
        <w:rPr/>
      </w:pPr>
      <w:r>
        <w:rPr/>
        <w:t>Расстояние между осями желобов или труб должно быть не менее 3 м.</w:t>
      </w:r>
    </w:p>
    <w:p>
      <w:pPr>
        <w:pStyle w:val="Normal"/>
        <w:ind w:firstLine="270"/>
        <w:jc w:val="both"/>
        <w:rPr/>
      </w:pPr>
      <w:r>
        <w:rPr/>
      </w:r>
    </w:p>
    <w:p>
      <w:pPr>
        <w:pStyle w:val="Normal"/>
        <w:ind w:firstLine="225"/>
        <w:jc w:val="both"/>
        <w:rPr/>
      </w:pPr>
      <w:r>
        <w:rPr/>
        <w:t>6.76. В перекрытии отстойников следует предусматривать люки для спуска в отстойники, отверстия для отбора проб на расстоянии не более 10 м друг от друга и вентиляционные трубы.</w:t>
      </w:r>
    </w:p>
    <w:p>
      <w:pPr>
        <w:pStyle w:val="Normal"/>
        <w:ind w:firstLine="270"/>
        <w:jc w:val="both"/>
        <w:rPr/>
      </w:pPr>
      <w:r>
        <w:rPr/>
      </w:r>
    </w:p>
    <w:p>
      <w:pPr>
        <w:pStyle w:val="Normal"/>
        <w:ind w:firstLine="225"/>
        <w:jc w:val="both"/>
        <w:rPr/>
      </w:pPr>
      <w:r>
        <w:rPr/>
      </w:r>
    </w:p>
    <w:p>
      <w:pPr>
        <w:pStyle w:val="Heading"/>
        <w:jc w:val="center"/>
        <w:rPr/>
      </w:pPr>
      <w:r>
        <w:rPr/>
        <w:t>Осветлители со взвешенным осадком</w:t>
      </w:r>
    </w:p>
    <w:p>
      <w:pPr>
        <w:pStyle w:val="Heading"/>
        <w:jc w:val="center"/>
        <w:rPr/>
      </w:pPr>
      <w:r>
        <w:rPr/>
      </w:r>
    </w:p>
    <w:p>
      <w:pPr>
        <w:pStyle w:val="Normal"/>
        <w:ind w:firstLine="270"/>
        <w:jc w:val="both"/>
        <w:rPr/>
      </w:pPr>
      <w:r>
        <w:rPr/>
      </w:r>
    </w:p>
    <w:p>
      <w:pPr>
        <w:pStyle w:val="Normal"/>
        <w:ind w:firstLine="270"/>
        <w:jc w:val="both"/>
        <w:rPr/>
      </w:pPr>
      <w:r>
        <w:rPr/>
        <w:t>6.77. Расчет осветлителей следует производить с учетом годовых колебаний качества обрабатываемой воды.</w:t>
      </w:r>
    </w:p>
    <w:p>
      <w:pPr>
        <w:pStyle w:val="Normal"/>
        <w:ind w:firstLine="270"/>
        <w:jc w:val="both"/>
        <w:rPr/>
      </w:pPr>
      <w:r>
        <w:rPr/>
      </w:r>
    </w:p>
    <w:p>
      <w:pPr>
        <w:pStyle w:val="Normal"/>
        <w:ind w:firstLine="225"/>
        <w:jc w:val="both"/>
        <w:rPr/>
      </w:pPr>
      <w:r>
        <w:rPr/>
        <w:t>При отсутствии данных технологических исследований скорость восходящего потока в зоне осветления v(осв) и коэффициент распределения воды между зоной осветления и зоной отделения осадка К(р.в) следует принимать по данным табл. 20 с учетом примечания к табл. 18.</w:t>
      </w:r>
    </w:p>
    <w:p>
      <w:pPr>
        <w:pStyle w:val="Normal"/>
        <w:ind w:firstLine="270"/>
        <w:jc w:val="both"/>
        <w:rPr/>
      </w:pPr>
      <w:r>
        <w:rPr/>
      </w:r>
    </w:p>
    <w:p>
      <w:pPr>
        <w:pStyle w:val="Normal"/>
        <w:jc w:val="end"/>
        <w:rPr/>
      </w:pPr>
      <w:r>
        <w:rPr/>
        <w:t xml:space="preserve">Таблица 20 </w:t>
      </w:r>
    </w:p>
    <w:p>
      <w:pPr>
        <w:pStyle w:val="Normal"/>
        <w:ind w:firstLine="270"/>
        <w:jc w:val="both"/>
        <w:rPr/>
      </w:pPr>
      <w:r>
        <w:rPr/>
      </w:r>
    </w:p>
    <w:p>
      <w:pPr>
        <w:pStyle w:val="Normal"/>
        <w:ind w:firstLine="270"/>
        <w:jc w:val="both"/>
        <w:rPr/>
      </w:pPr>
      <w:r>
        <w:rPr/>
      </w:r>
    </w:p>
    <w:tbl>
      <w:tblPr>
        <w:tblW w:w="6665"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1950"/>
        <w:gridCol w:w="1500"/>
        <w:gridCol w:w="1500"/>
        <w:gridCol w:w="1715"/>
      </w:tblGrid>
      <w:tr>
        <w:trPr/>
        <w:tc>
          <w:tcPr>
            <w:tcW w:w="1950" w:type="dxa"/>
            <w:tcBorders>
              <w:top w:val="single" w:sz="2" w:space="0" w:color="000000"/>
              <w:start w:val="single" w:sz="2" w:space="0" w:color="000000"/>
            </w:tcBorders>
            <w:shd w:fill="auto" w:val="clear"/>
            <w:tcMar>
              <w:start w:w="102" w:type="dxa"/>
            </w:tcMar>
          </w:tcPr>
          <w:p>
            <w:pPr>
              <w:pStyle w:val="Normal"/>
              <w:jc w:val="center"/>
              <w:rPr>
                <w:vanish/>
              </w:rPr>
            </w:pPr>
            <w:r>
              <w:rPr>
                <w:vanish/>
              </w:rPr>
              <w:t>#G0</w:t>
            </w:r>
          </w:p>
          <w:p>
            <w:pPr>
              <w:pStyle w:val="Normal"/>
              <w:jc w:val="center"/>
              <w:rPr/>
            </w:pPr>
            <w:r>
              <w:rPr/>
              <w:t xml:space="preserve">Мутность воды, поступающей </w:t>
            </w:r>
          </w:p>
          <w:p>
            <w:pPr>
              <w:pStyle w:val="Normal"/>
              <w:jc w:val="center"/>
              <w:rPr/>
            </w:pPr>
            <w:r>
              <w:rPr/>
            </w:r>
          </w:p>
        </w:tc>
        <w:tc>
          <w:tcPr>
            <w:tcW w:w="3000"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Скорость восходящего потока воды в зоне осветления v(осв), мм/с </w:t>
            </w:r>
          </w:p>
          <w:p>
            <w:pPr>
              <w:pStyle w:val="Normal"/>
              <w:rPr/>
            </w:pPr>
            <w:r>
              <w:rPr/>
            </w:r>
          </w:p>
        </w:tc>
        <w:tc>
          <w:tcPr>
            <w:tcW w:w="1715" w:type="dxa"/>
            <w:tcBorders>
              <w:top w:val="single" w:sz="2" w:space="0" w:color="000000"/>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t xml:space="preserve">Коэффициент распределения </w:t>
            </w:r>
          </w:p>
          <w:p>
            <w:pPr>
              <w:pStyle w:val="Normal"/>
              <w:rPr/>
            </w:pPr>
            <w:r>
              <w:rPr/>
            </w:r>
          </w:p>
        </w:tc>
      </w:tr>
      <w:tr>
        <w:trPr/>
        <w:tc>
          <w:tcPr>
            <w:tcW w:w="195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в осветлитель, мг/л </w:t>
            </w:r>
          </w:p>
          <w:p>
            <w:pPr>
              <w:pStyle w:val="Normal"/>
              <w:rPr/>
            </w:pPr>
            <w:r>
              <w:rPr/>
            </w:r>
          </w:p>
        </w:tc>
        <w:tc>
          <w:tcPr>
            <w:tcW w:w="15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в зимний период </w:t>
            </w:r>
          </w:p>
          <w:p>
            <w:pPr>
              <w:pStyle w:val="Normal"/>
              <w:rPr/>
            </w:pPr>
            <w:r>
              <w:rPr/>
            </w:r>
          </w:p>
        </w:tc>
        <w:tc>
          <w:tcPr>
            <w:tcW w:w="15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в летний период </w:t>
            </w:r>
          </w:p>
          <w:p>
            <w:pPr>
              <w:pStyle w:val="Normal"/>
              <w:rPr/>
            </w:pPr>
            <w:r>
              <w:rPr/>
            </w:r>
          </w:p>
        </w:tc>
        <w:tc>
          <w:tcPr>
            <w:tcW w:w="171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воды с </w:t>
            </w:r>
          </w:p>
          <w:p>
            <w:pPr>
              <w:pStyle w:val="Normal"/>
              <w:rPr/>
            </w:pPr>
            <w:r>
              <w:rPr/>
              <w:drawing>
                <wp:inline distT="0" distB="0" distL="0" distR="0">
                  <wp:extent cx="241935" cy="207645"/>
                  <wp:effectExtent l="0" t="0" r="0" b="0"/>
                  <wp:docPr id="72" name="Изображение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2" descr="" title=""/>
                          <pic:cNvPicPr>
                            <a:picLocks noChangeAspect="1" noChangeArrowheads="1"/>
                          </pic:cNvPicPr>
                        </pic:nvPicPr>
                        <pic:blipFill>
                          <a:blip r:embed="rId73"/>
                          <a:stretch>
                            <a:fillRect/>
                          </a:stretch>
                        </pic:blipFill>
                        <pic:spPr bwMode="auto">
                          <a:xfrm>
                            <a:off x="0" y="0"/>
                            <a:ext cx="241935" cy="207645"/>
                          </a:xfrm>
                          <a:prstGeom prst="rect">
                            <a:avLst/>
                          </a:prstGeom>
                        </pic:spPr>
                      </pic:pic>
                    </a:graphicData>
                  </a:graphic>
                </wp:inline>
              </w:drawing>
            </w:r>
            <w:r>
              <w:rPr/>
              <w:t xml:space="preserve"> </w:t>
            </w:r>
          </w:p>
          <w:p>
            <w:pPr>
              <w:pStyle w:val="Normal"/>
              <w:rPr/>
            </w:pPr>
            <w:r>
              <w:rPr/>
            </w:r>
          </w:p>
        </w:tc>
      </w:tr>
      <w:tr>
        <w:trPr/>
        <w:tc>
          <w:tcPr>
            <w:tcW w:w="1950"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От 50 до 100 </w:t>
            </w:r>
          </w:p>
          <w:p>
            <w:pPr>
              <w:pStyle w:val="Normal"/>
              <w:rPr/>
            </w:pPr>
            <w:r>
              <w:rPr/>
            </w:r>
          </w:p>
        </w:tc>
        <w:tc>
          <w:tcPr>
            <w:tcW w:w="1500"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0,5 -0,6 </w:t>
            </w:r>
          </w:p>
          <w:p>
            <w:pPr>
              <w:pStyle w:val="Normal"/>
              <w:rPr/>
            </w:pPr>
            <w:r>
              <w:rPr/>
            </w:r>
          </w:p>
        </w:tc>
        <w:tc>
          <w:tcPr>
            <w:tcW w:w="1500"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0,7 -0,8 </w:t>
            </w:r>
          </w:p>
          <w:p>
            <w:pPr>
              <w:pStyle w:val="Normal"/>
              <w:rPr/>
            </w:pPr>
            <w:r>
              <w:rPr/>
            </w:r>
          </w:p>
        </w:tc>
        <w:tc>
          <w:tcPr>
            <w:tcW w:w="1715" w:type="dxa"/>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t xml:space="preserve">0,7 -0,8 </w:t>
            </w:r>
          </w:p>
          <w:p>
            <w:pPr>
              <w:pStyle w:val="Normal"/>
              <w:rPr/>
            </w:pPr>
            <w:r>
              <w:rPr/>
            </w:r>
          </w:p>
        </w:tc>
      </w:tr>
      <w:tr>
        <w:trPr/>
        <w:tc>
          <w:tcPr>
            <w:tcW w:w="1950" w:type="dxa"/>
            <w:tcBorders>
              <w:start w:val="single" w:sz="2" w:space="0" w:color="000000"/>
            </w:tcBorders>
            <w:shd w:fill="auto" w:val="clear"/>
            <w:tcMar>
              <w:start w:w="102" w:type="dxa"/>
            </w:tcMar>
          </w:tcPr>
          <w:p>
            <w:pPr>
              <w:pStyle w:val="Normal"/>
              <w:rPr/>
            </w:pPr>
            <w:r>
              <w:rPr/>
              <w:t xml:space="preserve">Св. 100 « 400 </w:t>
            </w:r>
          </w:p>
          <w:p>
            <w:pPr>
              <w:pStyle w:val="Normal"/>
              <w:rPr/>
            </w:pPr>
            <w:r>
              <w:rPr/>
            </w:r>
          </w:p>
        </w:tc>
        <w:tc>
          <w:tcPr>
            <w:tcW w:w="1500" w:type="dxa"/>
            <w:tcBorders>
              <w:start w:val="single" w:sz="2" w:space="0" w:color="000000"/>
            </w:tcBorders>
            <w:shd w:fill="auto" w:val="clear"/>
            <w:tcMar>
              <w:start w:w="102" w:type="dxa"/>
            </w:tcMar>
          </w:tcPr>
          <w:p>
            <w:pPr>
              <w:pStyle w:val="Normal"/>
              <w:rPr/>
            </w:pPr>
            <w:r>
              <w:rPr/>
              <w:t xml:space="preserve">0,6 -0,8 </w:t>
            </w:r>
          </w:p>
          <w:p>
            <w:pPr>
              <w:pStyle w:val="Normal"/>
              <w:rPr/>
            </w:pPr>
            <w:r>
              <w:rPr/>
            </w:r>
          </w:p>
        </w:tc>
        <w:tc>
          <w:tcPr>
            <w:tcW w:w="1500" w:type="dxa"/>
            <w:tcBorders>
              <w:start w:val="single" w:sz="2" w:space="0" w:color="000000"/>
            </w:tcBorders>
            <w:shd w:fill="auto" w:val="clear"/>
            <w:tcMar>
              <w:start w:w="102" w:type="dxa"/>
            </w:tcMar>
          </w:tcPr>
          <w:p>
            <w:pPr>
              <w:pStyle w:val="Normal"/>
              <w:rPr/>
            </w:pPr>
            <w:r>
              <w:rPr/>
              <w:t xml:space="preserve">0,8 -1 </w:t>
            </w:r>
          </w:p>
          <w:p>
            <w:pPr>
              <w:pStyle w:val="Normal"/>
              <w:rPr/>
            </w:pPr>
            <w:r>
              <w:rPr/>
            </w:r>
          </w:p>
        </w:tc>
        <w:tc>
          <w:tcPr>
            <w:tcW w:w="171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0,8 -0,7 </w:t>
            </w:r>
          </w:p>
          <w:p>
            <w:pPr>
              <w:pStyle w:val="Normal"/>
              <w:rPr/>
            </w:pPr>
            <w:r>
              <w:rPr/>
            </w:r>
          </w:p>
        </w:tc>
      </w:tr>
      <w:tr>
        <w:trPr/>
        <w:tc>
          <w:tcPr>
            <w:tcW w:w="1950" w:type="dxa"/>
            <w:tcBorders>
              <w:start w:val="single" w:sz="2" w:space="0" w:color="000000"/>
            </w:tcBorders>
            <w:shd w:fill="auto" w:val="clear"/>
            <w:tcMar>
              <w:start w:w="102" w:type="dxa"/>
            </w:tcMar>
          </w:tcPr>
          <w:p>
            <w:pPr>
              <w:pStyle w:val="Normal"/>
              <w:rPr/>
            </w:pPr>
            <w:r>
              <w:rPr/>
              <w:t xml:space="preserve">    </w:t>
            </w:r>
            <w:r>
              <w:rPr/>
              <w:t xml:space="preserve">«  400 « 1000 </w:t>
            </w:r>
          </w:p>
          <w:p>
            <w:pPr>
              <w:pStyle w:val="Normal"/>
              <w:rPr/>
            </w:pPr>
            <w:r>
              <w:rPr/>
            </w:r>
          </w:p>
        </w:tc>
        <w:tc>
          <w:tcPr>
            <w:tcW w:w="1500" w:type="dxa"/>
            <w:tcBorders>
              <w:start w:val="single" w:sz="2" w:space="0" w:color="000000"/>
            </w:tcBorders>
            <w:shd w:fill="auto" w:val="clear"/>
            <w:tcMar>
              <w:start w:w="102" w:type="dxa"/>
            </w:tcMar>
          </w:tcPr>
          <w:p>
            <w:pPr>
              <w:pStyle w:val="Normal"/>
              <w:rPr/>
            </w:pPr>
            <w:r>
              <w:rPr/>
              <w:t xml:space="preserve">0,8 -1 </w:t>
            </w:r>
          </w:p>
          <w:p>
            <w:pPr>
              <w:pStyle w:val="Normal"/>
              <w:rPr/>
            </w:pPr>
            <w:r>
              <w:rPr/>
            </w:r>
          </w:p>
        </w:tc>
        <w:tc>
          <w:tcPr>
            <w:tcW w:w="1500" w:type="dxa"/>
            <w:tcBorders>
              <w:start w:val="single" w:sz="2" w:space="0" w:color="000000"/>
            </w:tcBorders>
            <w:shd w:fill="auto" w:val="clear"/>
            <w:tcMar>
              <w:start w:w="102" w:type="dxa"/>
            </w:tcMar>
          </w:tcPr>
          <w:p>
            <w:pPr>
              <w:pStyle w:val="Normal"/>
              <w:rPr/>
            </w:pPr>
            <w:r>
              <w:rPr/>
              <w:t xml:space="preserve">1 -1,1 </w:t>
            </w:r>
          </w:p>
          <w:p>
            <w:pPr>
              <w:pStyle w:val="Normal"/>
              <w:rPr/>
            </w:pPr>
            <w:r>
              <w:rPr/>
            </w:r>
          </w:p>
        </w:tc>
        <w:tc>
          <w:tcPr>
            <w:tcW w:w="171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0,7 -0,65 </w:t>
            </w:r>
          </w:p>
          <w:p>
            <w:pPr>
              <w:pStyle w:val="Normal"/>
              <w:rPr/>
            </w:pPr>
            <w:r>
              <w:rPr/>
            </w:r>
          </w:p>
        </w:tc>
      </w:tr>
      <w:tr>
        <w:trPr/>
        <w:tc>
          <w:tcPr>
            <w:tcW w:w="195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r>
              <w:rPr/>
              <w:t>« 1000 « 1500</w:t>
            </w:r>
          </w:p>
          <w:p>
            <w:pPr>
              <w:pStyle w:val="Normal"/>
              <w:rPr/>
            </w:pPr>
            <w:r>
              <w:rPr/>
            </w:r>
          </w:p>
          <w:p>
            <w:pPr>
              <w:pStyle w:val="Normal"/>
              <w:rPr/>
            </w:pPr>
            <w:r>
              <w:rPr/>
            </w:r>
          </w:p>
        </w:tc>
        <w:tc>
          <w:tcPr>
            <w:tcW w:w="15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1 -1,2 </w:t>
            </w:r>
          </w:p>
          <w:p>
            <w:pPr>
              <w:pStyle w:val="Normal"/>
              <w:rPr/>
            </w:pPr>
            <w:r>
              <w:rPr/>
            </w:r>
          </w:p>
        </w:tc>
        <w:tc>
          <w:tcPr>
            <w:tcW w:w="15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1,1 -1,2 </w:t>
            </w:r>
          </w:p>
          <w:p>
            <w:pPr>
              <w:pStyle w:val="Normal"/>
              <w:rPr/>
            </w:pPr>
            <w:r>
              <w:rPr/>
            </w:r>
          </w:p>
        </w:tc>
        <w:tc>
          <w:tcPr>
            <w:tcW w:w="171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0,64 -0,6 </w:t>
            </w:r>
          </w:p>
          <w:p>
            <w:pPr>
              <w:pStyle w:val="Normal"/>
              <w:rPr/>
            </w:pPr>
            <w:r>
              <w:rPr/>
            </w:r>
          </w:p>
        </w:tc>
      </w:tr>
    </w:tbl>
    <w:p>
      <w:pPr>
        <w:pStyle w:val="Normal"/>
        <w:jc w:val="both"/>
        <w:rPr/>
      </w:pPr>
      <w:r>
        <w:rPr/>
      </w:r>
    </w:p>
    <w:p>
      <w:pPr>
        <w:pStyle w:val="Normal"/>
        <w:ind w:firstLine="270"/>
        <w:jc w:val="both"/>
        <w:rPr/>
      </w:pPr>
      <w:r>
        <w:rPr/>
        <w:t>Примечание. Нижние пределы указаны для хозяйственно-питьевых водопроводов.</w:t>
      </w:r>
    </w:p>
    <w:p>
      <w:pPr>
        <w:pStyle w:val="Normal"/>
        <w:ind w:firstLine="270"/>
        <w:jc w:val="both"/>
        <w:rPr/>
      </w:pPr>
      <w:r>
        <w:rPr/>
      </w:r>
    </w:p>
    <w:p>
      <w:pPr>
        <w:pStyle w:val="Normal"/>
        <w:ind w:firstLine="270"/>
        <w:jc w:val="both"/>
        <w:rPr/>
      </w:pPr>
      <w:r>
        <w:rPr/>
        <w:t xml:space="preserve">6.78. Для зон осветления и отделения осадка надлежит принимать наибольшие значения площадей, полученные при расчете для двух периодов согласно п. 6.63.  </w:t>
      </w:r>
    </w:p>
    <w:tbl>
      <w:tblPr>
        <w:tblW w:w="7125" w:type="dxa"/>
        <w:jc w:val="start"/>
        <w:tblInd w:w="165" w:type="dxa"/>
        <w:tblBorders/>
        <w:tblCellMar>
          <w:top w:w="0" w:type="dxa"/>
          <w:start w:w="15" w:type="dxa"/>
          <w:bottom w:w="0" w:type="dxa"/>
          <w:end w:w="15" w:type="dxa"/>
        </w:tblCellMar>
      </w:tblPr>
      <w:tblGrid>
        <w:gridCol w:w="2565"/>
        <w:gridCol w:w="1020"/>
        <w:gridCol w:w="3540"/>
      </w:tblGrid>
      <w:tr>
        <w:trPr/>
        <w:tc>
          <w:tcPr>
            <w:tcW w:w="2565" w:type="dxa"/>
            <w:tcBorders/>
            <w:shd w:fill="auto" w:val="clear"/>
          </w:tcPr>
          <w:p>
            <w:pPr>
              <w:pStyle w:val="Normal"/>
              <w:rPr/>
            </w:pPr>
            <w:r>
              <w:rPr>
                <w:vanish/>
              </w:rPr>
              <w:t>#G0</w:t>
            </w:r>
            <w:r>
              <w:rPr/>
              <w:t xml:space="preserve">  </w:t>
            </w:r>
          </w:p>
          <w:p>
            <w:pPr>
              <w:pStyle w:val="Normal"/>
              <w:ind w:firstLine="135"/>
              <w:jc w:val="both"/>
              <w:rPr/>
            </w:pPr>
            <w:r>
              <w:rPr/>
              <w:t xml:space="preserve">Площадь зоны осветления </w:t>
            </w:r>
          </w:p>
          <w:p>
            <w:pPr>
              <w:pStyle w:val="Normal"/>
              <w:ind w:firstLine="135"/>
              <w:jc w:val="both"/>
              <w:rPr/>
            </w:pPr>
            <w:r>
              <w:rPr/>
            </w:r>
          </w:p>
        </w:tc>
        <w:tc>
          <w:tcPr>
            <w:tcW w:w="1020" w:type="dxa"/>
            <w:tcBorders/>
            <w:shd w:fill="auto" w:val="clear"/>
          </w:tcPr>
          <w:p>
            <w:pPr>
              <w:pStyle w:val="Normal"/>
              <w:rPr/>
            </w:pPr>
            <w:r>
              <w:rPr/>
              <w:t xml:space="preserve">  </w:t>
            </w:r>
          </w:p>
          <w:p>
            <w:pPr>
              <w:pStyle w:val="Normal"/>
              <w:rPr/>
            </w:pPr>
            <w:r>
              <w:rPr/>
              <w:drawing>
                <wp:inline distT="0" distB="0" distL="0" distR="0">
                  <wp:extent cx="288290" cy="184150"/>
                  <wp:effectExtent l="0" t="0" r="0" b="0"/>
                  <wp:docPr id="73" name="Изображение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73" descr="" title=""/>
                          <pic:cNvPicPr>
                            <a:picLocks noChangeAspect="1" noChangeArrowheads="1"/>
                          </pic:cNvPicPr>
                        </pic:nvPicPr>
                        <pic:blipFill>
                          <a:blip r:embed="rId74"/>
                          <a:stretch>
                            <a:fillRect/>
                          </a:stretch>
                        </pic:blipFill>
                        <pic:spPr bwMode="auto">
                          <a:xfrm>
                            <a:off x="0" y="0"/>
                            <a:ext cx="288290" cy="184150"/>
                          </a:xfrm>
                          <a:prstGeom prst="rect">
                            <a:avLst/>
                          </a:prstGeom>
                        </pic:spPr>
                      </pic:pic>
                    </a:graphicData>
                  </a:graphic>
                </wp:inline>
              </w:drawing>
            </w:r>
          </w:p>
        </w:tc>
        <w:tc>
          <w:tcPr>
            <w:tcW w:w="3540" w:type="dxa"/>
            <w:tcBorders/>
            <w:shd w:fill="auto" w:val="clear"/>
          </w:tcPr>
          <w:p>
            <w:pPr>
              <w:pStyle w:val="Normal"/>
              <w:rPr/>
            </w:pPr>
            <w:r>
              <w:rPr/>
              <w:t xml:space="preserve">  </w:t>
            </w:r>
          </w:p>
          <w:p>
            <w:pPr>
              <w:pStyle w:val="Normal"/>
              <w:ind w:firstLine="45"/>
              <w:jc w:val="both"/>
              <w:rPr/>
            </w:pPr>
            <w:r>
              <w:rPr/>
              <w:t xml:space="preserve">кв.м, следует определять по формуле </w:t>
            </w:r>
          </w:p>
          <w:p>
            <w:pPr>
              <w:pStyle w:val="Normal"/>
              <w:ind w:firstLine="45"/>
              <w:jc w:val="both"/>
              <w:rPr/>
            </w:pPr>
            <w:r>
              <w:rPr/>
            </w:r>
          </w:p>
        </w:tc>
      </w:tr>
    </w:tbl>
    <w:p>
      <w:pPr>
        <w:pStyle w:val="Normal"/>
        <w:ind w:firstLine="270"/>
        <w:jc w:val="both"/>
        <w:rPr/>
      </w:pPr>
      <w:r>
        <w:rPr/>
        <w:tab/>
        <w:tab/>
        <w:tab/>
        <w:t xml:space="preserve">     </w:t>
      </w:r>
    </w:p>
    <w:p>
      <w:pPr>
        <w:pStyle w:val="Normal"/>
        <w:ind w:firstLine="225"/>
        <w:jc w:val="both"/>
        <w:rPr/>
      </w:pPr>
      <w:r>
        <w:rPr/>
      </w:r>
    </w:p>
    <w:p>
      <w:pPr>
        <w:pStyle w:val="Normal"/>
        <w:ind w:firstLine="225"/>
        <w:jc w:val="both"/>
        <w:rPr/>
      </w:pPr>
      <w:r>
        <w:rPr/>
        <w:drawing>
          <wp:inline distT="0" distB="0" distL="0" distR="0">
            <wp:extent cx="3974465" cy="207645"/>
            <wp:effectExtent l="0" t="0" r="0" b="0"/>
            <wp:docPr id="74" name="Изображение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74" descr="" title=""/>
                    <pic:cNvPicPr>
                      <a:picLocks noChangeAspect="1" noChangeArrowheads="1"/>
                    </pic:cNvPicPr>
                  </pic:nvPicPr>
                  <pic:blipFill>
                    <a:blip r:embed="rId75"/>
                    <a:stretch>
                      <a:fillRect/>
                    </a:stretch>
                  </pic:blipFill>
                  <pic:spPr bwMode="auto">
                    <a:xfrm>
                      <a:off x="0" y="0"/>
                      <a:ext cx="3974465" cy="207645"/>
                    </a:xfrm>
                    <a:prstGeom prst="rect">
                      <a:avLst/>
                    </a:prstGeom>
                  </pic:spPr>
                </pic:pic>
              </a:graphicData>
            </a:graphic>
          </wp:inline>
        </w:drawing>
      </w:r>
      <w:r>
        <w:rPr/>
        <w:tab/>
        <w:tab/>
        <w:tab/>
      </w:r>
    </w:p>
    <w:tbl>
      <w:tblPr>
        <w:tblW w:w="8025" w:type="dxa"/>
        <w:jc w:val="start"/>
        <w:tblInd w:w="165" w:type="dxa"/>
        <w:tblBorders/>
        <w:tblCellMar>
          <w:top w:w="0" w:type="dxa"/>
          <w:start w:w="15" w:type="dxa"/>
          <w:bottom w:w="0" w:type="dxa"/>
          <w:end w:w="15" w:type="dxa"/>
        </w:tblCellMar>
      </w:tblPr>
      <w:tblGrid>
        <w:gridCol w:w="450"/>
        <w:gridCol w:w="540"/>
        <w:gridCol w:w="7035"/>
      </w:tblGrid>
      <w:tr>
        <w:trPr/>
        <w:tc>
          <w:tcPr>
            <w:tcW w:w="450" w:type="dxa"/>
            <w:tcBorders/>
            <w:shd w:fill="auto" w:val="clear"/>
          </w:tcPr>
          <w:p>
            <w:pPr>
              <w:pStyle w:val="Normal"/>
              <w:rPr/>
            </w:pPr>
            <w:r>
              <w:rPr>
                <w:vanish/>
              </w:rPr>
              <w:t>#G0</w:t>
            </w:r>
            <w:r>
              <w:rPr/>
              <w:t xml:space="preserve">     где </w:t>
            </w:r>
          </w:p>
          <w:p>
            <w:pPr>
              <w:pStyle w:val="Normal"/>
              <w:rPr/>
            </w:pPr>
            <w:r>
              <w:rPr/>
            </w:r>
          </w:p>
        </w:tc>
        <w:tc>
          <w:tcPr>
            <w:tcW w:w="540" w:type="dxa"/>
            <w:tcBorders/>
            <w:shd w:fill="auto" w:val="clear"/>
          </w:tcPr>
          <w:p>
            <w:pPr>
              <w:pStyle w:val="Normal"/>
              <w:rPr/>
            </w:pPr>
            <w:r>
              <w:rPr/>
              <w:t xml:space="preserve"> </w:t>
            </w:r>
          </w:p>
          <w:p>
            <w:pPr>
              <w:pStyle w:val="Normal"/>
              <w:rPr/>
            </w:pPr>
            <w:r>
              <w:rPr/>
              <w:drawing>
                <wp:inline distT="0" distB="0" distL="0" distR="0">
                  <wp:extent cx="241935" cy="207645"/>
                  <wp:effectExtent l="0" t="0" r="0" b="0"/>
                  <wp:docPr id="75" name="Изображение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75" descr="" title=""/>
                          <pic:cNvPicPr>
                            <a:picLocks noChangeAspect="1" noChangeArrowheads="1"/>
                          </pic:cNvPicPr>
                        </pic:nvPicPr>
                        <pic:blipFill>
                          <a:blip r:embed="rId76"/>
                          <a:stretch>
                            <a:fillRect/>
                          </a:stretch>
                        </pic:blipFill>
                        <pic:spPr bwMode="auto">
                          <a:xfrm>
                            <a:off x="0" y="0"/>
                            <a:ext cx="241935" cy="207645"/>
                          </a:xfrm>
                          <a:prstGeom prst="rect">
                            <a:avLst/>
                          </a:prstGeom>
                        </pic:spPr>
                      </pic:pic>
                    </a:graphicData>
                  </a:graphic>
                </wp:inline>
              </w:drawing>
            </w:r>
          </w:p>
        </w:tc>
        <w:tc>
          <w:tcPr>
            <w:tcW w:w="7035" w:type="dxa"/>
            <w:tcBorders/>
            <w:shd w:fill="auto" w:val="clear"/>
          </w:tcPr>
          <w:p>
            <w:pPr>
              <w:pStyle w:val="Normal"/>
              <w:rPr/>
            </w:pPr>
            <w:r>
              <w:rPr/>
              <w:t xml:space="preserve">  </w:t>
            </w:r>
          </w:p>
          <w:p>
            <w:pPr>
              <w:pStyle w:val="Normal"/>
              <w:jc w:val="both"/>
              <w:rPr/>
            </w:pPr>
            <w:r>
              <w:rPr/>
              <w:t xml:space="preserve">- коэффициент распределения воды между зонами осветления и отделения </w:t>
            </w:r>
          </w:p>
          <w:p>
            <w:pPr>
              <w:pStyle w:val="Normal"/>
              <w:jc w:val="both"/>
              <w:rPr/>
            </w:pPr>
            <w:r>
              <w:rPr/>
            </w:r>
          </w:p>
        </w:tc>
      </w:tr>
    </w:tbl>
    <w:p>
      <w:pPr>
        <w:pStyle w:val="Normal"/>
        <w:ind w:firstLine="225"/>
        <w:jc w:val="both"/>
        <w:rPr/>
      </w:pPr>
      <w:r>
        <w:rPr/>
        <w:t xml:space="preserve">осадка (осадкоуплотнителем), принимаемый по табл. 20;         </w:t>
      </w:r>
    </w:p>
    <w:tbl>
      <w:tblPr>
        <w:tblW w:w="7500" w:type="dxa"/>
        <w:jc w:val="start"/>
        <w:tblInd w:w="600" w:type="dxa"/>
        <w:tblBorders/>
        <w:tblCellMar>
          <w:top w:w="0" w:type="dxa"/>
          <w:start w:w="15" w:type="dxa"/>
          <w:bottom w:w="0" w:type="dxa"/>
          <w:end w:w="15" w:type="dxa"/>
        </w:tblCellMar>
      </w:tblPr>
      <w:tblGrid>
        <w:gridCol w:w="720"/>
        <w:gridCol w:w="6780"/>
      </w:tblGrid>
      <w:tr>
        <w:trPr/>
        <w:tc>
          <w:tcPr>
            <w:tcW w:w="720" w:type="dxa"/>
            <w:tcBorders/>
            <w:shd w:fill="auto" w:val="clear"/>
          </w:tcPr>
          <w:p>
            <w:pPr>
              <w:pStyle w:val="Normal"/>
              <w:rPr/>
            </w:pPr>
            <w:r>
              <w:rPr>
                <w:vanish/>
              </w:rPr>
              <w:t>#G0</w:t>
            </w:r>
            <w:r>
              <w:rPr/>
              <w:t xml:space="preserve">  </w:t>
            </w:r>
          </w:p>
          <w:p>
            <w:pPr>
              <w:pStyle w:val="Normal"/>
              <w:rPr/>
            </w:pPr>
            <w:r>
              <w:rPr/>
              <w:drawing>
                <wp:inline distT="0" distB="0" distL="0" distR="0">
                  <wp:extent cx="241935" cy="184150"/>
                  <wp:effectExtent l="0" t="0" r="0" b="0"/>
                  <wp:docPr id="76" name="Изображение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76" descr="" title=""/>
                          <pic:cNvPicPr>
                            <a:picLocks noChangeAspect="1" noChangeArrowheads="1"/>
                          </pic:cNvPicPr>
                        </pic:nvPicPr>
                        <pic:blipFill>
                          <a:blip r:embed="rId77"/>
                          <a:stretch>
                            <a:fillRect/>
                          </a:stretch>
                        </pic:blipFill>
                        <pic:spPr bwMode="auto">
                          <a:xfrm>
                            <a:off x="0" y="0"/>
                            <a:ext cx="241935" cy="184150"/>
                          </a:xfrm>
                          <a:prstGeom prst="rect">
                            <a:avLst/>
                          </a:prstGeom>
                        </pic:spPr>
                      </pic:pic>
                    </a:graphicData>
                  </a:graphic>
                </wp:inline>
              </w:drawing>
            </w:r>
          </w:p>
        </w:tc>
        <w:tc>
          <w:tcPr>
            <w:tcW w:w="6780" w:type="dxa"/>
            <w:tcBorders/>
            <w:shd w:fill="auto" w:val="clear"/>
          </w:tcPr>
          <w:p>
            <w:pPr>
              <w:pStyle w:val="Normal"/>
              <w:rPr/>
            </w:pPr>
            <w:r>
              <w:rPr/>
              <w:t xml:space="preserve">  </w:t>
            </w:r>
          </w:p>
          <w:p>
            <w:pPr>
              <w:pStyle w:val="Normal"/>
              <w:ind w:firstLine="45"/>
              <w:jc w:val="both"/>
              <w:rPr/>
            </w:pPr>
            <w:r>
              <w:rPr/>
              <w:t xml:space="preserve">-  скорость восходящего потока воды в зоне осветления, мм/с, по табл. 20. </w:t>
            </w:r>
          </w:p>
          <w:p>
            <w:pPr>
              <w:pStyle w:val="Normal"/>
              <w:ind w:firstLine="45"/>
              <w:jc w:val="both"/>
              <w:rPr/>
            </w:pPr>
            <w:r>
              <w:rPr/>
            </w:r>
          </w:p>
        </w:tc>
      </w:tr>
    </w:tbl>
    <w:p>
      <w:pPr>
        <w:pStyle w:val="Normal"/>
        <w:ind w:firstLine="225"/>
        <w:jc w:val="both"/>
        <w:rPr/>
      </w:pPr>
      <w:r>
        <w:rPr/>
      </w:r>
    </w:p>
    <w:p>
      <w:pPr>
        <w:pStyle w:val="Normal"/>
        <w:ind w:firstLine="315"/>
        <w:jc w:val="both"/>
        <w:rPr/>
      </w:pPr>
      <w:r>
        <w:rPr/>
        <w:t>Площадь зоны отделения осадка Fотд, кв.м, надлежит определять по формуле</w:t>
      </w:r>
    </w:p>
    <w:p>
      <w:pPr>
        <w:pStyle w:val="Normal"/>
        <w:ind w:firstLine="225"/>
        <w:jc w:val="both"/>
        <w:rPr/>
      </w:pPr>
      <w:r>
        <w:rPr/>
      </w:r>
    </w:p>
    <w:p>
      <w:pPr>
        <w:pStyle w:val="Normal"/>
        <w:ind w:firstLine="225"/>
        <w:jc w:val="both"/>
        <w:rPr/>
      </w:pPr>
      <w:r>
        <w:rPr/>
      </w:r>
    </w:p>
    <w:p>
      <w:pPr>
        <w:pStyle w:val="Normal"/>
        <w:ind w:firstLine="270"/>
        <w:jc w:val="both"/>
        <w:rPr/>
      </w:pPr>
      <w:r>
        <w:rPr/>
        <w:drawing>
          <wp:inline distT="0" distB="0" distL="0" distR="0">
            <wp:extent cx="4285615" cy="207645"/>
            <wp:effectExtent l="0" t="0" r="0" b="0"/>
            <wp:docPr id="77" name="Изображение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77" descr="" title=""/>
                    <pic:cNvPicPr>
                      <a:picLocks noChangeAspect="1" noChangeArrowheads="1"/>
                    </pic:cNvPicPr>
                  </pic:nvPicPr>
                  <pic:blipFill>
                    <a:blip r:embed="rId78"/>
                    <a:stretch>
                      <a:fillRect/>
                    </a:stretch>
                  </pic:blipFill>
                  <pic:spPr bwMode="auto">
                    <a:xfrm>
                      <a:off x="0" y="0"/>
                      <a:ext cx="4285615" cy="207645"/>
                    </a:xfrm>
                    <a:prstGeom prst="rect">
                      <a:avLst/>
                    </a:prstGeom>
                  </pic:spPr>
                </pic:pic>
              </a:graphicData>
            </a:graphic>
          </wp:inline>
        </w:drawing>
      </w:r>
    </w:p>
    <w:p>
      <w:pPr>
        <w:pStyle w:val="Normal"/>
        <w:ind w:firstLine="270"/>
        <w:jc w:val="both"/>
        <w:rPr/>
      </w:pPr>
      <w:r>
        <w:rPr/>
        <w:tab/>
        <w:tab/>
        <w:tab/>
        <w:t xml:space="preserve">     </w:t>
        <w:tab/>
        <w:tab/>
        <w:t xml:space="preserve">      </w:t>
      </w:r>
    </w:p>
    <w:p>
      <w:pPr>
        <w:pStyle w:val="Normal"/>
        <w:ind w:firstLine="270"/>
        <w:jc w:val="both"/>
        <w:rPr/>
      </w:pPr>
      <w:r>
        <w:rPr/>
        <w:t>При установке в зонах осаждения и отделения осадка тонкослойных блоков площадь зон, занятых блоками, должна определяться согласно п. 6.64.</w:t>
      </w:r>
    </w:p>
    <w:p>
      <w:pPr>
        <w:pStyle w:val="Normal"/>
        <w:ind w:firstLine="135"/>
        <w:jc w:val="both"/>
        <w:rPr/>
      </w:pPr>
      <w:r>
        <w:rPr/>
      </w:r>
    </w:p>
    <w:p>
      <w:pPr>
        <w:pStyle w:val="Normal"/>
        <w:ind w:firstLine="225"/>
        <w:jc w:val="both"/>
        <w:rPr/>
      </w:pPr>
      <w:r>
        <w:rPr/>
        <w:t>6.79. Высоту слоя взвешенного осадка следует принимать от 2 до 2,5 м. Низ осадкоприемных окон или кромку осадкоотводящих труб следует располагать на 1-1,5 м выше перехода наклонных стенок зоны взвешенного осадка осветлителя в вертикальные.</w:t>
      </w:r>
    </w:p>
    <w:p>
      <w:pPr>
        <w:pStyle w:val="Normal"/>
        <w:ind w:firstLine="225"/>
        <w:jc w:val="both"/>
        <w:rPr/>
      </w:pPr>
      <w:r>
        <w:rPr/>
      </w:r>
    </w:p>
    <w:p>
      <w:pPr>
        <w:pStyle w:val="Normal"/>
        <w:ind w:firstLine="225"/>
        <w:jc w:val="both"/>
        <w:rPr/>
      </w:pPr>
      <w:r>
        <w:rPr/>
        <w:t>Угол между наклонными стенками нижней части зоны взвешенного осадка следует принимать 60-70°.</w:t>
      </w:r>
    </w:p>
    <w:p>
      <w:pPr>
        <w:pStyle w:val="Normal"/>
        <w:ind w:firstLine="180"/>
        <w:jc w:val="both"/>
        <w:rPr/>
      </w:pPr>
      <w:r>
        <w:rPr/>
      </w:r>
    </w:p>
    <w:p>
      <w:pPr>
        <w:pStyle w:val="Normal"/>
        <w:ind w:firstLine="225"/>
        <w:jc w:val="both"/>
        <w:rPr/>
      </w:pPr>
      <w:r>
        <w:rPr/>
        <w:t>Высоту зоны осветления надлежит принимать 2-2,5 м.</w:t>
      </w:r>
    </w:p>
    <w:p>
      <w:pPr>
        <w:pStyle w:val="Normal"/>
        <w:ind w:firstLine="225"/>
        <w:jc w:val="both"/>
        <w:rPr/>
      </w:pPr>
      <w:r>
        <w:rPr/>
      </w:r>
    </w:p>
    <w:p>
      <w:pPr>
        <w:pStyle w:val="Normal"/>
        <w:ind w:firstLine="225"/>
        <w:jc w:val="both"/>
        <w:rPr/>
      </w:pPr>
      <w:r>
        <w:rPr/>
        <w:t>Расстояние между сборными лотками или трубами в зоне осветления надлежит принимать не более 3 м.</w:t>
      </w:r>
    </w:p>
    <w:p>
      <w:pPr>
        <w:pStyle w:val="Normal"/>
        <w:ind w:firstLine="225"/>
        <w:jc w:val="both"/>
        <w:rPr/>
      </w:pPr>
      <w:r>
        <w:rPr/>
      </w:r>
    </w:p>
    <w:p>
      <w:pPr>
        <w:pStyle w:val="Normal"/>
        <w:ind w:firstLine="225"/>
        <w:jc w:val="both"/>
        <w:rPr/>
      </w:pPr>
      <w:r>
        <w:rPr/>
        <w:t>Высота стенок осветлителей должна на 0,3 м превышать расчетный уровень воды в них.</w:t>
      </w:r>
    </w:p>
    <w:p>
      <w:pPr>
        <w:pStyle w:val="Normal"/>
        <w:ind w:firstLine="225"/>
        <w:jc w:val="both"/>
        <w:rPr/>
      </w:pPr>
      <w:r>
        <w:rPr/>
      </w:r>
    </w:p>
    <w:p>
      <w:pPr>
        <w:pStyle w:val="Normal"/>
        <w:ind w:firstLine="270"/>
        <w:jc w:val="both"/>
        <w:rPr/>
      </w:pPr>
      <w:r>
        <w:rPr/>
        <w:t>6.80. Объем зоны накопления и уплотнения осадка следует определять по формуле (10), время уплотнения надлежит принимать не менее 6 ч при отсутствии на станции отдельных сгустителей осадка и 2-3 ч при наличии сгустителей и автоматизации выпуска осадка.</w:t>
      </w:r>
    </w:p>
    <w:p>
      <w:pPr>
        <w:pStyle w:val="Normal"/>
        <w:ind w:firstLine="270"/>
        <w:jc w:val="both"/>
        <w:rPr/>
      </w:pPr>
      <w:r>
        <w:rPr/>
      </w:r>
    </w:p>
    <w:p>
      <w:pPr>
        <w:pStyle w:val="Normal"/>
        <w:ind w:firstLine="225"/>
        <w:jc w:val="both"/>
        <w:rPr/>
      </w:pPr>
      <w:r>
        <w:rPr/>
        <w:t>6.81. Удаление осадка из осадкоуплотнителя надлежит предусматривать периодически дырчатыми трубами. Количество сбрасываемой с осадком воды следует определять по табл. 19 с учетом коэффициента разбавления осадка, принимаемого 1,5.</w:t>
      </w:r>
    </w:p>
    <w:p>
      <w:pPr>
        <w:pStyle w:val="Normal"/>
        <w:ind w:firstLine="225"/>
        <w:jc w:val="both"/>
        <w:rPr/>
      </w:pPr>
      <w:r>
        <w:rPr/>
      </w:r>
    </w:p>
    <w:p>
      <w:pPr>
        <w:pStyle w:val="Normal"/>
        <w:ind w:firstLine="270"/>
        <w:jc w:val="both"/>
        <w:rPr/>
      </w:pPr>
      <w:r>
        <w:rPr/>
        <w:t>6.82. Распределение воды по площади осветления надлежит принимать дырчатыми трубами, укладываемыми на расстоянии не более 3 м друг от друга.</w:t>
      </w:r>
    </w:p>
    <w:p>
      <w:pPr>
        <w:pStyle w:val="Normal"/>
        <w:ind w:firstLine="225"/>
        <w:jc w:val="both"/>
        <w:rPr/>
      </w:pPr>
      <w:r>
        <w:rPr/>
      </w:r>
    </w:p>
    <w:p>
      <w:pPr>
        <w:pStyle w:val="Normal"/>
        <w:ind w:firstLine="270"/>
        <w:jc w:val="both"/>
        <w:rPr/>
      </w:pPr>
      <w:r>
        <w:rPr/>
        <w:t>Скорость движения воды при входе в распределительные трубы должна быть 0,5-0,6 м/с, скорость выхода из отверстий дырчатых труб - 1,5-2 м/с. Диаметр отверстий не менее 25 мм, расстояние между отверстиями не более 0,5 м, отверстия надлежит располагать вниз под углом 45 град. к вертикали по обе стороны трубы в шахматном порядке.</w:t>
      </w:r>
    </w:p>
    <w:p>
      <w:pPr>
        <w:pStyle w:val="Normal"/>
        <w:ind w:firstLine="225"/>
        <w:jc w:val="both"/>
        <w:rPr/>
      </w:pPr>
      <w:r>
        <w:rPr/>
      </w:r>
    </w:p>
    <w:p>
      <w:pPr>
        <w:pStyle w:val="Normal"/>
        <w:ind w:firstLine="270"/>
        <w:jc w:val="both"/>
        <w:rPr/>
      </w:pPr>
      <w:r>
        <w:rPr/>
        <w:t>6.83. Скорость движения воды с осадком следует принимать в осадкоприемных окнах 10-15 мм/с, в осадкоотводящих трубах 40-60 мм/с (большие значения относятся к водам, содержащим преимущественно минеральную взвесь).</w:t>
      </w:r>
    </w:p>
    <w:p>
      <w:pPr>
        <w:pStyle w:val="Normal"/>
        <w:ind w:firstLine="225"/>
        <w:jc w:val="both"/>
        <w:rPr/>
      </w:pPr>
      <w:r>
        <w:rPr/>
      </w:r>
    </w:p>
    <w:p>
      <w:pPr>
        <w:pStyle w:val="Normal"/>
        <w:ind w:firstLine="270"/>
        <w:jc w:val="both"/>
        <w:rPr/>
      </w:pPr>
      <w:r>
        <w:rPr/>
        <w:t>6.84. Сбор осветленной воды в зоне осветления надлежит предусматривать желобами с треугольными водосливами высотой 40-60 мм при расстоянии между осями водосливов - 100-150 мм и угле между кромками водослива 60°. Расчетная скорость движения воды в желобах 0,5-0,6 м/с.</w:t>
      </w:r>
    </w:p>
    <w:p>
      <w:pPr>
        <w:pStyle w:val="Normal"/>
        <w:ind w:firstLine="225"/>
        <w:jc w:val="both"/>
        <w:rPr/>
      </w:pPr>
      <w:r>
        <w:rPr/>
      </w:r>
    </w:p>
    <w:p>
      <w:pPr>
        <w:pStyle w:val="Normal"/>
        <w:ind w:firstLine="270"/>
        <w:jc w:val="both"/>
        <w:rPr/>
      </w:pPr>
      <w:r>
        <w:rPr/>
        <w:t>6.85. Сбор осветленной воды из осадкоуплотнителя следует предусматривать затопленными дырчатыми трубами.</w:t>
      </w:r>
    </w:p>
    <w:p>
      <w:pPr>
        <w:pStyle w:val="Normal"/>
        <w:ind w:firstLine="225"/>
        <w:jc w:val="both"/>
        <w:rPr/>
      </w:pPr>
      <w:r>
        <w:rPr/>
      </w:r>
    </w:p>
    <w:p>
      <w:pPr>
        <w:pStyle w:val="Normal"/>
        <w:ind w:firstLine="270"/>
        <w:jc w:val="both"/>
        <w:rPr/>
      </w:pPr>
      <w:r>
        <w:rPr/>
        <w:t>В вертикальных осадкоуплотнителях верх сборных дырчатых труб должен быть расположен не менее чем на 0,3 м ниже уровня воды в осветлителях и не менее чем на 1,5 м выше верха осадкоприемных окон.</w:t>
      </w:r>
    </w:p>
    <w:p>
      <w:pPr>
        <w:pStyle w:val="Normal"/>
        <w:ind w:firstLine="225"/>
        <w:jc w:val="both"/>
        <w:rPr/>
      </w:pPr>
      <w:r>
        <w:rPr/>
      </w:r>
    </w:p>
    <w:p>
      <w:pPr>
        <w:pStyle w:val="Normal"/>
        <w:ind w:firstLine="270"/>
        <w:jc w:val="both"/>
        <w:rPr/>
      </w:pPr>
      <w:r>
        <w:rPr/>
        <w:t>В поддонных осадкоуплотнителях сборные дырчатые трубы для отвода осветленной воды следует располагать под перекрытием. Диаметр труб для отвода осветленной воды следует определять исходя из скорости движения воды не более 0,5 м/с, скорости входа воды в отверстия труб не менее 1,5 м/с, диаметра отверстий 15-20 мм.</w:t>
      </w:r>
    </w:p>
    <w:p>
      <w:pPr>
        <w:pStyle w:val="Normal"/>
        <w:ind w:firstLine="225"/>
        <w:jc w:val="both"/>
        <w:rPr/>
      </w:pPr>
      <w:r>
        <w:rPr/>
      </w:r>
    </w:p>
    <w:p>
      <w:pPr>
        <w:pStyle w:val="Normal"/>
        <w:ind w:firstLine="270"/>
        <w:jc w:val="both"/>
        <w:rPr/>
      </w:pPr>
      <w:r>
        <w:rPr/>
        <w:t>На сборных трубах при выходе их в сборный канал следует предусматривать установку запорной арматуры.</w:t>
      </w:r>
    </w:p>
    <w:p>
      <w:pPr>
        <w:pStyle w:val="Normal"/>
        <w:ind w:firstLine="270"/>
        <w:jc w:val="both"/>
        <w:rPr/>
      </w:pPr>
      <w:r>
        <w:rPr/>
      </w:r>
    </w:p>
    <w:p>
      <w:pPr>
        <w:pStyle w:val="Normal"/>
        <w:ind w:firstLine="225"/>
        <w:jc w:val="both"/>
        <w:rPr/>
      </w:pPr>
      <w:r>
        <w:rPr/>
        <w:t>Перепад отметок между низом сборной трубы и уровнем воды в общем сборном канале осветлителя следует принимать не менее 0,4 м.</w:t>
      </w:r>
    </w:p>
    <w:p>
      <w:pPr>
        <w:pStyle w:val="Normal"/>
        <w:ind w:firstLine="225"/>
        <w:jc w:val="both"/>
        <w:rPr/>
      </w:pPr>
      <w:r>
        <w:rPr/>
      </w:r>
    </w:p>
    <w:p>
      <w:pPr>
        <w:pStyle w:val="Normal"/>
        <w:ind w:firstLine="270"/>
        <w:jc w:val="both"/>
        <w:rPr/>
      </w:pPr>
      <w:r>
        <w:rPr/>
        <w:t xml:space="preserve">6.86. Потери напора, м, в перфорированных распределительных и сборных трубах и желобах для воды и осадка следует определять исходя из максимальной скорости движения воды в них по формуле (8) или (22), принимая значения коэффициентов гидравлического сопротивления:           </w:t>
      </w:r>
    </w:p>
    <w:tbl>
      <w:tblPr>
        <w:tblW w:w="8910" w:type="dxa"/>
        <w:jc w:val="start"/>
        <w:tblInd w:w="165" w:type="dxa"/>
        <w:tblBorders/>
        <w:tblCellMar>
          <w:top w:w="0" w:type="dxa"/>
          <w:start w:w="15" w:type="dxa"/>
          <w:bottom w:w="0" w:type="dxa"/>
          <w:end w:w="15" w:type="dxa"/>
        </w:tblCellMar>
      </w:tblPr>
      <w:tblGrid>
        <w:gridCol w:w="1320"/>
        <w:gridCol w:w="7590"/>
      </w:tblGrid>
      <w:tr>
        <w:trPr/>
        <w:tc>
          <w:tcPr>
            <w:tcW w:w="1320" w:type="dxa"/>
            <w:tcBorders/>
            <w:shd w:fill="auto" w:val="clear"/>
          </w:tcPr>
          <w:p>
            <w:pPr>
              <w:pStyle w:val="Normal"/>
              <w:rPr/>
            </w:pPr>
            <w:r>
              <w:rPr>
                <w:vanish/>
              </w:rPr>
              <w:t>#G0</w:t>
            </w:r>
            <w:r>
              <w:rPr/>
              <w:t xml:space="preserve">  </w:t>
            </w:r>
          </w:p>
          <w:p>
            <w:pPr>
              <w:pStyle w:val="Normal"/>
              <w:rPr/>
            </w:pPr>
            <w:r>
              <w:rPr/>
              <w:drawing>
                <wp:inline distT="0" distB="0" distL="0" distR="0">
                  <wp:extent cx="944880" cy="241935"/>
                  <wp:effectExtent l="0" t="0" r="0" b="0"/>
                  <wp:docPr id="78" name="Изображение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78" descr="" title=""/>
                          <pic:cNvPicPr>
                            <a:picLocks noChangeAspect="1" noChangeArrowheads="1"/>
                          </pic:cNvPicPr>
                        </pic:nvPicPr>
                        <pic:blipFill>
                          <a:blip r:embed="rId79"/>
                          <a:stretch>
                            <a:fillRect/>
                          </a:stretch>
                        </pic:blipFill>
                        <pic:spPr bwMode="auto">
                          <a:xfrm>
                            <a:off x="0" y="0"/>
                            <a:ext cx="944880" cy="241935"/>
                          </a:xfrm>
                          <a:prstGeom prst="rect">
                            <a:avLst/>
                          </a:prstGeom>
                        </pic:spPr>
                      </pic:pic>
                    </a:graphicData>
                  </a:graphic>
                </wp:inline>
              </w:drawing>
            </w:r>
          </w:p>
        </w:tc>
        <w:tc>
          <w:tcPr>
            <w:tcW w:w="7590" w:type="dxa"/>
            <w:tcBorders/>
            <w:shd w:fill="auto" w:val="clear"/>
          </w:tcPr>
          <w:p>
            <w:pPr>
              <w:pStyle w:val="Normal"/>
              <w:rPr/>
            </w:pPr>
            <w:r>
              <w:rPr/>
              <w:t xml:space="preserve">  </w:t>
            </w:r>
          </w:p>
          <w:p>
            <w:pPr>
              <w:pStyle w:val="Normal"/>
              <w:ind w:firstLine="90"/>
              <w:jc w:val="both"/>
              <w:rPr/>
            </w:pPr>
            <w:r>
              <w:rPr/>
              <w:t xml:space="preserve">-  для прямолинейной распределительной трубы или коллектора с ответвлениями   </w:t>
            </w:r>
          </w:p>
          <w:p>
            <w:pPr>
              <w:pStyle w:val="Normal"/>
              <w:ind w:firstLine="90"/>
              <w:jc w:val="both"/>
              <w:rPr/>
            </w:pPr>
            <w:r>
              <w:rPr/>
            </w:r>
          </w:p>
        </w:tc>
      </w:tr>
    </w:tbl>
    <w:p>
      <w:pPr>
        <w:pStyle w:val="Normal"/>
        <w:ind w:firstLine="270"/>
        <w:jc w:val="both"/>
        <w:rPr/>
      </w:pPr>
      <w:r>
        <w:rPr/>
        <w:t xml:space="preserve">с круглыми отверстиями;      </w:t>
      </w:r>
    </w:p>
    <w:p>
      <w:pPr>
        <w:pStyle w:val="Normal"/>
        <w:ind w:firstLine="225"/>
        <w:jc w:val="both"/>
        <w:rPr/>
      </w:pPr>
      <w:r>
        <w:rPr/>
      </w:r>
    </w:p>
    <w:tbl>
      <w:tblPr>
        <w:tblW w:w="6975" w:type="dxa"/>
        <w:jc w:val="start"/>
        <w:tblInd w:w="165" w:type="dxa"/>
        <w:tblBorders/>
        <w:tblCellMar>
          <w:top w:w="0" w:type="dxa"/>
          <w:start w:w="15" w:type="dxa"/>
          <w:bottom w:w="0" w:type="dxa"/>
          <w:end w:w="15" w:type="dxa"/>
        </w:tblCellMar>
      </w:tblPr>
      <w:tblGrid>
        <w:gridCol w:w="1140"/>
        <w:gridCol w:w="5835"/>
      </w:tblGrid>
      <w:tr>
        <w:trPr/>
        <w:tc>
          <w:tcPr>
            <w:tcW w:w="1140" w:type="dxa"/>
            <w:tcBorders/>
            <w:shd w:fill="auto" w:val="clear"/>
          </w:tcPr>
          <w:p>
            <w:pPr>
              <w:pStyle w:val="Normal"/>
              <w:rPr>
                <w:sz w:val="24"/>
              </w:rPr>
            </w:pPr>
            <w:r>
              <w:rPr/>
              <w:drawing>
                <wp:inline distT="0" distB="0" distL="0" distR="0">
                  <wp:extent cx="829310" cy="241935"/>
                  <wp:effectExtent l="0" t="0" r="0" b="0"/>
                  <wp:docPr id="79" name="Изображение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79" descr="" title=""/>
                          <pic:cNvPicPr>
                            <a:picLocks noChangeAspect="1" noChangeArrowheads="1"/>
                          </pic:cNvPicPr>
                        </pic:nvPicPr>
                        <pic:blipFill>
                          <a:blip r:embed="rId80"/>
                          <a:stretch>
                            <a:fillRect/>
                          </a:stretch>
                        </pic:blipFill>
                        <pic:spPr bwMode="auto">
                          <a:xfrm>
                            <a:off x="0" y="0"/>
                            <a:ext cx="829310" cy="241935"/>
                          </a:xfrm>
                          <a:prstGeom prst="rect">
                            <a:avLst/>
                          </a:prstGeom>
                        </pic:spPr>
                      </pic:pic>
                    </a:graphicData>
                  </a:graphic>
                </wp:inline>
              </w:drawing>
            </w:r>
          </w:p>
        </w:tc>
        <w:tc>
          <w:tcPr>
            <w:tcW w:w="5835" w:type="dxa"/>
            <w:tcBorders/>
            <w:shd w:fill="auto" w:val="clear"/>
          </w:tcPr>
          <w:p>
            <w:pPr>
              <w:pStyle w:val="Normal"/>
              <w:jc w:val="both"/>
              <w:rPr/>
            </w:pPr>
            <w:r>
              <w:rPr>
                <w:vanish/>
              </w:rPr>
              <w:t>#G0</w:t>
            </w:r>
            <w:r>
              <w:rPr/>
              <w:t xml:space="preserve">-  то же, но со щелями; </w:t>
            </w:r>
          </w:p>
          <w:p>
            <w:pPr>
              <w:pStyle w:val="Normal"/>
              <w:jc w:val="both"/>
              <w:rPr/>
            </w:pPr>
            <w:r>
              <w:rPr/>
            </w:r>
          </w:p>
        </w:tc>
      </w:tr>
    </w:tbl>
    <w:p>
      <w:pPr>
        <w:pStyle w:val="Normal"/>
        <w:ind w:firstLine="495"/>
        <w:jc w:val="both"/>
        <w:rPr/>
      </w:pPr>
      <w:r>
        <w:rPr/>
      </w:r>
    </w:p>
    <w:tbl>
      <w:tblPr>
        <w:tblW w:w="7935" w:type="dxa"/>
        <w:jc w:val="start"/>
        <w:tblInd w:w="165" w:type="dxa"/>
        <w:tblBorders/>
        <w:tblCellMar>
          <w:top w:w="0" w:type="dxa"/>
          <w:start w:w="15" w:type="dxa"/>
          <w:bottom w:w="0" w:type="dxa"/>
          <w:end w:w="15" w:type="dxa"/>
        </w:tblCellMar>
      </w:tblPr>
      <w:tblGrid>
        <w:gridCol w:w="1005"/>
        <w:gridCol w:w="6930"/>
      </w:tblGrid>
      <w:tr>
        <w:trPr/>
        <w:tc>
          <w:tcPr>
            <w:tcW w:w="1005" w:type="dxa"/>
            <w:tcBorders/>
            <w:shd w:fill="auto" w:val="clear"/>
          </w:tcPr>
          <w:p>
            <w:pPr>
              <w:pStyle w:val="Normal"/>
              <w:rPr>
                <w:sz w:val="24"/>
              </w:rPr>
            </w:pPr>
            <w:r>
              <w:rPr/>
              <w:drawing>
                <wp:inline distT="0" distB="0" distL="0" distR="0">
                  <wp:extent cx="771525" cy="241935"/>
                  <wp:effectExtent l="0" t="0" r="0" b="0"/>
                  <wp:docPr id="80" name="Изображение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80" descr="" title=""/>
                          <pic:cNvPicPr>
                            <a:picLocks noChangeAspect="1" noChangeArrowheads="1"/>
                          </pic:cNvPicPr>
                        </pic:nvPicPr>
                        <pic:blipFill>
                          <a:blip r:embed="rId81"/>
                          <a:stretch>
                            <a:fillRect/>
                          </a:stretch>
                        </pic:blipFill>
                        <pic:spPr bwMode="auto">
                          <a:xfrm>
                            <a:off x="0" y="0"/>
                            <a:ext cx="771525" cy="241935"/>
                          </a:xfrm>
                          <a:prstGeom prst="rect">
                            <a:avLst/>
                          </a:prstGeom>
                        </pic:spPr>
                      </pic:pic>
                    </a:graphicData>
                  </a:graphic>
                </wp:inline>
              </w:drawing>
            </w:r>
          </w:p>
        </w:tc>
        <w:tc>
          <w:tcPr>
            <w:tcW w:w="6930" w:type="dxa"/>
            <w:tcBorders/>
            <w:shd w:fill="auto" w:val="clear"/>
          </w:tcPr>
          <w:p>
            <w:pPr>
              <w:pStyle w:val="Normal"/>
              <w:ind w:firstLine="135"/>
              <w:jc w:val="both"/>
              <w:rPr/>
            </w:pPr>
            <w:r>
              <w:rPr>
                <w:vanish/>
              </w:rPr>
              <w:t>#G0</w:t>
            </w:r>
            <w:r>
              <w:rPr/>
              <w:t>- для прямолинейной сборной трубы, работающей полным сечением;</w:t>
            </w:r>
          </w:p>
          <w:p>
            <w:pPr>
              <w:pStyle w:val="Normal"/>
              <w:ind w:firstLine="135"/>
              <w:jc w:val="both"/>
              <w:rPr/>
            </w:pPr>
            <w:r>
              <w:rPr/>
            </w:r>
          </w:p>
        </w:tc>
      </w:tr>
    </w:tbl>
    <w:p>
      <w:pPr>
        <w:pStyle w:val="Normal"/>
        <w:ind w:firstLine="45"/>
        <w:jc w:val="both"/>
        <w:rPr/>
      </w:pPr>
      <w:r>
        <w:rPr/>
      </w:r>
    </w:p>
    <w:tbl>
      <w:tblPr>
        <w:tblW w:w="8205" w:type="dxa"/>
        <w:jc w:val="start"/>
        <w:tblInd w:w="165" w:type="dxa"/>
        <w:tblBorders/>
        <w:tblCellMar>
          <w:top w:w="0" w:type="dxa"/>
          <w:start w:w="15" w:type="dxa"/>
          <w:bottom w:w="0" w:type="dxa"/>
          <w:end w:w="15" w:type="dxa"/>
        </w:tblCellMar>
      </w:tblPr>
      <w:tblGrid>
        <w:gridCol w:w="1200"/>
        <w:gridCol w:w="7005"/>
      </w:tblGrid>
      <w:tr>
        <w:trPr/>
        <w:tc>
          <w:tcPr>
            <w:tcW w:w="1200" w:type="dxa"/>
            <w:tcBorders/>
            <w:shd w:fill="auto" w:val="clear"/>
          </w:tcPr>
          <w:p>
            <w:pPr>
              <w:pStyle w:val="Normal"/>
              <w:rPr>
                <w:sz w:val="24"/>
              </w:rPr>
            </w:pPr>
            <w:r>
              <w:rPr/>
              <w:drawing>
                <wp:inline distT="0" distB="0" distL="0" distR="0">
                  <wp:extent cx="979170" cy="241935"/>
                  <wp:effectExtent l="0" t="0" r="0" b="0"/>
                  <wp:docPr id="81" name="Изображение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81" descr="" title=""/>
                          <pic:cNvPicPr>
                            <a:picLocks noChangeAspect="1" noChangeArrowheads="1"/>
                          </pic:cNvPicPr>
                        </pic:nvPicPr>
                        <pic:blipFill>
                          <a:blip r:embed="rId82"/>
                          <a:stretch>
                            <a:fillRect/>
                          </a:stretch>
                        </pic:blipFill>
                        <pic:spPr bwMode="auto">
                          <a:xfrm>
                            <a:off x="0" y="0"/>
                            <a:ext cx="979170" cy="241935"/>
                          </a:xfrm>
                          <a:prstGeom prst="rect">
                            <a:avLst/>
                          </a:prstGeom>
                        </pic:spPr>
                      </pic:pic>
                    </a:graphicData>
                  </a:graphic>
                </wp:inline>
              </w:drawing>
            </w:r>
          </w:p>
        </w:tc>
        <w:tc>
          <w:tcPr>
            <w:tcW w:w="7005" w:type="dxa"/>
            <w:tcBorders/>
            <w:shd w:fill="auto" w:val="clear"/>
          </w:tcPr>
          <w:p>
            <w:pPr>
              <w:pStyle w:val="Normal"/>
              <w:ind w:firstLine="90"/>
              <w:jc w:val="both"/>
              <w:rPr/>
            </w:pPr>
            <w:r>
              <w:rPr>
                <w:vanish/>
              </w:rPr>
              <w:t>#G0</w:t>
            </w:r>
            <w:r>
              <w:rPr/>
              <w:t xml:space="preserve">-  для сборного желоба со свободной поверхностью воды и затопленными  </w:t>
            </w:r>
          </w:p>
          <w:p>
            <w:pPr>
              <w:pStyle w:val="Normal"/>
              <w:ind w:firstLine="90"/>
              <w:jc w:val="both"/>
              <w:rPr/>
            </w:pPr>
            <w:r>
              <w:rPr/>
            </w:r>
          </w:p>
        </w:tc>
      </w:tr>
    </w:tbl>
    <w:p>
      <w:pPr>
        <w:pStyle w:val="Normal"/>
        <w:ind w:firstLine="45"/>
        <w:jc w:val="both"/>
        <w:rPr/>
      </w:pPr>
      <w:r>
        <w:rPr/>
        <w:t xml:space="preserve">отверстиями,    </w:t>
      </w:r>
    </w:p>
    <w:p>
      <w:pPr>
        <w:pStyle w:val="Normal"/>
        <w:ind w:firstLine="45"/>
        <w:jc w:val="both"/>
        <w:rPr/>
      </w:pPr>
      <w:r>
        <w:rPr/>
      </w:r>
    </w:p>
    <w:tbl>
      <w:tblPr>
        <w:tblW w:w="8325" w:type="dxa"/>
        <w:jc w:val="start"/>
        <w:tblInd w:w="45" w:type="dxa"/>
        <w:tblBorders/>
        <w:tblCellMar>
          <w:top w:w="0" w:type="dxa"/>
          <w:start w:w="15" w:type="dxa"/>
          <w:bottom w:w="0" w:type="dxa"/>
          <w:end w:w="15" w:type="dxa"/>
        </w:tblCellMar>
      </w:tblPr>
      <w:tblGrid>
        <w:gridCol w:w="360"/>
        <w:gridCol w:w="495"/>
        <w:gridCol w:w="2940"/>
        <w:gridCol w:w="3885"/>
        <w:gridCol w:w="75"/>
        <w:gridCol w:w="570"/>
      </w:tblGrid>
      <w:tr>
        <w:trPr/>
        <w:tc>
          <w:tcPr>
            <w:tcW w:w="360" w:type="dxa"/>
            <w:tcBorders/>
            <w:shd w:fill="auto" w:val="clear"/>
          </w:tcPr>
          <w:p>
            <w:pPr>
              <w:pStyle w:val="Normal"/>
              <w:rPr/>
            </w:pPr>
            <w:r>
              <w:rPr>
                <w:vanish/>
              </w:rPr>
              <w:t>#G0</w:t>
            </w:r>
            <w:r>
              <w:rPr/>
              <w:t xml:space="preserve"> </w:t>
            </w:r>
          </w:p>
          <w:p>
            <w:pPr>
              <w:pStyle w:val="Normal"/>
              <w:rPr/>
            </w:pPr>
            <w:r>
              <w:rPr/>
              <w:t xml:space="preserve">где </w:t>
            </w:r>
          </w:p>
          <w:p>
            <w:pPr>
              <w:pStyle w:val="Normal"/>
              <w:rPr/>
            </w:pPr>
            <w:r>
              <w:rPr/>
            </w:r>
          </w:p>
        </w:tc>
        <w:tc>
          <w:tcPr>
            <w:tcW w:w="495" w:type="dxa"/>
            <w:tcBorders/>
            <w:shd w:fill="auto" w:val="clear"/>
          </w:tcPr>
          <w:p>
            <w:pPr>
              <w:pStyle w:val="Normal"/>
              <w:rPr/>
            </w:pPr>
            <w:r>
              <w:rPr/>
              <w:t xml:space="preserve">  </w:t>
            </w:r>
          </w:p>
          <w:p>
            <w:pPr>
              <w:pStyle w:val="Normal"/>
              <w:rPr/>
            </w:pPr>
            <w:r>
              <w:rPr/>
              <w:drawing>
                <wp:inline distT="0" distB="0" distL="0" distR="0">
                  <wp:extent cx="219075" cy="184150"/>
                  <wp:effectExtent l="0" t="0" r="0" b="0"/>
                  <wp:docPr id="82" name="Изображение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82" descr="" title=""/>
                          <pic:cNvPicPr>
                            <a:picLocks noChangeAspect="1" noChangeArrowheads="1"/>
                          </pic:cNvPicPr>
                        </pic:nvPicPr>
                        <pic:blipFill>
                          <a:blip r:embed="rId83"/>
                          <a:stretch>
                            <a:fillRect/>
                          </a:stretch>
                        </pic:blipFill>
                        <pic:spPr bwMode="auto">
                          <a:xfrm>
                            <a:off x="0" y="0"/>
                            <a:ext cx="219075" cy="184150"/>
                          </a:xfrm>
                          <a:prstGeom prst="rect">
                            <a:avLst/>
                          </a:prstGeom>
                        </pic:spPr>
                      </pic:pic>
                    </a:graphicData>
                  </a:graphic>
                </wp:inline>
              </w:drawing>
            </w:r>
          </w:p>
        </w:tc>
        <w:tc>
          <w:tcPr>
            <w:tcW w:w="6825" w:type="dxa"/>
            <w:gridSpan w:val="2"/>
            <w:tcBorders/>
            <w:shd w:fill="auto" w:val="clear"/>
          </w:tcPr>
          <w:p>
            <w:pPr>
              <w:pStyle w:val="Normal"/>
              <w:snapToGrid w:val="false"/>
              <w:rPr/>
            </w:pPr>
            <w:r>
              <w:rPr/>
            </w:r>
          </w:p>
          <w:p>
            <w:pPr>
              <w:pStyle w:val="Normal"/>
              <w:rPr/>
            </w:pPr>
            <w:r>
              <w:rPr/>
              <w:t xml:space="preserve">  </w:t>
            </w:r>
            <w:r>
              <w:rPr/>
              <w:t xml:space="preserve">- коэффициент перфорации  отношение суммарной площади отверстий или  </w:t>
            </w:r>
          </w:p>
          <w:p>
            <w:pPr>
              <w:pStyle w:val="Normal"/>
              <w:rPr/>
            </w:pPr>
            <w:r>
              <w:rPr/>
            </w:r>
          </w:p>
        </w:tc>
        <w:tc>
          <w:tcPr>
            <w:tcW w:w="645" w:type="dxa"/>
            <w:gridSpan w:val="2"/>
            <w:tcBorders/>
            <w:shd w:fill="auto" w:val="clear"/>
            <w:tcMar>
              <w:start w:w="0" w:type="dxa"/>
              <w:end w:w="0" w:type="dxa"/>
            </w:tcMar>
          </w:tcPr>
          <w:p>
            <w:pPr>
              <w:pStyle w:val="Normal"/>
              <w:snapToGrid w:val="false"/>
              <w:rPr/>
            </w:pPr>
            <w:r>
              <w:rPr/>
            </w:r>
          </w:p>
        </w:tc>
      </w:tr>
      <w:tr>
        <w:trPr/>
        <w:tc>
          <w:tcPr>
            <w:tcW w:w="8325" w:type="dxa"/>
            <w:gridSpan w:val="6"/>
            <w:tcBorders/>
            <w:shd w:fill="auto" w:val="clear"/>
          </w:tcPr>
          <w:p>
            <w:pPr>
              <w:pStyle w:val="Normal"/>
              <w:rPr/>
            </w:pPr>
            <w:r>
              <w:rPr/>
              <w:t xml:space="preserve">щелей к площади поперечного сечения прямолинейной трубы или коллектора или к площади </w:t>
            </w:r>
          </w:p>
          <w:p>
            <w:pPr>
              <w:pStyle w:val="Normal"/>
              <w:rPr/>
            </w:pPr>
            <w:r>
              <w:rPr/>
            </w:r>
          </w:p>
        </w:tc>
      </w:tr>
      <w:tr>
        <w:trPr/>
        <w:tc>
          <w:tcPr>
            <w:tcW w:w="3795" w:type="dxa"/>
            <w:gridSpan w:val="3"/>
            <w:tcBorders/>
            <w:shd w:fill="auto" w:val="clear"/>
          </w:tcPr>
          <w:p>
            <w:pPr>
              <w:pStyle w:val="Normal"/>
              <w:rPr/>
            </w:pPr>
            <w:r>
              <w:rPr/>
              <w:t xml:space="preserve">живого сечения в конце сборного желоба, </w:t>
            </w:r>
          </w:p>
          <w:p>
            <w:pPr>
              <w:pStyle w:val="Normal"/>
              <w:rPr/>
            </w:pPr>
            <w:r>
              <w:rPr/>
            </w:r>
          </w:p>
        </w:tc>
        <w:tc>
          <w:tcPr>
            <w:tcW w:w="3960" w:type="dxa"/>
            <w:gridSpan w:val="2"/>
            <w:tcBorders/>
            <w:shd w:fill="auto" w:val="clear"/>
          </w:tcPr>
          <w:p>
            <w:pPr>
              <w:pStyle w:val="Normal"/>
              <w:rPr/>
            </w:pPr>
            <w:r>
              <w:rPr/>
              <w:drawing>
                <wp:inline distT="0" distB="0" distL="0" distR="0">
                  <wp:extent cx="840740" cy="184150"/>
                  <wp:effectExtent l="0" t="0" r="0" b="0"/>
                  <wp:docPr id="83" name="Изображение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83" descr="" title=""/>
                          <pic:cNvPicPr>
                            <a:picLocks noChangeAspect="1" noChangeArrowheads="1"/>
                          </pic:cNvPicPr>
                        </pic:nvPicPr>
                        <pic:blipFill>
                          <a:blip r:embed="rId84"/>
                          <a:stretch>
                            <a:fillRect/>
                          </a:stretch>
                        </pic:blipFill>
                        <pic:spPr bwMode="auto">
                          <a:xfrm>
                            <a:off x="0" y="0"/>
                            <a:ext cx="840740" cy="184150"/>
                          </a:xfrm>
                          <a:prstGeom prst="rect">
                            <a:avLst/>
                          </a:prstGeom>
                        </pic:spPr>
                      </pic:pic>
                    </a:graphicData>
                  </a:graphic>
                </wp:inline>
              </w:drawing>
            </w:r>
          </w:p>
        </w:tc>
        <w:tc>
          <w:tcPr>
            <w:tcW w:w="570" w:type="dxa"/>
            <w:tcBorders/>
            <w:shd w:fill="auto" w:val="clear"/>
            <w:tcMar>
              <w:start w:w="0" w:type="dxa"/>
              <w:end w:w="0" w:type="dxa"/>
            </w:tcMar>
          </w:tcPr>
          <w:p>
            <w:pPr>
              <w:pStyle w:val="Normal"/>
              <w:snapToGrid w:val="false"/>
              <w:rPr/>
            </w:pPr>
            <w:r>
              <w:rPr/>
            </w:r>
          </w:p>
        </w:tc>
      </w:tr>
    </w:tbl>
    <w:p>
      <w:pPr>
        <w:pStyle w:val="Normal"/>
        <w:ind w:firstLine="90"/>
        <w:jc w:val="both"/>
        <w:rPr/>
      </w:pPr>
      <w:r>
        <w:rPr/>
      </w:r>
    </w:p>
    <w:p>
      <w:pPr>
        <w:pStyle w:val="Normal"/>
        <w:ind w:firstLine="225"/>
        <w:jc w:val="both"/>
        <w:rPr/>
      </w:pPr>
      <w:r>
        <w:rPr/>
        <w:t>Потери напора в коммуникациях до и после перфорированных участков труб и желобов, а также местные гидравлические сопротивления на указанных участках надлежит учитывать дополнительно.</w:t>
      </w:r>
    </w:p>
    <w:p>
      <w:pPr>
        <w:pStyle w:val="Normal"/>
        <w:ind w:firstLine="225"/>
        <w:jc w:val="both"/>
        <w:rPr/>
      </w:pPr>
      <w:r>
        <w:rPr/>
      </w:r>
    </w:p>
    <w:p>
      <w:pPr>
        <w:pStyle w:val="Normal"/>
        <w:ind w:firstLine="225"/>
        <w:jc w:val="both"/>
        <w:rPr/>
      </w:pPr>
      <w:r>
        <w:rPr/>
        <w:t>Потери напора в слое взвешенного осадка следует принимать 0,01-0,02 м вод.ст. на 1 м его высоты.</w:t>
      </w:r>
    </w:p>
    <w:p>
      <w:pPr>
        <w:pStyle w:val="Normal"/>
        <w:ind w:firstLine="225"/>
        <w:jc w:val="both"/>
        <w:rPr/>
      </w:pPr>
      <w:r>
        <w:rPr/>
      </w:r>
    </w:p>
    <w:p>
      <w:pPr>
        <w:pStyle w:val="Normal"/>
        <w:ind w:firstLine="225"/>
        <w:jc w:val="both"/>
        <w:rPr/>
      </w:pPr>
      <w:r>
        <w:rPr/>
        <w:t>6.87. Трубы для удаления осадка из осадкоуплотнителя надлежит рассчитывать из условия отведения накопившегося осадка не более чем за 15-20 мин. Диаметр труб для удаления осадка должен быть не менее 150 мм. Расстояние между стенками соседних труб или каналов следует принимать не более 3 м.</w:t>
      </w:r>
    </w:p>
    <w:p>
      <w:pPr>
        <w:pStyle w:val="Normal"/>
        <w:ind w:firstLine="225"/>
        <w:jc w:val="both"/>
        <w:rPr/>
      </w:pPr>
      <w:r>
        <w:rPr/>
      </w:r>
    </w:p>
    <w:p>
      <w:pPr>
        <w:pStyle w:val="Normal"/>
        <w:ind w:firstLine="225"/>
        <w:jc w:val="both"/>
        <w:rPr/>
      </w:pPr>
      <w:r>
        <w:rPr/>
        <w:t>Среднюю скорость движения осадка в отверстиях дырчатых труб следует принимать не более 3 м/с, скорость в конце дырчатой трубы не менее 1 м/с, диаметр отверстий не менее 20 мм, расстояние между отверстиями не более 0,5 м.</w:t>
      </w:r>
    </w:p>
    <w:p>
      <w:pPr>
        <w:pStyle w:val="Normal"/>
        <w:ind w:firstLine="225"/>
        <w:jc w:val="both"/>
        <w:rPr/>
      </w:pPr>
      <w:r>
        <w:rPr/>
      </w:r>
    </w:p>
    <w:p>
      <w:pPr>
        <w:pStyle w:val="Normal"/>
        <w:ind w:firstLine="225"/>
        <w:jc w:val="both"/>
        <w:rPr/>
      </w:pPr>
      <w:r>
        <w:rPr/>
        <w:t>6.88. Угол между наклонными стенками осадкоуплотнителей следует принимать равным 70 град.</w:t>
      </w:r>
    </w:p>
    <w:p>
      <w:pPr>
        <w:pStyle w:val="Normal"/>
        <w:ind w:firstLine="225"/>
        <w:jc w:val="both"/>
        <w:rPr/>
      </w:pPr>
      <w:r>
        <w:rPr/>
      </w:r>
    </w:p>
    <w:p>
      <w:pPr>
        <w:pStyle w:val="Normal"/>
        <w:ind w:firstLine="225"/>
        <w:jc w:val="both"/>
        <w:rPr/>
      </w:pPr>
      <w:r>
        <w:rPr/>
        <w:t>При применении осветлителей с поддонными осадкоуплотнителями люк, соединяющий зону взвешенного осадка с осадкоуплотнителем, должен быть оборудован устройством, автоматически открывающимся при понижении уровня воды в осветлителе ниже верха осадкоотводящих труб (при выпуске осадка и опорожнении).</w:t>
      </w:r>
    </w:p>
    <w:p>
      <w:pPr>
        <w:pStyle w:val="Normal"/>
        <w:ind w:firstLine="225"/>
        <w:jc w:val="both"/>
        <w:rPr/>
      </w:pPr>
      <w:r>
        <w:rPr/>
      </w:r>
    </w:p>
    <w:p>
      <w:pPr>
        <w:pStyle w:val="Normal"/>
        <w:ind w:firstLine="225"/>
        <w:jc w:val="both"/>
        <w:rPr/>
      </w:pPr>
      <w:r>
        <w:rPr/>
        <w:t>6.89. При количестве осветлителей менее шести следует предусматривать один резервный.</w:t>
      </w:r>
    </w:p>
    <w:p>
      <w:pPr>
        <w:pStyle w:val="Normal"/>
        <w:ind w:firstLine="225"/>
        <w:jc w:val="both"/>
        <w:rPr/>
      </w:pPr>
      <w:r>
        <w:rPr/>
      </w:r>
    </w:p>
    <w:p>
      <w:pPr>
        <w:pStyle w:val="Normal"/>
        <w:ind w:firstLine="270"/>
        <w:jc w:val="both"/>
        <w:rPr/>
      </w:pPr>
      <w:r>
        <w:rPr/>
      </w:r>
    </w:p>
    <w:p>
      <w:pPr>
        <w:pStyle w:val="Heading"/>
        <w:jc w:val="center"/>
        <w:rPr/>
      </w:pPr>
      <w:r>
        <w:rPr/>
        <w:t>Сооружения для осветления высокомутных вод</w:t>
      </w:r>
    </w:p>
    <w:p>
      <w:pPr>
        <w:pStyle w:val="Heading"/>
        <w:jc w:val="center"/>
        <w:rPr/>
      </w:pPr>
      <w:r>
        <w:rPr/>
      </w:r>
    </w:p>
    <w:p>
      <w:pPr>
        <w:pStyle w:val="Normal"/>
        <w:ind w:firstLine="270"/>
        <w:jc w:val="both"/>
        <w:rPr/>
      </w:pPr>
      <w:r>
        <w:rPr/>
      </w:r>
    </w:p>
    <w:p>
      <w:pPr>
        <w:pStyle w:val="Normal"/>
        <w:ind w:firstLine="225"/>
        <w:jc w:val="both"/>
        <w:rPr/>
      </w:pPr>
      <w:r>
        <w:rPr/>
        <w:t>6.90. Для осветления высокомутных вод следует предусматривать двухступенчатое отстаивание с обработкой воды реагентами перед отстойниками первой и второй ступеней.</w:t>
      </w:r>
    </w:p>
    <w:p>
      <w:pPr>
        <w:pStyle w:val="Normal"/>
        <w:ind w:firstLine="180"/>
        <w:jc w:val="both"/>
        <w:rPr/>
      </w:pPr>
      <w:r>
        <w:rPr/>
      </w:r>
    </w:p>
    <w:p>
      <w:pPr>
        <w:pStyle w:val="Normal"/>
        <w:ind w:firstLine="225"/>
        <w:jc w:val="both"/>
        <w:rPr/>
      </w:pPr>
      <w:r>
        <w:rPr/>
        <w:t>В качестве отстойников первой ступени следует предусматривать радиальные отстойники со скребками на вращающихся фермах или горизонтальные отстойники с цепными скребковыми механизмами. Допускается для удаления осадка применение гидравлической системы его смыва. При обосновании допускается использовать для первой ступени осветления плавучий водозабор-осветлитель с тонкослойными элементами без применения реагентов.</w:t>
      </w:r>
    </w:p>
    <w:p>
      <w:pPr>
        <w:pStyle w:val="Normal"/>
        <w:ind w:firstLine="225"/>
        <w:jc w:val="both"/>
        <w:rPr/>
      </w:pPr>
      <w:r>
        <w:rPr/>
      </w:r>
    </w:p>
    <w:p>
      <w:pPr>
        <w:pStyle w:val="Normal"/>
        <w:ind w:firstLine="225"/>
        <w:jc w:val="both"/>
        <w:rPr/>
      </w:pPr>
      <w:r>
        <w:rPr/>
        <w:t>6.91. Виды и дозы реагентов, вводимых в воду перед отстойниками первой и второй ступеней, надлежит определять на основании технологических исследований.</w:t>
      </w:r>
    </w:p>
    <w:p>
      <w:pPr>
        <w:pStyle w:val="Normal"/>
        <w:ind w:firstLine="225"/>
        <w:jc w:val="both"/>
        <w:rPr/>
      </w:pPr>
      <w:r>
        <w:rPr/>
      </w:r>
    </w:p>
    <w:p>
      <w:pPr>
        <w:pStyle w:val="Normal"/>
        <w:ind w:firstLine="225"/>
        <w:jc w:val="both"/>
        <w:rPr/>
      </w:pPr>
      <w:r>
        <w:rPr/>
        <w:t>6.92. Камеры хлопьеобразования в горизонтальных отстойниках при осветлении высокомутных вод, как правило, следует проектировать механического типа. Перед радиальными отстойниками камеры хлопьеобразования не предусматриваются. Горизонтальные отстойники следует проектировать согласно пп. 6.67-6.76.</w:t>
      </w:r>
    </w:p>
    <w:p>
      <w:pPr>
        <w:pStyle w:val="Normal"/>
        <w:ind w:firstLine="225"/>
        <w:jc w:val="both"/>
        <w:rPr/>
      </w:pPr>
      <w:r>
        <w:rPr/>
      </w:r>
    </w:p>
    <w:p>
      <w:pPr>
        <w:pStyle w:val="Normal"/>
        <w:ind w:firstLine="270"/>
        <w:jc w:val="both"/>
        <w:rPr/>
      </w:pPr>
      <w:r>
        <w:rPr/>
        <w:t xml:space="preserve">6.93. Площадь радиальных отстойников Fр.о, кв.м, при их использовании для первой ступени отстаивания высокомутных вод следует определять по формуле     </w:t>
      </w:r>
    </w:p>
    <w:tbl>
      <w:tblPr>
        <w:tblW w:w="4515" w:type="dxa"/>
        <w:jc w:val="start"/>
        <w:tblInd w:w="165" w:type="dxa"/>
        <w:tblBorders/>
        <w:tblCellMar>
          <w:top w:w="0" w:type="dxa"/>
          <w:start w:w="15" w:type="dxa"/>
          <w:bottom w:w="0" w:type="dxa"/>
          <w:end w:w="15" w:type="dxa"/>
        </w:tblCellMar>
      </w:tblPr>
      <w:tblGrid>
        <w:gridCol w:w="2235"/>
        <w:gridCol w:w="2280"/>
      </w:tblGrid>
      <w:tr>
        <w:trPr/>
        <w:tc>
          <w:tcPr>
            <w:tcW w:w="2235" w:type="dxa"/>
            <w:tcBorders/>
            <w:shd w:fill="auto" w:val="clear"/>
          </w:tcPr>
          <w:p>
            <w:pPr>
              <w:pStyle w:val="Normal"/>
              <w:rPr/>
            </w:pPr>
            <w:r>
              <w:rPr>
                <w:vanish/>
              </w:rPr>
              <w:t>#G0</w:t>
            </w:r>
            <w:r>
              <w:rPr/>
              <w:t xml:space="preserve">  </w:t>
            </w:r>
          </w:p>
          <w:p>
            <w:pPr>
              <w:pStyle w:val="Normal"/>
              <w:rPr/>
            </w:pPr>
            <w:r>
              <w:rPr/>
              <w:drawing>
                <wp:inline distT="0" distB="0" distL="0" distR="0">
                  <wp:extent cx="1428750" cy="288290"/>
                  <wp:effectExtent l="0" t="0" r="0" b="0"/>
                  <wp:docPr id="84" name="Изображение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84" descr="" title=""/>
                          <pic:cNvPicPr>
                            <a:picLocks noChangeAspect="1" noChangeArrowheads="1"/>
                          </pic:cNvPicPr>
                        </pic:nvPicPr>
                        <pic:blipFill>
                          <a:blip r:embed="rId85"/>
                          <a:stretch>
                            <a:fillRect/>
                          </a:stretch>
                        </pic:blipFill>
                        <pic:spPr bwMode="auto">
                          <a:xfrm>
                            <a:off x="0" y="0"/>
                            <a:ext cx="1428750" cy="288290"/>
                          </a:xfrm>
                          <a:prstGeom prst="rect">
                            <a:avLst/>
                          </a:prstGeom>
                        </pic:spPr>
                      </pic:pic>
                    </a:graphicData>
                  </a:graphic>
                </wp:inline>
              </w:drawing>
            </w:r>
          </w:p>
        </w:tc>
        <w:tc>
          <w:tcPr>
            <w:tcW w:w="2280" w:type="dxa"/>
            <w:tcBorders/>
            <w:shd w:fill="auto" w:val="clear"/>
          </w:tcPr>
          <w:p>
            <w:pPr>
              <w:pStyle w:val="Normal"/>
              <w:rPr/>
            </w:pPr>
            <w:r>
              <w:rPr/>
              <w:t xml:space="preserve">  </w:t>
            </w:r>
          </w:p>
          <w:p>
            <w:pPr>
              <w:pStyle w:val="Normal"/>
              <w:rPr/>
            </w:pPr>
            <w:r>
              <w:rPr/>
              <w:t xml:space="preserve"> </w:t>
            </w:r>
            <w:r>
              <w:rPr/>
              <w:t>,                                        (17)</w:t>
            </w:r>
          </w:p>
          <w:p>
            <w:pPr>
              <w:pStyle w:val="Normal"/>
              <w:rPr/>
            </w:pPr>
            <w:r>
              <w:rPr/>
            </w:r>
          </w:p>
        </w:tc>
      </w:tr>
    </w:tbl>
    <w:p>
      <w:pPr>
        <w:pStyle w:val="Normal"/>
        <w:jc w:val="both"/>
        <w:rPr/>
      </w:pPr>
      <w:r>
        <w:rPr/>
      </w:r>
    </w:p>
    <w:p>
      <w:pPr>
        <w:pStyle w:val="Normal"/>
        <w:ind w:firstLine="135"/>
        <w:jc w:val="both"/>
        <w:rPr/>
      </w:pPr>
      <w:r>
        <w:rPr/>
        <w:tab/>
        <w:tab/>
        <w:tab/>
        <w:t xml:space="preserve">       </w:t>
      </w:r>
    </w:p>
    <w:tbl>
      <w:tblPr>
        <w:tblW w:w="6225" w:type="dxa"/>
        <w:jc w:val="start"/>
        <w:tblInd w:w="165" w:type="dxa"/>
        <w:tblBorders/>
        <w:tblCellMar>
          <w:top w:w="0" w:type="dxa"/>
          <w:start w:w="15" w:type="dxa"/>
          <w:bottom w:w="0" w:type="dxa"/>
          <w:end w:w="15" w:type="dxa"/>
        </w:tblCellMar>
      </w:tblPr>
      <w:tblGrid>
        <w:gridCol w:w="180"/>
        <w:gridCol w:w="120"/>
        <w:gridCol w:w="510"/>
        <w:gridCol w:w="60"/>
        <w:gridCol w:w="4200"/>
        <w:gridCol w:w="1155"/>
      </w:tblGrid>
      <w:tr>
        <w:trPr/>
        <w:tc>
          <w:tcPr>
            <w:tcW w:w="300" w:type="dxa"/>
            <w:gridSpan w:val="2"/>
            <w:tcBorders/>
            <w:shd w:fill="auto" w:val="clear"/>
          </w:tcPr>
          <w:p>
            <w:pPr>
              <w:pStyle w:val="Normal"/>
              <w:rPr/>
            </w:pPr>
            <w:r>
              <w:rPr>
                <w:vanish/>
              </w:rPr>
              <w:t>#G0</w:t>
            </w:r>
            <w:r>
              <w:rPr/>
              <w:t xml:space="preserve">       где </w:t>
            </w:r>
          </w:p>
          <w:p>
            <w:pPr>
              <w:pStyle w:val="Normal"/>
              <w:rPr/>
            </w:pPr>
            <w:r>
              <w:rPr/>
            </w:r>
          </w:p>
        </w:tc>
        <w:tc>
          <w:tcPr>
            <w:tcW w:w="570" w:type="dxa"/>
            <w:gridSpan w:val="2"/>
            <w:tcBorders/>
            <w:shd w:fill="auto" w:val="clear"/>
          </w:tcPr>
          <w:p>
            <w:pPr>
              <w:pStyle w:val="Normal"/>
              <w:rPr/>
            </w:pPr>
            <w:r>
              <w:rPr/>
              <w:t xml:space="preserve">  </w:t>
            </w:r>
          </w:p>
          <w:p>
            <w:pPr>
              <w:pStyle w:val="Normal"/>
              <w:rPr/>
            </w:pPr>
            <w:r>
              <w:rPr/>
              <w:drawing>
                <wp:inline distT="0" distB="0" distL="0" distR="0">
                  <wp:extent cx="114935" cy="149860"/>
                  <wp:effectExtent l="0" t="0" r="0" b="0"/>
                  <wp:docPr id="85" name="Изображение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85" descr="" title=""/>
                          <pic:cNvPicPr>
                            <a:picLocks noChangeAspect="1" noChangeArrowheads="1"/>
                          </pic:cNvPicPr>
                        </pic:nvPicPr>
                        <pic:blipFill>
                          <a:blip r:embed="rId86"/>
                          <a:stretch>
                            <a:fillRect/>
                          </a:stretch>
                        </pic:blipFill>
                        <pic:spPr bwMode="auto">
                          <a:xfrm>
                            <a:off x="0" y="0"/>
                            <a:ext cx="114935" cy="149860"/>
                          </a:xfrm>
                          <a:prstGeom prst="rect">
                            <a:avLst/>
                          </a:prstGeom>
                        </pic:spPr>
                      </pic:pic>
                    </a:graphicData>
                  </a:graphic>
                </wp:inline>
              </w:drawing>
            </w:r>
          </w:p>
        </w:tc>
        <w:tc>
          <w:tcPr>
            <w:tcW w:w="4200" w:type="dxa"/>
            <w:tcBorders/>
            <w:shd w:fill="auto" w:val="clear"/>
          </w:tcPr>
          <w:p>
            <w:pPr>
              <w:pStyle w:val="Normal"/>
              <w:rPr/>
            </w:pPr>
            <w:r>
              <w:rPr/>
              <w:t xml:space="preserve">  </w:t>
            </w:r>
          </w:p>
          <w:p>
            <w:pPr>
              <w:pStyle w:val="Normal"/>
              <w:ind w:firstLine="45"/>
              <w:jc w:val="both"/>
              <w:rPr/>
            </w:pPr>
            <w:r>
              <w:rPr/>
              <w:t xml:space="preserve">-  расчетный расход, куб.м/ч; </w:t>
            </w:r>
          </w:p>
          <w:p>
            <w:pPr>
              <w:pStyle w:val="Normal"/>
              <w:ind w:firstLine="225"/>
              <w:jc w:val="both"/>
              <w:rPr/>
            </w:pPr>
            <w:r>
              <w:rPr/>
            </w:r>
          </w:p>
          <w:p>
            <w:pPr>
              <w:pStyle w:val="Normal"/>
              <w:ind w:firstLine="225"/>
              <w:jc w:val="both"/>
              <w:rPr/>
            </w:pPr>
            <w:r>
              <w:rPr/>
            </w:r>
          </w:p>
        </w:tc>
        <w:tc>
          <w:tcPr>
            <w:tcW w:w="1155" w:type="dxa"/>
            <w:tcBorders/>
            <w:shd w:fill="auto" w:val="clear"/>
            <w:tcMar>
              <w:start w:w="0" w:type="dxa"/>
              <w:end w:w="0" w:type="dxa"/>
            </w:tcMar>
          </w:tcPr>
          <w:p>
            <w:pPr>
              <w:pStyle w:val="Normal"/>
              <w:snapToGrid w:val="false"/>
              <w:rPr/>
            </w:pPr>
            <w:r>
              <w:rPr/>
            </w:r>
          </w:p>
        </w:tc>
      </w:tr>
      <w:tr>
        <w:trPr/>
        <w:tc>
          <w:tcPr>
            <w:tcW w:w="180" w:type="dxa"/>
            <w:tcBorders/>
            <w:shd w:fill="auto" w:val="clear"/>
            <w:tcMar>
              <w:start w:w="0" w:type="dxa"/>
              <w:end w:w="0" w:type="dxa"/>
            </w:tcMar>
          </w:tcPr>
          <w:p>
            <w:pPr>
              <w:pStyle w:val="Style23"/>
              <w:rPr/>
            </w:pPr>
            <w:r>
              <w:rPr/>
            </w:r>
          </w:p>
        </w:tc>
        <w:tc>
          <w:tcPr>
            <w:tcW w:w="630" w:type="dxa"/>
            <w:gridSpan w:val="2"/>
            <w:tcBorders/>
            <w:shd w:fill="auto" w:val="clear"/>
          </w:tcPr>
          <w:p>
            <w:pPr>
              <w:pStyle w:val="Normal"/>
              <w:rPr>
                <w:sz w:val="24"/>
              </w:rPr>
            </w:pPr>
            <w:r>
              <w:rPr/>
              <w:drawing>
                <wp:inline distT="0" distB="0" distL="0" distR="0">
                  <wp:extent cx="149860" cy="184150"/>
                  <wp:effectExtent l="0" t="0" r="0" b="0"/>
                  <wp:docPr id="86" name="Изображение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86" descr="" title=""/>
                          <pic:cNvPicPr>
                            <a:picLocks noChangeAspect="1" noChangeArrowheads="1"/>
                          </pic:cNvPicPr>
                        </pic:nvPicPr>
                        <pic:blipFill>
                          <a:blip r:embed="rId87"/>
                          <a:stretch>
                            <a:fillRect/>
                          </a:stretch>
                        </pic:blipFill>
                        <pic:spPr bwMode="auto">
                          <a:xfrm>
                            <a:off x="0" y="0"/>
                            <a:ext cx="149860" cy="184150"/>
                          </a:xfrm>
                          <a:prstGeom prst="rect">
                            <a:avLst/>
                          </a:prstGeom>
                        </pic:spPr>
                      </pic:pic>
                    </a:graphicData>
                  </a:graphic>
                </wp:inline>
              </w:drawing>
            </w:r>
          </w:p>
        </w:tc>
        <w:tc>
          <w:tcPr>
            <w:tcW w:w="5415" w:type="dxa"/>
            <w:gridSpan w:val="3"/>
            <w:tcBorders/>
            <w:shd w:fill="auto" w:val="clear"/>
          </w:tcPr>
          <w:p>
            <w:pPr>
              <w:pStyle w:val="Normal"/>
              <w:ind w:firstLine="90"/>
              <w:jc w:val="both"/>
              <w:rPr/>
            </w:pPr>
            <w:r>
              <w:rPr>
                <w:vanish/>
              </w:rPr>
              <w:t>#G0</w:t>
            </w:r>
            <w:r>
              <w:rPr/>
              <w:t>- скорость выпадения взвеси, принимаемая 0,5-0,6 мм/с;</w:t>
            </w:r>
          </w:p>
          <w:p>
            <w:pPr>
              <w:pStyle w:val="Normal"/>
              <w:ind w:firstLine="90"/>
              <w:jc w:val="both"/>
              <w:rPr/>
            </w:pPr>
            <w:r>
              <w:rPr/>
            </w:r>
          </w:p>
        </w:tc>
      </w:tr>
    </w:tbl>
    <w:p>
      <w:pPr>
        <w:pStyle w:val="Normal"/>
        <w:ind w:firstLine="405"/>
        <w:jc w:val="both"/>
        <w:rPr/>
      </w:pPr>
      <w:r>
        <w:rPr/>
      </w:r>
    </w:p>
    <w:tbl>
      <w:tblPr>
        <w:tblW w:w="7980" w:type="dxa"/>
        <w:jc w:val="start"/>
        <w:tblInd w:w="345" w:type="dxa"/>
        <w:tblBorders/>
        <w:tblCellMar>
          <w:top w:w="0" w:type="dxa"/>
          <w:start w:w="15" w:type="dxa"/>
          <w:bottom w:w="0" w:type="dxa"/>
          <w:end w:w="15" w:type="dxa"/>
        </w:tblCellMar>
      </w:tblPr>
      <w:tblGrid>
        <w:gridCol w:w="720"/>
        <w:gridCol w:w="7260"/>
      </w:tblGrid>
      <w:tr>
        <w:trPr/>
        <w:tc>
          <w:tcPr>
            <w:tcW w:w="720" w:type="dxa"/>
            <w:tcBorders/>
            <w:shd w:fill="auto" w:val="clear"/>
          </w:tcPr>
          <w:p>
            <w:pPr>
              <w:pStyle w:val="Normal"/>
              <w:rPr>
                <w:sz w:val="24"/>
              </w:rPr>
            </w:pPr>
            <w:r>
              <w:rPr/>
              <w:drawing>
                <wp:inline distT="0" distB="0" distL="0" distR="0">
                  <wp:extent cx="138430" cy="184150"/>
                  <wp:effectExtent l="0" t="0" r="0" b="0"/>
                  <wp:docPr id="87" name="Изображение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87" descr="" title=""/>
                          <pic:cNvPicPr>
                            <a:picLocks noChangeAspect="1" noChangeArrowheads="1"/>
                          </pic:cNvPicPr>
                        </pic:nvPicPr>
                        <pic:blipFill>
                          <a:blip r:embed="rId88"/>
                          <a:stretch>
                            <a:fillRect/>
                          </a:stretch>
                        </pic:blipFill>
                        <pic:spPr bwMode="auto">
                          <a:xfrm>
                            <a:off x="0" y="0"/>
                            <a:ext cx="138430" cy="184150"/>
                          </a:xfrm>
                          <a:prstGeom prst="rect">
                            <a:avLst/>
                          </a:prstGeom>
                        </pic:spPr>
                      </pic:pic>
                    </a:graphicData>
                  </a:graphic>
                </wp:inline>
              </w:drawing>
            </w:r>
          </w:p>
        </w:tc>
        <w:tc>
          <w:tcPr>
            <w:tcW w:w="7260" w:type="dxa"/>
            <w:tcBorders/>
            <w:shd w:fill="auto" w:val="clear"/>
          </w:tcPr>
          <w:p>
            <w:pPr>
              <w:pStyle w:val="Normal"/>
              <w:ind w:firstLine="45"/>
              <w:jc w:val="both"/>
              <w:rPr/>
            </w:pPr>
            <w:r>
              <w:rPr>
                <w:vanish/>
              </w:rPr>
              <w:t>#G0</w:t>
            </w:r>
            <w:r>
              <w:rPr/>
              <w:t>- площадь вихревой зоны радиального отстойника, радиус которой принимается на     1 м больше радиуса распределительного устройства, кв.м.</w:t>
            </w:r>
          </w:p>
          <w:p>
            <w:pPr>
              <w:pStyle w:val="Normal"/>
              <w:ind w:firstLine="45"/>
              <w:jc w:val="both"/>
              <w:rPr/>
            </w:pPr>
            <w:r>
              <w:rPr/>
            </w:r>
          </w:p>
        </w:tc>
      </w:tr>
    </w:tbl>
    <w:p>
      <w:pPr>
        <w:pStyle w:val="Normal"/>
        <w:ind w:firstLine="180"/>
        <w:jc w:val="both"/>
        <w:rPr/>
      </w:pPr>
      <w:r>
        <w:rPr/>
      </w:r>
    </w:p>
    <w:p>
      <w:pPr>
        <w:pStyle w:val="Normal"/>
        <w:ind w:firstLine="270"/>
        <w:jc w:val="both"/>
        <w:rPr/>
      </w:pPr>
      <w:r>
        <w:rPr/>
        <w:t>Низ центрального распределительного устройства делается глухим, верх его должен быть на глубине, равной высоте слоя воды у периферийной стенки; радиус его следует принимать равным 1,5-2,5 м. Площадь отверстий в боковой стенке водораспределительного устройства надлежит определять из расчета скорости движения воды через них 1 м/с при диаметре отверстий 40-50 мм.</w:t>
      </w:r>
    </w:p>
    <w:p>
      <w:pPr>
        <w:pStyle w:val="Normal"/>
        <w:ind w:firstLine="225"/>
        <w:jc w:val="both"/>
        <w:rPr/>
      </w:pPr>
      <w:r>
        <w:rPr/>
      </w:r>
    </w:p>
    <w:p>
      <w:pPr>
        <w:pStyle w:val="Normal"/>
        <w:ind w:firstLine="225"/>
        <w:jc w:val="both"/>
        <w:rPr/>
      </w:pPr>
      <w:r>
        <w:rPr/>
        <w:t>Сбор осветленной воды следует предусматривать периферийным желобом с затопленными отверстиями или с треугольными водосливами согласно п. 6.84.</w:t>
      </w:r>
    </w:p>
    <w:p>
      <w:pPr>
        <w:pStyle w:val="Normal"/>
        <w:ind w:firstLine="225"/>
        <w:jc w:val="both"/>
        <w:rPr/>
      </w:pPr>
      <w:r>
        <w:rPr/>
      </w:r>
    </w:p>
    <w:p>
      <w:pPr>
        <w:pStyle w:val="Normal"/>
        <w:ind w:firstLine="225"/>
        <w:jc w:val="both"/>
        <w:rPr/>
      </w:pPr>
      <w:r>
        <w:rPr/>
        <w:t>6.94. Среднюю концентрацию уплотненного осадка в отстойниках первой ступени следует принимать 150-160 г/л.</w:t>
      </w:r>
    </w:p>
    <w:p>
      <w:pPr>
        <w:pStyle w:val="Normal"/>
        <w:ind w:firstLine="225"/>
        <w:jc w:val="both"/>
        <w:rPr/>
      </w:pPr>
      <w:r>
        <w:rPr/>
      </w:r>
    </w:p>
    <w:p>
      <w:pPr>
        <w:pStyle w:val="Normal"/>
        <w:ind w:firstLine="270"/>
        <w:jc w:val="both"/>
        <w:rPr/>
      </w:pPr>
      <w:r>
        <w:rPr/>
      </w:r>
    </w:p>
    <w:p>
      <w:pPr>
        <w:pStyle w:val="Heading"/>
        <w:jc w:val="center"/>
        <w:rPr/>
      </w:pPr>
      <w:r>
        <w:rPr/>
        <w:t>Скорые фильтры</w:t>
      </w:r>
    </w:p>
    <w:p>
      <w:pPr>
        <w:pStyle w:val="Heading"/>
        <w:jc w:val="center"/>
        <w:rPr/>
      </w:pPr>
      <w:r>
        <w:rPr/>
      </w:r>
    </w:p>
    <w:p>
      <w:pPr>
        <w:pStyle w:val="Normal"/>
        <w:ind w:firstLine="270"/>
        <w:jc w:val="both"/>
        <w:rPr/>
      </w:pPr>
      <w:r>
        <w:rPr/>
      </w:r>
    </w:p>
    <w:p>
      <w:pPr>
        <w:pStyle w:val="Normal"/>
        <w:ind w:firstLine="270"/>
        <w:jc w:val="both"/>
        <w:rPr/>
      </w:pPr>
      <w:r>
        <w:rPr/>
        <w:t>6.95. Фильтры и их коммуникации должны быть рассчитаны на работу при нормальном и форсированном (часть фильтров находится в ремонте) режимах. На станциях с количеством фильтров до 20 следует предусматривать возможность выключения на ремонт одного фильтра, при большем количестве - двух фильтров.</w:t>
      </w:r>
    </w:p>
    <w:p>
      <w:pPr>
        <w:pStyle w:val="Normal"/>
        <w:ind w:firstLine="270"/>
        <w:jc w:val="both"/>
        <w:rPr/>
      </w:pPr>
      <w:r>
        <w:rPr/>
      </w:r>
    </w:p>
    <w:p>
      <w:pPr>
        <w:pStyle w:val="Normal"/>
        <w:ind w:firstLine="270"/>
        <w:jc w:val="both"/>
        <w:rPr/>
      </w:pPr>
      <w:r>
        <w:rPr/>
        <w:t>6.96. Для загрузки фильтров надлежит использовать кварцевый песок, дробленые антрацит и керамзит, а также другие материалы. Все фильтрующие материалы должны обеспечивать технологический процесс и обладать требуемой химической стойкостью и механической прочностью. При хозяйственно-питьевом водоснабжении должны учитываться требования п. 1.3.</w:t>
      </w:r>
    </w:p>
    <w:p>
      <w:pPr>
        <w:pStyle w:val="Normal"/>
        <w:ind w:firstLine="225"/>
        <w:jc w:val="both"/>
        <w:rPr/>
      </w:pPr>
      <w:r>
        <w:rPr/>
      </w:r>
    </w:p>
    <w:p>
      <w:pPr>
        <w:pStyle w:val="Normal"/>
        <w:ind w:firstLine="270"/>
        <w:jc w:val="both"/>
        <w:rPr/>
      </w:pPr>
      <w:r>
        <w:rPr/>
        <w:t>6.97. Скорости фильтрования при нормальном и форсированном режимах при отсутствии данных технологических изысканий надлежит принимать согласно табл. 21 с учетом обеспечения продолжительности работы фильтров между промывками, не менее: при нормальном режиме - 8-12 ч, при форсированном режиме или полной автоматизации промывки фильтров - 6 ч и обеспечения для хозяйственно-питьевых водопроводов требований ГОСТ 2874-82.</w:t>
      </w:r>
    </w:p>
    <w:p>
      <w:pPr>
        <w:pStyle w:val="Normal"/>
        <w:ind w:firstLine="270"/>
        <w:jc w:val="both"/>
        <w:rPr/>
      </w:pPr>
      <w:r>
        <w:rPr/>
      </w:r>
    </w:p>
    <w:p>
      <w:pPr>
        <w:pStyle w:val="Normal"/>
        <w:ind w:firstLine="495"/>
        <w:jc w:val="both"/>
        <w:rPr/>
      </w:pPr>
      <w:r>
        <w:rPr/>
        <w:t>6.98. Общую площадь Fф, кв.м, следует определять по формуле</w:t>
      </w:r>
    </w:p>
    <w:p>
      <w:pPr>
        <w:pStyle w:val="Normal"/>
        <w:ind w:firstLine="225"/>
        <w:jc w:val="both"/>
        <w:rPr/>
      </w:pPr>
      <w:r>
        <w:rPr/>
      </w:r>
    </w:p>
    <w:p>
      <w:pPr>
        <w:pStyle w:val="Normal"/>
        <w:ind w:firstLine="225"/>
        <w:jc w:val="both"/>
        <w:rPr/>
      </w:pPr>
      <w:r>
        <w:rPr/>
      </w:r>
    </w:p>
    <w:p>
      <w:pPr>
        <w:pStyle w:val="Normal"/>
        <w:ind w:firstLine="225"/>
        <w:jc w:val="both"/>
        <w:rPr/>
      </w:pPr>
      <w:r>
        <w:rPr/>
        <w:drawing>
          <wp:inline distT="0" distB="0" distL="0" distR="0">
            <wp:extent cx="2834005" cy="264795"/>
            <wp:effectExtent l="0" t="0" r="0" b="0"/>
            <wp:docPr id="88" name="Изображение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88" descr="" title=""/>
                    <pic:cNvPicPr>
                      <a:picLocks noChangeAspect="1" noChangeArrowheads="1"/>
                    </pic:cNvPicPr>
                  </pic:nvPicPr>
                  <pic:blipFill>
                    <a:blip r:embed="rId89"/>
                    <a:stretch>
                      <a:fillRect/>
                    </a:stretch>
                  </pic:blipFill>
                  <pic:spPr bwMode="auto">
                    <a:xfrm>
                      <a:off x="0" y="0"/>
                      <a:ext cx="2834005" cy="264795"/>
                    </a:xfrm>
                    <a:prstGeom prst="rect">
                      <a:avLst/>
                    </a:prstGeom>
                  </pic:spPr>
                </pic:pic>
              </a:graphicData>
            </a:graphic>
          </wp:inline>
        </w:drawing>
      </w:r>
    </w:p>
    <w:p>
      <w:pPr>
        <w:pStyle w:val="Normal"/>
        <w:ind w:firstLine="225"/>
        <w:jc w:val="both"/>
        <w:rPr/>
      </w:pPr>
      <w:r>
        <w:rPr/>
      </w:r>
    </w:p>
    <w:p>
      <w:pPr>
        <w:pStyle w:val="Normal"/>
        <w:ind w:firstLine="180"/>
        <w:jc w:val="both"/>
        <w:rPr/>
      </w:pPr>
      <w:r>
        <w:rPr/>
      </w:r>
    </w:p>
    <w:tbl>
      <w:tblPr>
        <w:tblW w:w="5745" w:type="dxa"/>
        <w:jc w:val="start"/>
        <w:tblInd w:w="165" w:type="dxa"/>
        <w:tblBorders/>
        <w:tblCellMar>
          <w:top w:w="0" w:type="dxa"/>
          <w:start w:w="15" w:type="dxa"/>
          <w:bottom w:w="0" w:type="dxa"/>
          <w:end w:w="15" w:type="dxa"/>
        </w:tblCellMar>
      </w:tblPr>
      <w:tblGrid>
        <w:gridCol w:w="450"/>
        <w:gridCol w:w="300"/>
        <w:gridCol w:w="4995"/>
      </w:tblGrid>
      <w:tr>
        <w:trPr/>
        <w:tc>
          <w:tcPr>
            <w:tcW w:w="450" w:type="dxa"/>
            <w:tcBorders/>
            <w:shd w:fill="auto" w:val="clear"/>
          </w:tcPr>
          <w:p>
            <w:pPr>
              <w:pStyle w:val="Normal"/>
              <w:rPr/>
            </w:pPr>
            <w:r>
              <w:rPr>
                <w:vanish/>
              </w:rPr>
              <w:t>#G0</w:t>
            </w:r>
            <w:r>
              <w:rPr/>
              <w:t xml:space="preserve">где </w:t>
            </w:r>
          </w:p>
          <w:p>
            <w:pPr>
              <w:pStyle w:val="Normal"/>
              <w:rPr/>
            </w:pPr>
            <w:r>
              <w:rPr/>
            </w:r>
          </w:p>
        </w:tc>
        <w:tc>
          <w:tcPr>
            <w:tcW w:w="300" w:type="dxa"/>
            <w:tcBorders/>
            <w:shd w:fill="auto" w:val="clear"/>
          </w:tcPr>
          <w:p>
            <w:pPr>
              <w:pStyle w:val="Normal"/>
              <w:rPr/>
            </w:pPr>
            <w:r>
              <w:rPr/>
              <w:drawing>
                <wp:inline distT="0" distB="0" distL="0" distR="0">
                  <wp:extent cx="138430" cy="172720"/>
                  <wp:effectExtent l="0" t="0" r="0" b="0"/>
                  <wp:docPr id="89" name="Изображение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89" descr="" title=""/>
                          <pic:cNvPicPr>
                            <a:picLocks noChangeAspect="1" noChangeArrowheads="1"/>
                          </pic:cNvPicPr>
                        </pic:nvPicPr>
                        <pic:blipFill>
                          <a:blip r:embed="rId90"/>
                          <a:stretch>
                            <a:fillRect/>
                          </a:stretch>
                        </pic:blipFill>
                        <pic:spPr bwMode="auto">
                          <a:xfrm>
                            <a:off x="0" y="0"/>
                            <a:ext cx="138430" cy="172720"/>
                          </a:xfrm>
                          <a:prstGeom prst="rect">
                            <a:avLst/>
                          </a:prstGeom>
                        </pic:spPr>
                      </pic:pic>
                    </a:graphicData>
                  </a:graphic>
                </wp:inline>
              </w:drawing>
            </w:r>
          </w:p>
        </w:tc>
        <w:tc>
          <w:tcPr>
            <w:tcW w:w="4995" w:type="dxa"/>
            <w:tcBorders/>
            <w:shd w:fill="auto" w:val="clear"/>
          </w:tcPr>
          <w:p>
            <w:pPr>
              <w:pStyle w:val="Normal"/>
              <w:ind w:firstLine="45"/>
              <w:jc w:val="both"/>
              <w:rPr/>
            </w:pPr>
            <w:r>
              <w:rPr/>
              <w:t xml:space="preserve">-  полезная производительность станции, куб.м/сут; </w:t>
            </w:r>
          </w:p>
          <w:p>
            <w:pPr>
              <w:pStyle w:val="Normal"/>
              <w:ind w:firstLine="45"/>
              <w:jc w:val="both"/>
              <w:rPr/>
            </w:pPr>
            <w:r>
              <w:rPr/>
            </w:r>
          </w:p>
        </w:tc>
      </w:tr>
    </w:tbl>
    <w:p>
      <w:pPr>
        <w:pStyle w:val="Normal"/>
        <w:ind w:firstLine="270"/>
        <w:jc w:val="both"/>
        <w:rPr/>
      </w:pPr>
      <w:r>
        <w:rPr/>
      </w:r>
    </w:p>
    <w:tbl>
      <w:tblPr>
        <w:tblW w:w="8145" w:type="dxa"/>
        <w:jc w:val="start"/>
        <w:tblInd w:w="165" w:type="dxa"/>
        <w:tblBorders/>
        <w:tblCellMar>
          <w:top w:w="0" w:type="dxa"/>
          <w:start w:w="15" w:type="dxa"/>
          <w:bottom w:w="0" w:type="dxa"/>
          <w:end w:w="15" w:type="dxa"/>
        </w:tblCellMar>
      </w:tblPr>
      <w:tblGrid>
        <w:gridCol w:w="450"/>
        <w:gridCol w:w="105"/>
        <w:gridCol w:w="6345"/>
        <w:gridCol w:w="1245"/>
      </w:tblGrid>
      <w:tr>
        <w:trPr/>
        <w:tc>
          <w:tcPr>
            <w:tcW w:w="450" w:type="dxa"/>
            <w:tcBorders/>
            <w:shd w:fill="auto" w:val="clear"/>
          </w:tcPr>
          <w:p>
            <w:pPr>
              <w:pStyle w:val="Normal"/>
              <w:rPr>
                <w:sz w:val="24"/>
              </w:rPr>
            </w:pPr>
            <w:r>
              <w:rPr/>
              <w:drawing>
                <wp:inline distT="0" distB="0" distL="0" distR="0">
                  <wp:extent cx="195580" cy="172720"/>
                  <wp:effectExtent l="0" t="0" r="0" b="0"/>
                  <wp:docPr id="90" name="Изображение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90" descr="" title=""/>
                          <pic:cNvPicPr>
                            <a:picLocks noChangeAspect="1" noChangeArrowheads="1"/>
                          </pic:cNvPicPr>
                        </pic:nvPicPr>
                        <pic:blipFill>
                          <a:blip r:embed="rId91"/>
                          <a:stretch>
                            <a:fillRect/>
                          </a:stretch>
                        </pic:blipFill>
                        <pic:spPr bwMode="auto">
                          <a:xfrm>
                            <a:off x="0" y="0"/>
                            <a:ext cx="195580" cy="172720"/>
                          </a:xfrm>
                          <a:prstGeom prst="rect">
                            <a:avLst/>
                          </a:prstGeom>
                        </pic:spPr>
                      </pic:pic>
                    </a:graphicData>
                  </a:graphic>
                </wp:inline>
              </w:drawing>
            </w:r>
          </w:p>
        </w:tc>
        <w:tc>
          <w:tcPr>
            <w:tcW w:w="6450" w:type="dxa"/>
            <w:gridSpan w:val="2"/>
            <w:tcBorders/>
            <w:shd w:fill="auto" w:val="clear"/>
          </w:tcPr>
          <w:p>
            <w:pPr>
              <w:pStyle w:val="Normal"/>
              <w:rPr/>
            </w:pPr>
            <w:r>
              <w:rPr>
                <w:vanish/>
              </w:rPr>
              <w:t>#G0</w:t>
            </w:r>
            <w:r>
              <w:rPr/>
              <w:t xml:space="preserve">   - продолжительность работы станции в течение суток, ч;</w:t>
            </w:r>
          </w:p>
          <w:p>
            <w:pPr>
              <w:pStyle w:val="Normal"/>
              <w:rPr/>
            </w:pPr>
            <w:r>
              <w:rPr/>
            </w:r>
          </w:p>
        </w:tc>
        <w:tc>
          <w:tcPr>
            <w:tcW w:w="1245" w:type="dxa"/>
            <w:tcBorders/>
            <w:shd w:fill="auto" w:val="clear"/>
            <w:tcMar>
              <w:start w:w="0" w:type="dxa"/>
              <w:end w:w="0" w:type="dxa"/>
            </w:tcMar>
          </w:tcPr>
          <w:p>
            <w:pPr>
              <w:pStyle w:val="Normal"/>
              <w:snapToGrid w:val="false"/>
              <w:rPr/>
            </w:pPr>
            <w:r>
              <w:rPr/>
            </w:r>
          </w:p>
        </w:tc>
      </w:tr>
      <w:tr>
        <w:trPr/>
        <w:tc>
          <w:tcPr>
            <w:tcW w:w="555" w:type="dxa"/>
            <w:gridSpan w:val="2"/>
            <w:tcBorders/>
            <w:shd w:fill="auto" w:val="clear"/>
          </w:tcPr>
          <w:p>
            <w:pPr>
              <w:pStyle w:val="Normal"/>
              <w:rPr/>
            </w:pPr>
            <w:r>
              <w:rPr/>
              <w:drawing>
                <wp:inline distT="0" distB="0" distL="0" distR="0">
                  <wp:extent cx="172720" cy="184150"/>
                  <wp:effectExtent l="0" t="0" r="0" b="0"/>
                  <wp:docPr id="91" name="Изображение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91" descr="" title=""/>
                          <pic:cNvPicPr>
                            <a:picLocks noChangeAspect="1" noChangeArrowheads="1"/>
                          </pic:cNvPicPr>
                        </pic:nvPicPr>
                        <pic:blipFill>
                          <a:blip r:embed="rId92"/>
                          <a:stretch>
                            <a:fillRect/>
                          </a:stretch>
                        </pic:blipFill>
                        <pic:spPr bwMode="auto">
                          <a:xfrm>
                            <a:off x="0" y="0"/>
                            <a:ext cx="172720" cy="184150"/>
                          </a:xfrm>
                          <a:prstGeom prst="rect">
                            <a:avLst/>
                          </a:prstGeom>
                        </pic:spPr>
                      </pic:pic>
                    </a:graphicData>
                  </a:graphic>
                </wp:inline>
              </w:drawing>
            </w:r>
          </w:p>
        </w:tc>
        <w:tc>
          <w:tcPr>
            <w:tcW w:w="7590" w:type="dxa"/>
            <w:gridSpan w:val="2"/>
            <w:tcBorders/>
            <w:shd w:fill="auto" w:val="clear"/>
          </w:tcPr>
          <w:p>
            <w:pPr>
              <w:pStyle w:val="Normal"/>
              <w:jc w:val="both"/>
              <w:rPr/>
            </w:pPr>
            <w:r>
              <w:rPr/>
              <w:t>-  расчетная скорость фильтрования при нормальном режиме, м/ч, принимаемая</w:t>
            </w:r>
          </w:p>
          <w:p>
            <w:pPr>
              <w:pStyle w:val="Normal"/>
              <w:ind w:firstLine="180"/>
              <w:jc w:val="both"/>
              <w:rPr/>
            </w:pPr>
            <w:r>
              <w:rPr/>
              <w:t>по табл. 21, с учетом расчетов по формуле (20);</w:t>
            </w:r>
          </w:p>
          <w:p>
            <w:pPr>
              <w:pStyle w:val="Normal"/>
              <w:ind w:firstLine="180"/>
              <w:jc w:val="both"/>
              <w:rPr/>
            </w:pPr>
            <w:r>
              <w:rPr/>
            </w:r>
          </w:p>
        </w:tc>
      </w:tr>
    </w:tbl>
    <w:p>
      <w:pPr>
        <w:pStyle w:val="Normal"/>
        <w:ind w:firstLine="225"/>
        <w:jc w:val="both"/>
        <w:rPr/>
      </w:pPr>
      <w:r>
        <w:rPr/>
      </w:r>
    </w:p>
    <w:tbl>
      <w:tblPr>
        <w:tblW w:w="8160" w:type="dxa"/>
        <w:jc w:val="start"/>
        <w:tblInd w:w="165" w:type="dxa"/>
        <w:tblBorders/>
        <w:tblCellMar>
          <w:top w:w="0" w:type="dxa"/>
          <w:start w:w="15" w:type="dxa"/>
          <w:bottom w:w="0" w:type="dxa"/>
          <w:end w:w="15" w:type="dxa"/>
        </w:tblCellMar>
      </w:tblPr>
      <w:tblGrid>
        <w:gridCol w:w="480"/>
        <w:gridCol w:w="7680"/>
      </w:tblGrid>
      <w:tr>
        <w:trPr/>
        <w:tc>
          <w:tcPr>
            <w:tcW w:w="480" w:type="dxa"/>
            <w:tcBorders/>
            <w:shd w:fill="auto" w:val="clear"/>
          </w:tcPr>
          <w:p>
            <w:pPr>
              <w:pStyle w:val="Normal"/>
              <w:rPr>
                <w:sz w:val="24"/>
              </w:rPr>
            </w:pPr>
            <w:r>
              <w:rPr/>
              <w:drawing>
                <wp:inline distT="0" distB="0" distL="0" distR="0">
                  <wp:extent cx="207645" cy="195580"/>
                  <wp:effectExtent l="0" t="0" r="0" b="0"/>
                  <wp:docPr id="92" name="Изображение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92" descr="" title=""/>
                          <pic:cNvPicPr>
                            <a:picLocks noChangeAspect="1" noChangeArrowheads="1"/>
                          </pic:cNvPicPr>
                        </pic:nvPicPr>
                        <pic:blipFill>
                          <a:blip r:embed="rId93"/>
                          <a:stretch>
                            <a:fillRect/>
                          </a:stretch>
                        </pic:blipFill>
                        <pic:spPr bwMode="auto">
                          <a:xfrm>
                            <a:off x="0" y="0"/>
                            <a:ext cx="207645" cy="195580"/>
                          </a:xfrm>
                          <a:prstGeom prst="rect">
                            <a:avLst/>
                          </a:prstGeom>
                        </pic:spPr>
                      </pic:pic>
                    </a:graphicData>
                  </a:graphic>
                </wp:inline>
              </w:drawing>
            </w:r>
          </w:p>
        </w:tc>
        <w:tc>
          <w:tcPr>
            <w:tcW w:w="7680" w:type="dxa"/>
            <w:tcBorders/>
            <w:shd w:fill="auto" w:val="clear"/>
          </w:tcPr>
          <w:p>
            <w:pPr>
              <w:pStyle w:val="Normal"/>
              <w:ind w:firstLine="45"/>
              <w:jc w:val="both"/>
              <w:rPr/>
            </w:pPr>
            <w:r>
              <w:rPr>
                <w:vanish/>
              </w:rPr>
              <w:t>#G0</w:t>
            </w:r>
            <w:r>
              <w:rPr/>
              <w:t>-  число промывок одного фильтра в сутки при нормальном режиме эксплуатации;</w:t>
            </w:r>
          </w:p>
          <w:p>
            <w:pPr>
              <w:pStyle w:val="Normal"/>
              <w:ind w:firstLine="45"/>
              <w:jc w:val="both"/>
              <w:rPr/>
            </w:pPr>
            <w:r>
              <w:rPr/>
            </w:r>
          </w:p>
        </w:tc>
      </w:tr>
    </w:tbl>
    <w:p>
      <w:pPr>
        <w:pStyle w:val="Normal"/>
        <w:ind w:firstLine="225"/>
        <w:jc w:val="both"/>
        <w:rPr/>
      </w:pPr>
      <w:r>
        <w:rPr/>
      </w:r>
    </w:p>
    <w:tbl>
      <w:tblPr>
        <w:tblW w:w="8055" w:type="dxa"/>
        <w:jc w:val="start"/>
        <w:tblInd w:w="165" w:type="dxa"/>
        <w:tblBorders/>
        <w:tblCellMar>
          <w:top w:w="0" w:type="dxa"/>
          <w:start w:w="15" w:type="dxa"/>
          <w:bottom w:w="0" w:type="dxa"/>
          <w:end w:w="15" w:type="dxa"/>
        </w:tblCellMar>
      </w:tblPr>
      <w:tblGrid>
        <w:gridCol w:w="450"/>
        <w:gridCol w:w="7605"/>
      </w:tblGrid>
      <w:tr>
        <w:trPr/>
        <w:tc>
          <w:tcPr>
            <w:tcW w:w="450" w:type="dxa"/>
            <w:tcBorders/>
            <w:shd w:fill="auto" w:val="clear"/>
          </w:tcPr>
          <w:p>
            <w:pPr>
              <w:pStyle w:val="Normal"/>
              <w:rPr>
                <w:sz w:val="24"/>
              </w:rPr>
            </w:pPr>
            <w:r>
              <w:rPr/>
              <w:drawing>
                <wp:inline distT="0" distB="0" distL="0" distR="0">
                  <wp:extent cx="207645" cy="207645"/>
                  <wp:effectExtent l="0" t="0" r="0" b="0"/>
                  <wp:docPr id="93" name="Изображение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93" descr="" title=""/>
                          <pic:cNvPicPr>
                            <a:picLocks noChangeAspect="1" noChangeArrowheads="1"/>
                          </pic:cNvPicPr>
                        </pic:nvPicPr>
                        <pic:blipFill>
                          <a:blip r:embed="rId94"/>
                          <a:stretch>
                            <a:fillRect/>
                          </a:stretch>
                        </pic:blipFill>
                        <pic:spPr bwMode="auto">
                          <a:xfrm>
                            <a:off x="0" y="0"/>
                            <a:ext cx="207645" cy="207645"/>
                          </a:xfrm>
                          <a:prstGeom prst="rect">
                            <a:avLst/>
                          </a:prstGeom>
                        </pic:spPr>
                      </pic:pic>
                    </a:graphicData>
                  </a:graphic>
                </wp:inline>
              </w:drawing>
            </w:r>
          </w:p>
        </w:tc>
        <w:tc>
          <w:tcPr>
            <w:tcW w:w="7605" w:type="dxa"/>
            <w:tcBorders/>
            <w:shd w:fill="auto" w:val="clear"/>
          </w:tcPr>
          <w:p>
            <w:pPr>
              <w:pStyle w:val="Normal"/>
              <w:ind w:firstLine="90"/>
              <w:jc w:val="both"/>
              <w:rPr/>
            </w:pPr>
            <w:r>
              <w:rPr>
                <w:vanish/>
              </w:rPr>
              <w:t>#G0</w:t>
            </w:r>
            <w:r>
              <w:rPr/>
              <w:t>- удельный расход воды на одну промывку одного фильтра, куб.м/кв.м, следует</w:t>
            </w:r>
          </w:p>
          <w:p>
            <w:pPr>
              <w:pStyle w:val="Normal"/>
              <w:ind w:firstLine="180"/>
              <w:jc w:val="both"/>
              <w:rPr/>
            </w:pPr>
            <w:r>
              <w:rPr/>
              <w:t xml:space="preserve">рассчитывать с учетом п. 6.110. </w:t>
            </w:r>
          </w:p>
          <w:p>
            <w:pPr>
              <w:pStyle w:val="Normal"/>
              <w:ind w:firstLine="180"/>
              <w:jc w:val="both"/>
              <w:rPr/>
            </w:pPr>
            <w:r>
              <w:rPr/>
            </w:r>
          </w:p>
        </w:tc>
      </w:tr>
    </w:tbl>
    <w:p>
      <w:pPr>
        <w:pStyle w:val="Normal"/>
        <w:ind w:firstLine="225"/>
        <w:jc w:val="both"/>
        <w:rPr/>
      </w:pPr>
      <w:r>
        <w:rPr/>
      </w:r>
    </w:p>
    <w:tbl>
      <w:tblPr>
        <w:tblW w:w="8745" w:type="dxa"/>
        <w:jc w:val="start"/>
        <w:tblInd w:w="0" w:type="dxa"/>
        <w:tblBorders/>
        <w:tblCellMar>
          <w:top w:w="0" w:type="dxa"/>
          <w:start w:w="0" w:type="dxa"/>
          <w:bottom w:w="0" w:type="dxa"/>
          <w:end w:w="0" w:type="dxa"/>
        </w:tblCellMar>
      </w:tblPr>
      <w:tblGrid>
        <w:gridCol w:w="150"/>
        <w:gridCol w:w="450"/>
        <w:gridCol w:w="4440"/>
        <w:gridCol w:w="495"/>
        <w:gridCol w:w="2655"/>
        <w:gridCol w:w="540"/>
        <w:gridCol w:w="15"/>
      </w:tblGrid>
      <w:tr>
        <w:trPr/>
        <w:tc>
          <w:tcPr>
            <w:tcW w:w="150" w:type="dxa"/>
            <w:tcBorders/>
            <w:shd w:fill="auto" w:val="clear"/>
          </w:tcPr>
          <w:p>
            <w:pPr>
              <w:pStyle w:val="Style24"/>
              <w:rPr/>
            </w:pPr>
            <w:r>
              <w:rPr/>
            </w:r>
          </w:p>
        </w:tc>
        <w:tc>
          <w:tcPr>
            <w:tcW w:w="450" w:type="dxa"/>
            <w:tcBorders/>
            <w:shd w:fill="auto" w:val="clear"/>
            <w:tcMar>
              <w:start w:w="15" w:type="dxa"/>
              <w:end w:w="15" w:type="dxa"/>
            </w:tcMar>
          </w:tcPr>
          <w:p>
            <w:pPr>
              <w:pStyle w:val="Normal"/>
              <w:rPr/>
            </w:pPr>
            <w:r>
              <w:rPr/>
              <w:drawing>
                <wp:inline distT="0" distB="0" distL="0" distR="0">
                  <wp:extent cx="195580" cy="207645"/>
                  <wp:effectExtent l="0" t="0" r="0" b="0"/>
                  <wp:docPr id="94" name="Изображение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Изображение94" descr="" title=""/>
                          <pic:cNvPicPr>
                            <a:picLocks noChangeAspect="1" noChangeArrowheads="1"/>
                          </pic:cNvPicPr>
                        </pic:nvPicPr>
                        <pic:blipFill>
                          <a:blip r:embed="rId95"/>
                          <a:stretch>
                            <a:fillRect/>
                          </a:stretch>
                        </pic:blipFill>
                        <pic:spPr bwMode="auto">
                          <a:xfrm>
                            <a:off x="0" y="0"/>
                            <a:ext cx="195580" cy="207645"/>
                          </a:xfrm>
                          <a:prstGeom prst="rect">
                            <a:avLst/>
                          </a:prstGeom>
                        </pic:spPr>
                      </pic:pic>
                    </a:graphicData>
                  </a:graphic>
                </wp:inline>
              </w:drawing>
            </w:r>
            <w:r>
              <w:rPr>
                <w:vanish/>
              </w:rPr>
              <w:t>#G0</w:t>
            </w:r>
            <w:r>
              <w:rPr/>
              <w:t xml:space="preserve">  </w:t>
            </w:r>
          </w:p>
          <w:p>
            <w:pPr>
              <w:pStyle w:val="Normal"/>
              <w:rPr/>
            </w:pPr>
            <w:r>
              <w:rPr/>
            </w:r>
          </w:p>
        </w:tc>
        <w:tc>
          <w:tcPr>
            <w:tcW w:w="7590" w:type="dxa"/>
            <w:gridSpan w:val="3"/>
            <w:tcBorders/>
            <w:shd w:fill="auto" w:val="clear"/>
            <w:tcMar>
              <w:start w:w="15" w:type="dxa"/>
              <w:end w:w="15" w:type="dxa"/>
            </w:tcMar>
          </w:tcPr>
          <w:p>
            <w:pPr>
              <w:pStyle w:val="Normal"/>
              <w:ind w:firstLine="45"/>
              <w:jc w:val="both"/>
              <w:rPr/>
            </w:pPr>
            <w:r>
              <w:rPr/>
              <w:t>- время простоя фильтра в связи с промывкой, принимаемое для фильтров,</w:t>
            </w:r>
          </w:p>
          <w:p>
            <w:pPr>
              <w:pStyle w:val="Normal"/>
              <w:ind w:firstLine="180"/>
              <w:jc w:val="both"/>
              <w:rPr/>
            </w:pPr>
            <w:r>
              <w:rPr/>
              <w:t>промываемых водой,  - 0,33 ч, водой и воздухом - 0,5 ч.</w:t>
            </w:r>
          </w:p>
          <w:p>
            <w:pPr>
              <w:pStyle w:val="Normal"/>
              <w:rPr/>
            </w:pPr>
            <w:r>
              <w:rPr/>
              <w:t xml:space="preserve">  </w:t>
            </w:r>
          </w:p>
          <w:p>
            <w:pPr>
              <w:pStyle w:val="Normal"/>
              <w:rPr/>
            </w:pPr>
            <w:r>
              <w:rPr/>
            </w:r>
          </w:p>
        </w:tc>
        <w:tc>
          <w:tcPr>
            <w:tcW w:w="555" w:type="dxa"/>
            <w:tcBorders/>
            <w:shd w:fill="auto" w:val="clear"/>
          </w:tcPr>
          <w:p>
            <w:pPr>
              <w:pStyle w:val="Normal"/>
              <w:snapToGrid w:val="false"/>
              <w:rPr/>
            </w:pPr>
            <w:r>
              <w:rPr/>
            </w:r>
          </w:p>
        </w:tc>
      </w:tr>
      <w:tr>
        <w:trPr/>
        <w:tc>
          <w:tcPr>
            <w:tcW w:w="5040" w:type="dxa"/>
            <w:gridSpan w:val="3"/>
            <w:tcBorders/>
            <w:shd w:fill="auto" w:val="clear"/>
            <w:tcMar>
              <w:start w:w="15" w:type="dxa"/>
              <w:end w:w="15" w:type="dxa"/>
            </w:tcMar>
          </w:tcPr>
          <w:p>
            <w:pPr>
              <w:pStyle w:val="Normal"/>
              <w:rPr/>
            </w:pPr>
            <w:r>
              <w:rPr/>
              <w:t xml:space="preserve">  </w:t>
            </w:r>
          </w:p>
          <w:p>
            <w:pPr>
              <w:pStyle w:val="Normal"/>
              <w:ind w:firstLine="135"/>
              <w:jc w:val="both"/>
              <w:rPr/>
            </w:pPr>
            <w:r>
              <w:rPr/>
              <w:t xml:space="preserve">Примечание. При водовоздушной промывке величина </w:t>
            </w:r>
          </w:p>
          <w:p>
            <w:pPr>
              <w:pStyle w:val="Normal"/>
              <w:ind w:firstLine="135"/>
              <w:jc w:val="both"/>
              <w:rPr/>
            </w:pPr>
            <w:r>
              <w:rPr/>
            </w:r>
          </w:p>
        </w:tc>
        <w:tc>
          <w:tcPr>
            <w:tcW w:w="495" w:type="dxa"/>
            <w:tcBorders/>
            <w:shd w:fill="auto" w:val="clear"/>
            <w:tcMar>
              <w:start w:w="15" w:type="dxa"/>
              <w:end w:w="15" w:type="dxa"/>
            </w:tcMar>
          </w:tcPr>
          <w:p>
            <w:pPr>
              <w:pStyle w:val="Normal"/>
              <w:rPr/>
            </w:pPr>
            <w:r>
              <w:rPr/>
              <w:t xml:space="preserve">  </w:t>
            </w:r>
          </w:p>
          <w:p>
            <w:pPr>
              <w:pStyle w:val="Normal"/>
              <w:rPr/>
            </w:pPr>
            <w:r>
              <w:rPr/>
              <w:drawing>
                <wp:inline distT="0" distB="0" distL="0" distR="0">
                  <wp:extent cx="207645" cy="207645"/>
                  <wp:effectExtent l="0" t="0" r="0" b="0"/>
                  <wp:docPr id="95" name="Изображение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95" descr="" title=""/>
                          <pic:cNvPicPr>
                            <a:picLocks noChangeAspect="1" noChangeArrowheads="1"/>
                          </pic:cNvPicPr>
                        </pic:nvPicPr>
                        <pic:blipFill>
                          <a:blip r:embed="rId96"/>
                          <a:stretch>
                            <a:fillRect/>
                          </a:stretch>
                        </pic:blipFill>
                        <pic:spPr bwMode="auto">
                          <a:xfrm>
                            <a:off x="0" y="0"/>
                            <a:ext cx="207645" cy="207645"/>
                          </a:xfrm>
                          <a:prstGeom prst="rect">
                            <a:avLst/>
                          </a:prstGeom>
                        </pic:spPr>
                      </pic:pic>
                    </a:graphicData>
                  </a:graphic>
                </wp:inline>
              </w:drawing>
            </w:r>
          </w:p>
        </w:tc>
        <w:tc>
          <w:tcPr>
            <w:tcW w:w="3195" w:type="dxa"/>
            <w:gridSpan w:val="2"/>
            <w:tcBorders/>
            <w:shd w:fill="auto" w:val="clear"/>
            <w:tcMar>
              <w:start w:w="15" w:type="dxa"/>
              <w:end w:w="15" w:type="dxa"/>
            </w:tcMar>
          </w:tcPr>
          <w:p>
            <w:pPr>
              <w:pStyle w:val="Normal"/>
              <w:rPr/>
            </w:pPr>
            <w:r>
              <w:rPr/>
              <w:t xml:space="preserve">  </w:t>
            </w:r>
          </w:p>
          <w:p>
            <w:pPr>
              <w:pStyle w:val="Normal"/>
              <w:ind w:firstLine="45"/>
              <w:jc w:val="both"/>
              <w:rPr/>
            </w:pPr>
            <w:r>
              <w:rPr/>
              <w:t xml:space="preserve">определяется как сумма </w:t>
            </w:r>
          </w:p>
          <w:p>
            <w:pPr>
              <w:pStyle w:val="Normal"/>
              <w:ind w:firstLine="45"/>
              <w:jc w:val="both"/>
              <w:rPr/>
            </w:pPr>
            <w:r>
              <w:rPr/>
            </w:r>
          </w:p>
        </w:tc>
      </w:tr>
      <w:tr>
        <w:trPr/>
        <w:tc>
          <w:tcPr>
            <w:tcW w:w="8745" w:type="dxa"/>
            <w:gridSpan w:val="6"/>
            <w:tcBorders/>
            <w:shd w:fill="auto" w:val="clear"/>
            <w:tcMar>
              <w:start w:w="15" w:type="dxa"/>
              <w:end w:w="15" w:type="dxa"/>
            </w:tcMar>
          </w:tcPr>
          <w:p>
            <w:pPr>
              <w:pStyle w:val="Normal"/>
              <w:rPr/>
            </w:pPr>
            <w:r>
              <w:rPr/>
              <w:t xml:space="preserve">соответствующих величин на отдельных этапах промывки.    </w:t>
            </w:r>
          </w:p>
          <w:p>
            <w:pPr>
              <w:pStyle w:val="Normal"/>
              <w:rPr/>
            </w:pPr>
            <w:r>
              <w:rPr/>
            </w:r>
          </w:p>
        </w:tc>
      </w:tr>
    </w:tbl>
    <w:p>
      <w:pPr>
        <w:pStyle w:val="Normal"/>
        <w:jc w:val="both"/>
        <w:rPr/>
      </w:pPr>
      <w:r>
        <w:rPr/>
      </w:r>
    </w:p>
    <w:p>
      <w:pPr>
        <w:pStyle w:val="Normal"/>
        <w:ind w:firstLine="270"/>
        <w:jc w:val="both"/>
        <w:rPr/>
      </w:pPr>
      <w:r>
        <w:rPr/>
      </w:r>
    </w:p>
    <w:p>
      <w:pPr>
        <w:pStyle w:val="Normal"/>
        <w:ind w:firstLine="270"/>
        <w:jc w:val="both"/>
        <w:rPr/>
      </w:pPr>
      <w:r>
        <w:rPr/>
        <w:t>6.99. Количество фильтров на станциях производительностью более 1600 куб.м/сут должно быть не менее четырех. При производительности станции более 8-10 тыс. куб.м/сут количество фильтров следует определять с округлением до ближайших целых чисел (четных или нечетных в зависимости от компоновки фильтров) по формуле</w:t>
      </w:r>
    </w:p>
    <w:p>
      <w:pPr>
        <w:pStyle w:val="Normal"/>
        <w:ind w:firstLine="270"/>
        <w:jc w:val="both"/>
        <w:rPr/>
      </w:pPr>
      <w:r>
        <w:rPr/>
      </w:r>
    </w:p>
    <w:p>
      <w:pPr>
        <w:pStyle w:val="Normal"/>
        <w:ind w:firstLine="225"/>
        <w:jc w:val="both"/>
        <w:rPr/>
      </w:pPr>
      <w:r>
        <w:rPr/>
      </w:r>
    </w:p>
    <w:p>
      <w:pPr>
        <w:pStyle w:val="Normal"/>
        <w:ind w:firstLine="225"/>
        <w:jc w:val="both"/>
        <w:rPr/>
      </w:pPr>
      <w:r>
        <w:rPr/>
        <w:drawing>
          <wp:inline distT="0" distB="0" distL="0" distR="0">
            <wp:extent cx="2522855" cy="230505"/>
            <wp:effectExtent l="0" t="0" r="0" b="0"/>
            <wp:docPr id="96" name="Изображение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96" descr="" title=""/>
                    <pic:cNvPicPr>
                      <a:picLocks noChangeAspect="1" noChangeArrowheads="1"/>
                    </pic:cNvPicPr>
                  </pic:nvPicPr>
                  <pic:blipFill>
                    <a:blip r:embed="rId97"/>
                    <a:stretch>
                      <a:fillRect/>
                    </a:stretch>
                  </pic:blipFill>
                  <pic:spPr bwMode="auto">
                    <a:xfrm>
                      <a:off x="0" y="0"/>
                      <a:ext cx="2522855" cy="230505"/>
                    </a:xfrm>
                    <a:prstGeom prst="rect">
                      <a:avLst/>
                    </a:prstGeom>
                  </pic:spPr>
                </pic:pic>
              </a:graphicData>
            </a:graphic>
          </wp:inline>
        </w:drawing>
      </w:r>
      <w:r>
        <w:rPr/>
        <w:tab/>
        <w:tab/>
      </w:r>
    </w:p>
    <w:p>
      <w:pPr>
        <w:pStyle w:val="Normal"/>
        <w:ind w:firstLine="225"/>
        <w:jc w:val="both"/>
        <w:rPr/>
      </w:pPr>
      <w:r>
        <w:rPr/>
        <w:tab/>
        <w:tab/>
        <w:tab/>
        <w:tab/>
      </w:r>
    </w:p>
    <w:p>
      <w:pPr>
        <w:pStyle w:val="Normal"/>
        <w:ind w:firstLine="270"/>
        <w:jc w:val="both"/>
        <w:rPr/>
      </w:pPr>
      <w:r>
        <w:rPr/>
        <w:t xml:space="preserve">При этом должно обеспечиваться соотношение    </w:t>
      </w:r>
    </w:p>
    <w:p>
      <w:pPr>
        <w:pStyle w:val="Normal"/>
        <w:ind w:firstLine="225"/>
        <w:jc w:val="both"/>
        <w:rPr/>
      </w:pPr>
      <w:r>
        <w:rPr/>
      </w:r>
    </w:p>
    <w:p>
      <w:pPr>
        <w:pStyle w:val="Normal"/>
        <w:ind w:firstLine="225"/>
        <w:jc w:val="both"/>
        <w:rPr/>
      </w:pPr>
      <w:r>
        <w:rPr/>
      </w:r>
    </w:p>
    <w:p>
      <w:pPr>
        <w:pStyle w:val="Normal"/>
        <w:ind w:firstLine="180"/>
        <w:jc w:val="both"/>
        <w:rPr/>
      </w:pPr>
      <w:r>
        <w:rPr/>
        <w:drawing>
          <wp:inline distT="0" distB="0" distL="0" distR="0">
            <wp:extent cx="3963035" cy="207645"/>
            <wp:effectExtent l="0" t="0" r="0" b="0"/>
            <wp:docPr id="97" name="Изображение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97" descr="" title=""/>
                    <pic:cNvPicPr>
                      <a:picLocks noChangeAspect="1" noChangeArrowheads="1"/>
                    </pic:cNvPicPr>
                  </pic:nvPicPr>
                  <pic:blipFill>
                    <a:blip r:embed="rId98"/>
                    <a:stretch>
                      <a:fillRect/>
                    </a:stretch>
                  </pic:blipFill>
                  <pic:spPr bwMode="auto">
                    <a:xfrm>
                      <a:off x="0" y="0"/>
                      <a:ext cx="3963035" cy="207645"/>
                    </a:xfrm>
                    <a:prstGeom prst="rect">
                      <a:avLst/>
                    </a:prstGeom>
                  </pic:spPr>
                </pic:pic>
              </a:graphicData>
            </a:graphic>
          </wp:inline>
        </w:drawing>
      </w:r>
    </w:p>
    <w:tbl>
      <w:tblPr>
        <w:tblW w:w="7815" w:type="dxa"/>
        <w:jc w:val="start"/>
        <w:tblInd w:w="165" w:type="dxa"/>
        <w:tblBorders/>
        <w:tblCellMar>
          <w:top w:w="0" w:type="dxa"/>
          <w:start w:w="15" w:type="dxa"/>
          <w:bottom w:w="0" w:type="dxa"/>
          <w:end w:w="15" w:type="dxa"/>
        </w:tblCellMar>
      </w:tblPr>
      <w:tblGrid>
        <w:gridCol w:w="450"/>
        <w:gridCol w:w="525"/>
        <w:gridCol w:w="6840"/>
      </w:tblGrid>
      <w:tr>
        <w:trPr/>
        <w:tc>
          <w:tcPr>
            <w:tcW w:w="450" w:type="dxa"/>
            <w:tcBorders/>
            <w:shd w:fill="auto" w:val="clear"/>
          </w:tcPr>
          <w:p>
            <w:pPr>
              <w:pStyle w:val="Normal"/>
              <w:rPr/>
            </w:pPr>
            <w:r>
              <w:rPr>
                <w:vanish/>
              </w:rPr>
              <w:t>#G0</w:t>
            </w:r>
            <w:r>
              <w:rPr/>
              <w:t xml:space="preserve">        где </w:t>
            </w:r>
          </w:p>
          <w:p>
            <w:pPr>
              <w:pStyle w:val="Normal"/>
              <w:rPr/>
            </w:pPr>
            <w:r>
              <w:rPr/>
            </w:r>
          </w:p>
        </w:tc>
        <w:tc>
          <w:tcPr>
            <w:tcW w:w="525" w:type="dxa"/>
            <w:tcBorders/>
            <w:shd w:fill="auto" w:val="clear"/>
          </w:tcPr>
          <w:p>
            <w:pPr>
              <w:pStyle w:val="Normal"/>
              <w:rPr/>
            </w:pPr>
            <w:r>
              <w:rPr/>
              <w:t xml:space="preserve">  </w:t>
            </w:r>
          </w:p>
          <w:p>
            <w:pPr>
              <w:pStyle w:val="Normal"/>
              <w:rPr/>
            </w:pPr>
            <w:r>
              <w:rPr/>
              <w:drawing>
                <wp:inline distT="0" distB="0" distL="0" distR="0">
                  <wp:extent cx="184150" cy="184150"/>
                  <wp:effectExtent l="0" t="0" r="0" b="0"/>
                  <wp:docPr id="98" name="Изображение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98" descr="" title=""/>
                          <pic:cNvPicPr>
                            <a:picLocks noChangeAspect="1" noChangeArrowheads="1"/>
                          </pic:cNvPicPr>
                        </pic:nvPicPr>
                        <pic:blipFill>
                          <a:blip r:embed="rId99"/>
                          <a:stretch>
                            <a:fillRect/>
                          </a:stretch>
                        </pic:blipFill>
                        <pic:spPr bwMode="auto">
                          <a:xfrm>
                            <a:off x="0" y="0"/>
                            <a:ext cx="184150" cy="184150"/>
                          </a:xfrm>
                          <a:prstGeom prst="rect">
                            <a:avLst/>
                          </a:prstGeom>
                        </pic:spPr>
                      </pic:pic>
                    </a:graphicData>
                  </a:graphic>
                </wp:inline>
              </w:drawing>
            </w:r>
          </w:p>
        </w:tc>
        <w:tc>
          <w:tcPr>
            <w:tcW w:w="6840" w:type="dxa"/>
            <w:tcBorders/>
            <w:shd w:fill="auto" w:val="clear"/>
          </w:tcPr>
          <w:p>
            <w:pPr>
              <w:pStyle w:val="Normal"/>
              <w:rPr/>
            </w:pPr>
            <w:r>
              <w:rPr/>
              <w:t xml:space="preserve">  </w:t>
            </w:r>
          </w:p>
          <w:p>
            <w:pPr>
              <w:pStyle w:val="Normal"/>
              <w:jc w:val="both"/>
              <w:rPr/>
            </w:pPr>
            <w:r>
              <w:rPr/>
              <w:t>- число фильтров, находящихся в ремонте (см. п. 6.95);</w:t>
            </w:r>
          </w:p>
          <w:p>
            <w:pPr>
              <w:pStyle w:val="Normal"/>
              <w:jc w:val="both"/>
              <w:rPr/>
            </w:pPr>
            <w:r>
              <w:rPr/>
            </w:r>
          </w:p>
        </w:tc>
      </w:tr>
    </w:tbl>
    <w:p>
      <w:pPr>
        <w:pStyle w:val="Normal"/>
        <w:ind w:firstLine="315"/>
        <w:jc w:val="both"/>
        <w:rPr/>
      </w:pPr>
      <w:r>
        <w:rPr/>
      </w:r>
    </w:p>
    <w:tbl>
      <w:tblPr>
        <w:tblW w:w="7500" w:type="dxa"/>
        <w:jc w:val="start"/>
        <w:tblInd w:w="540" w:type="dxa"/>
        <w:tblBorders/>
        <w:tblCellMar>
          <w:top w:w="0" w:type="dxa"/>
          <w:start w:w="15" w:type="dxa"/>
          <w:bottom w:w="0" w:type="dxa"/>
          <w:end w:w="15" w:type="dxa"/>
        </w:tblCellMar>
      </w:tblPr>
      <w:tblGrid>
        <w:gridCol w:w="510"/>
        <w:gridCol w:w="6990"/>
      </w:tblGrid>
      <w:tr>
        <w:trPr/>
        <w:tc>
          <w:tcPr>
            <w:tcW w:w="510" w:type="dxa"/>
            <w:tcBorders/>
            <w:shd w:fill="auto" w:val="clear"/>
          </w:tcPr>
          <w:p>
            <w:pPr>
              <w:pStyle w:val="Normal"/>
              <w:rPr>
                <w:sz w:val="24"/>
              </w:rPr>
            </w:pPr>
            <w:r>
              <w:rPr/>
              <w:drawing>
                <wp:inline distT="0" distB="0" distL="0" distR="0">
                  <wp:extent cx="184150" cy="207645"/>
                  <wp:effectExtent l="0" t="0" r="0" b="0"/>
                  <wp:docPr id="99" name="Изображение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99" descr="" title=""/>
                          <pic:cNvPicPr>
                            <a:picLocks noChangeAspect="1" noChangeArrowheads="1"/>
                          </pic:cNvPicPr>
                        </pic:nvPicPr>
                        <pic:blipFill>
                          <a:blip r:embed="rId100"/>
                          <a:stretch>
                            <a:fillRect/>
                          </a:stretch>
                        </pic:blipFill>
                        <pic:spPr bwMode="auto">
                          <a:xfrm>
                            <a:off x="0" y="0"/>
                            <a:ext cx="184150" cy="207645"/>
                          </a:xfrm>
                          <a:prstGeom prst="rect">
                            <a:avLst/>
                          </a:prstGeom>
                        </pic:spPr>
                      </pic:pic>
                    </a:graphicData>
                  </a:graphic>
                </wp:inline>
              </w:drawing>
            </w:r>
          </w:p>
        </w:tc>
        <w:tc>
          <w:tcPr>
            <w:tcW w:w="6990" w:type="dxa"/>
            <w:tcBorders/>
            <w:shd w:fill="auto" w:val="clear"/>
          </w:tcPr>
          <w:p>
            <w:pPr>
              <w:pStyle w:val="Normal"/>
              <w:jc w:val="both"/>
              <w:rPr/>
            </w:pPr>
            <w:r>
              <w:rPr>
                <w:vanish/>
              </w:rPr>
              <w:t>#G0</w:t>
            </w:r>
            <w:r>
              <w:rPr/>
              <w:t xml:space="preserve">- скорость фильтрования при форсированном режиме, которая должна быть не более, указанной в табл. 21. </w:t>
            </w:r>
          </w:p>
          <w:p>
            <w:pPr>
              <w:pStyle w:val="Normal"/>
              <w:jc w:val="both"/>
              <w:rPr/>
            </w:pPr>
            <w:r>
              <w:rPr/>
            </w:r>
          </w:p>
        </w:tc>
      </w:tr>
    </w:tbl>
    <w:p>
      <w:pPr>
        <w:pStyle w:val="Normal"/>
        <w:ind w:firstLine="405"/>
        <w:jc w:val="both"/>
        <w:rPr/>
      </w:pPr>
      <w:r>
        <w:rPr/>
      </w:r>
    </w:p>
    <w:p>
      <w:pPr>
        <w:pStyle w:val="Normal"/>
        <w:ind w:firstLine="225"/>
        <w:jc w:val="both"/>
        <w:rPr/>
      </w:pPr>
      <w:r>
        <w:rPr/>
        <w:t>Площадь одного фильтра надлежит принимать не более 100-120 кв.м.</w:t>
      </w:r>
    </w:p>
    <w:p>
      <w:pPr>
        <w:pStyle w:val="Normal"/>
        <w:ind w:firstLine="225"/>
        <w:jc w:val="both"/>
        <w:rPr/>
      </w:pPr>
      <w:r>
        <w:rPr/>
      </w:r>
    </w:p>
    <w:p>
      <w:pPr>
        <w:pStyle w:val="Normal"/>
        <w:ind w:firstLine="225"/>
        <w:jc w:val="both"/>
        <w:rPr/>
      </w:pPr>
      <w:r>
        <w:rPr/>
        <w:t>6.100. Предельные потери напора в фильтре следует принимать для открытых фильтров 3-3,5 м в зависимости от типа фильтра, для напорных фильтров  - 6-8 м.</w:t>
      </w:r>
    </w:p>
    <w:p>
      <w:pPr>
        <w:pStyle w:val="Normal"/>
        <w:ind w:firstLine="225"/>
        <w:jc w:val="both"/>
        <w:rPr/>
      </w:pPr>
      <w:r>
        <w:rPr/>
      </w:r>
    </w:p>
    <w:p>
      <w:pPr>
        <w:pStyle w:val="Normal"/>
        <w:ind w:firstLine="225"/>
        <w:jc w:val="both"/>
        <w:rPr/>
      </w:pPr>
      <w:r>
        <w:rPr/>
        <w:t>6.101. Высота слоя воды над поверхностью загрузки в открытых фильтрах должна быть не менее 2 м; превышение строительной высоты над расчетным уровнем воды - не менее 0,5 м.</w:t>
      </w:r>
    </w:p>
    <w:p>
      <w:pPr>
        <w:pStyle w:val="Normal"/>
        <w:ind w:firstLine="225"/>
        <w:jc w:val="both"/>
        <w:rPr/>
      </w:pPr>
      <w:r>
        <w:rPr/>
      </w:r>
    </w:p>
    <w:p>
      <w:pPr>
        <w:pStyle w:val="Normal"/>
        <w:ind w:firstLine="225"/>
        <w:jc w:val="both"/>
        <w:rPr/>
      </w:pPr>
      <w:r>
        <w:rPr/>
        <w:t>6.102. При выключении части фильтров на промывку скорость фильтрования на остальных фильтрах надлежит принимать постоянной или повышающейся; при этом скорости фильтрования не должны превышать величину v(ф), указанную в табл. 21. При работе фильтров с постоянной скоростью фильтрования надлежит предусматривать над нормальным уровнем воды в фильтрах дополнительную высоту Н(доп), м, определяемую по формуле</w:t>
      </w:r>
    </w:p>
    <w:p>
      <w:pPr>
        <w:pStyle w:val="Normal"/>
        <w:ind w:firstLine="270"/>
        <w:jc w:val="both"/>
        <w:rPr/>
      </w:pPr>
      <w:r>
        <w:rPr/>
      </w:r>
    </w:p>
    <w:p>
      <w:pPr>
        <w:pStyle w:val="Normal"/>
        <w:ind w:firstLine="270"/>
        <w:jc w:val="both"/>
        <w:rPr/>
      </w:pPr>
      <w:r>
        <w:rPr/>
        <w:tab/>
        <w:tab/>
        <w:tab/>
        <w:t xml:space="preserve">     </w:t>
      </w:r>
    </w:p>
    <w:tbl>
      <w:tblPr>
        <w:tblW w:w="4140" w:type="dxa"/>
        <w:jc w:val="start"/>
        <w:tblInd w:w="165" w:type="dxa"/>
        <w:tblBorders/>
        <w:tblCellMar>
          <w:top w:w="0" w:type="dxa"/>
          <w:start w:w="15" w:type="dxa"/>
          <w:bottom w:w="0" w:type="dxa"/>
          <w:end w:w="15" w:type="dxa"/>
        </w:tblCellMar>
      </w:tblPr>
      <w:tblGrid>
        <w:gridCol w:w="1800"/>
        <w:gridCol w:w="2340"/>
      </w:tblGrid>
      <w:tr>
        <w:trPr/>
        <w:tc>
          <w:tcPr>
            <w:tcW w:w="1800" w:type="dxa"/>
            <w:tcBorders/>
            <w:shd w:fill="auto" w:val="clear"/>
          </w:tcPr>
          <w:p>
            <w:pPr>
              <w:pStyle w:val="Normal"/>
              <w:rPr/>
            </w:pPr>
            <w:r>
              <w:rPr>
                <w:vanish/>
              </w:rPr>
              <w:t>#G0</w:t>
            </w:r>
            <w:r>
              <w:rPr/>
              <w:t xml:space="preserve">  </w:t>
            </w:r>
          </w:p>
          <w:p>
            <w:pPr>
              <w:pStyle w:val="Normal"/>
              <w:rPr/>
            </w:pPr>
            <w:r>
              <w:rPr/>
              <w:drawing>
                <wp:inline distT="0" distB="0" distL="0" distR="0">
                  <wp:extent cx="1232535" cy="253365"/>
                  <wp:effectExtent l="0" t="0" r="0" b="0"/>
                  <wp:docPr id="100" name="Изображение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100" descr="" title=""/>
                          <pic:cNvPicPr>
                            <a:picLocks noChangeAspect="1" noChangeArrowheads="1"/>
                          </pic:cNvPicPr>
                        </pic:nvPicPr>
                        <pic:blipFill>
                          <a:blip r:embed="rId101"/>
                          <a:stretch>
                            <a:fillRect/>
                          </a:stretch>
                        </pic:blipFill>
                        <pic:spPr bwMode="auto">
                          <a:xfrm>
                            <a:off x="0" y="0"/>
                            <a:ext cx="1232535" cy="253365"/>
                          </a:xfrm>
                          <a:prstGeom prst="rect">
                            <a:avLst/>
                          </a:prstGeom>
                        </pic:spPr>
                      </pic:pic>
                    </a:graphicData>
                  </a:graphic>
                </wp:inline>
              </w:drawing>
            </w:r>
          </w:p>
        </w:tc>
        <w:tc>
          <w:tcPr>
            <w:tcW w:w="2340" w:type="dxa"/>
            <w:tcBorders/>
            <w:shd w:fill="auto" w:val="clear"/>
          </w:tcPr>
          <w:p>
            <w:pPr>
              <w:pStyle w:val="Normal"/>
              <w:snapToGrid w:val="false"/>
              <w:rPr/>
            </w:pPr>
            <w:r>
              <w:rPr/>
            </w:r>
          </w:p>
          <w:p>
            <w:pPr>
              <w:pStyle w:val="Normal"/>
              <w:rPr/>
            </w:pPr>
            <w:r>
              <w:rPr/>
              <w:t xml:space="preserve">                                     </w:t>
            </w:r>
            <w:r>
              <w:rPr/>
              <w:t>(21)</w:t>
            </w:r>
          </w:p>
          <w:p>
            <w:pPr>
              <w:pStyle w:val="Normal"/>
              <w:rPr/>
            </w:pPr>
            <w:r>
              <w:rPr/>
            </w:r>
          </w:p>
        </w:tc>
      </w:tr>
    </w:tbl>
    <w:p>
      <w:pPr>
        <w:pStyle w:val="Normal"/>
        <w:jc w:val="both"/>
        <w:rPr/>
      </w:pPr>
      <w:r>
        <w:rPr/>
        <w:tab/>
        <w:tab/>
        <w:tab/>
      </w:r>
    </w:p>
    <w:tbl>
      <w:tblPr>
        <w:tblW w:w="9090" w:type="dxa"/>
        <w:jc w:val="start"/>
        <w:tblInd w:w="165" w:type="dxa"/>
        <w:tblBorders/>
        <w:tblCellMar>
          <w:top w:w="0" w:type="dxa"/>
          <w:start w:w="15" w:type="dxa"/>
          <w:bottom w:w="0" w:type="dxa"/>
          <w:end w:w="15" w:type="dxa"/>
        </w:tblCellMar>
      </w:tblPr>
      <w:tblGrid>
        <w:gridCol w:w="630"/>
        <w:gridCol w:w="15"/>
        <w:gridCol w:w="615"/>
        <w:gridCol w:w="15"/>
        <w:gridCol w:w="6900"/>
        <w:gridCol w:w="915"/>
      </w:tblGrid>
      <w:tr>
        <w:trPr/>
        <w:tc>
          <w:tcPr>
            <w:tcW w:w="630" w:type="dxa"/>
            <w:tcBorders/>
            <w:shd w:fill="auto" w:val="clear"/>
          </w:tcPr>
          <w:p>
            <w:pPr>
              <w:pStyle w:val="Normal"/>
              <w:rPr/>
            </w:pPr>
            <w:r>
              <w:rPr>
                <w:vanish/>
              </w:rPr>
              <w:t>#G0</w:t>
            </w:r>
            <w:r>
              <w:rPr/>
              <w:t xml:space="preserve">     где </w:t>
            </w:r>
          </w:p>
          <w:p>
            <w:pPr>
              <w:pStyle w:val="Normal"/>
              <w:rPr/>
            </w:pPr>
            <w:r>
              <w:rPr/>
            </w:r>
          </w:p>
        </w:tc>
        <w:tc>
          <w:tcPr>
            <w:tcW w:w="630" w:type="dxa"/>
            <w:gridSpan w:val="2"/>
            <w:tcBorders/>
            <w:shd w:fill="auto" w:val="clear"/>
          </w:tcPr>
          <w:p>
            <w:pPr>
              <w:pStyle w:val="Normal"/>
              <w:rPr/>
            </w:pPr>
            <w:r>
              <w:rPr/>
              <w:drawing>
                <wp:inline distT="0" distB="0" distL="0" distR="0">
                  <wp:extent cx="184150" cy="184150"/>
                  <wp:effectExtent l="0" t="0" r="0" b="0"/>
                  <wp:docPr id="101" name="Изображение1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101" descr="" title=""/>
                          <pic:cNvPicPr>
                            <a:picLocks noChangeAspect="1" noChangeArrowheads="1"/>
                          </pic:cNvPicPr>
                        </pic:nvPicPr>
                        <pic:blipFill>
                          <a:blip r:embed="rId102"/>
                          <a:stretch>
                            <a:fillRect/>
                          </a:stretch>
                        </pic:blipFill>
                        <pic:spPr bwMode="auto">
                          <a:xfrm>
                            <a:off x="0" y="0"/>
                            <a:ext cx="184150" cy="184150"/>
                          </a:xfrm>
                          <a:prstGeom prst="rect">
                            <a:avLst/>
                          </a:prstGeom>
                        </pic:spPr>
                      </pic:pic>
                    </a:graphicData>
                  </a:graphic>
                </wp:inline>
              </w:drawing>
            </w:r>
            <w:r>
              <w:rPr/>
              <w:t xml:space="preserve">  </w:t>
            </w:r>
          </w:p>
          <w:p>
            <w:pPr>
              <w:pStyle w:val="Normal"/>
              <w:rPr/>
            </w:pPr>
            <w:r>
              <w:rPr/>
            </w:r>
          </w:p>
        </w:tc>
        <w:tc>
          <w:tcPr>
            <w:tcW w:w="7830" w:type="dxa"/>
            <w:gridSpan w:val="3"/>
            <w:tcBorders/>
            <w:shd w:fill="auto" w:val="clear"/>
          </w:tcPr>
          <w:p>
            <w:pPr>
              <w:pStyle w:val="Normal"/>
              <w:rPr/>
            </w:pPr>
            <w:r>
              <w:rPr/>
              <w:t xml:space="preserve"> </w:t>
            </w:r>
            <w:r>
              <w:rPr/>
              <w:t>- объем воды, куб.м, накапливающейся за время простоя одновременно промываемых     фильтров;</w:t>
            </w:r>
          </w:p>
          <w:p>
            <w:pPr>
              <w:pStyle w:val="Normal"/>
              <w:ind w:firstLine="270"/>
              <w:jc w:val="both"/>
              <w:rPr/>
            </w:pPr>
            <w:r>
              <w:rPr/>
            </w:r>
          </w:p>
          <w:p>
            <w:pPr>
              <w:pStyle w:val="Normal"/>
              <w:ind w:firstLine="270"/>
              <w:jc w:val="both"/>
              <w:rPr/>
            </w:pPr>
            <w:r>
              <w:rPr/>
            </w:r>
          </w:p>
        </w:tc>
      </w:tr>
      <w:tr>
        <w:trPr/>
        <w:tc>
          <w:tcPr>
            <w:tcW w:w="645" w:type="dxa"/>
            <w:gridSpan w:val="2"/>
            <w:tcBorders/>
            <w:shd w:fill="auto" w:val="clear"/>
          </w:tcPr>
          <w:p>
            <w:pPr>
              <w:pStyle w:val="Normal"/>
              <w:rPr/>
            </w:pPr>
            <w:r>
              <w:rPr/>
              <w:t xml:space="preserve">  </w:t>
            </w:r>
          </w:p>
          <w:p>
            <w:pPr>
              <w:pStyle w:val="Normal"/>
              <w:rPr/>
            </w:pPr>
            <w:r>
              <w:rPr/>
            </w:r>
          </w:p>
        </w:tc>
        <w:tc>
          <w:tcPr>
            <w:tcW w:w="630" w:type="dxa"/>
            <w:gridSpan w:val="2"/>
            <w:tcBorders/>
            <w:shd w:fill="auto" w:val="clear"/>
          </w:tcPr>
          <w:p>
            <w:pPr>
              <w:pStyle w:val="Normal"/>
              <w:rPr/>
            </w:pPr>
            <w:r>
              <w:rPr/>
              <w:drawing>
                <wp:inline distT="0" distB="0" distL="0" distR="0">
                  <wp:extent cx="253365" cy="207645"/>
                  <wp:effectExtent l="0" t="0" r="0" b="0"/>
                  <wp:docPr id="102" name="Изображение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102" descr="" title=""/>
                          <pic:cNvPicPr>
                            <a:picLocks noChangeAspect="1" noChangeArrowheads="1"/>
                          </pic:cNvPicPr>
                        </pic:nvPicPr>
                        <pic:blipFill>
                          <a:blip r:embed="rId103"/>
                          <a:stretch>
                            <a:fillRect/>
                          </a:stretch>
                        </pic:blipFill>
                        <pic:spPr bwMode="auto">
                          <a:xfrm>
                            <a:off x="0" y="0"/>
                            <a:ext cx="253365" cy="207645"/>
                          </a:xfrm>
                          <a:prstGeom prst="rect">
                            <a:avLst/>
                          </a:prstGeom>
                        </pic:spPr>
                      </pic:pic>
                    </a:graphicData>
                  </a:graphic>
                </wp:inline>
              </w:drawing>
            </w:r>
          </w:p>
        </w:tc>
        <w:tc>
          <w:tcPr>
            <w:tcW w:w="6900" w:type="dxa"/>
            <w:tcBorders/>
            <w:shd w:fill="auto" w:val="clear"/>
          </w:tcPr>
          <w:p>
            <w:pPr>
              <w:pStyle w:val="Normal"/>
              <w:rPr/>
            </w:pPr>
            <w:r>
              <w:rPr/>
              <w:t xml:space="preserve"> </w:t>
            </w:r>
            <w:r>
              <w:rPr/>
              <w:t>- суммарная площадь фильтров, кв.м в которых происходит накопление воды.</w:t>
            </w:r>
          </w:p>
          <w:p>
            <w:pPr>
              <w:pStyle w:val="Normal"/>
              <w:rPr/>
            </w:pPr>
            <w:r>
              <w:rPr/>
            </w:r>
          </w:p>
          <w:p>
            <w:pPr>
              <w:pStyle w:val="Normal"/>
              <w:rPr/>
            </w:pPr>
            <w:r>
              <w:rPr/>
            </w:r>
          </w:p>
        </w:tc>
        <w:tc>
          <w:tcPr>
            <w:tcW w:w="915" w:type="dxa"/>
            <w:tcBorders/>
            <w:shd w:fill="auto" w:val="clear"/>
            <w:tcMar>
              <w:start w:w="0" w:type="dxa"/>
              <w:end w:w="0" w:type="dxa"/>
            </w:tcMar>
          </w:tcPr>
          <w:p>
            <w:pPr>
              <w:pStyle w:val="Normal"/>
              <w:snapToGrid w:val="false"/>
              <w:rPr/>
            </w:pPr>
            <w:r>
              <w:rPr/>
            </w:r>
          </w:p>
        </w:tc>
      </w:tr>
    </w:tbl>
    <w:p>
      <w:pPr>
        <w:pStyle w:val="Normal"/>
        <w:jc w:val="center"/>
        <w:rPr/>
      </w:pPr>
      <w:r>
        <w:rPr/>
      </w:r>
    </w:p>
    <w:p>
      <w:pPr>
        <w:pStyle w:val="Normal"/>
        <w:ind w:firstLine="225"/>
        <w:jc w:val="both"/>
        <w:rPr/>
      </w:pPr>
      <w:r>
        <w:rPr/>
        <w:t>При форсированном режиме скорости движения воды в трубопроводах (подающем и отводящем фильтрат) должны быть не более 1 - 1,5 м/с.</w:t>
      </w:r>
    </w:p>
    <w:p>
      <w:pPr>
        <w:pStyle w:val="Normal"/>
        <w:ind w:firstLine="225"/>
        <w:jc w:val="both"/>
        <w:rPr/>
      </w:pPr>
      <w:r>
        <w:rPr/>
      </w:r>
    </w:p>
    <w:p>
      <w:pPr>
        <w:pStyle w:val="Normal"/>
        <w:jc w:val="end"/>
        <w:rPr/>
      </w:pPr>
      <w:r>
        <w:rPr/>
        <w:tab/>
        <w:tab/>
        <w:t>Таблица 21</w:t>
      </w:r>
    </w:p>
    <w:p>
      <w:pPr>
        <w:pStyle w:val="Normal"/>
        <w:jc w:val="end"/>
        <w:rPr/>
      </w:pPr>
      <w:r>
        <w:rPr/>
      </w:r>
    </w:p>
    <w:p>
      <w:pPr>
        <w:pStyle w:val="Normal"/>
        <w:jc w:val="end"/>
        <w:rPr/>
      </w:pPr>
      <w:r>
        <w:rPr/>
      </w:r>
    </w:p>
    <w:tbl>
      <w:tblPr>
        <w:tblW w:w="12080"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1410"/>
        <w:gridCol w:w="1200"/>
        <w:gridCol w:w="1290"/>
        <w:gridCol w:w="1260"/>
        <w:gridCol w:w="1515"/>
        <w:gridCol w:w="1635"/>
        <w:gridCol w:w="840"/>
        <w:gridCol w:w="1320"/>
        <w:gridCol w:w="1610"/>
      </w:tblGrid>
      <w:tr>
        <w:trPr/>
        <w:tc>
          <w:tcPr>
            <w:tcW w:w="1410" w:type="dxa"/>
            <w:tcBorders>
              <w:top w:val="single" w:sz="2" w:space="0" w:color="000000"/>
              <w:start w:val="single" w:sz="2" w:space="0" w:color="000000"/>
            </w:tcBorders>
            <w:shd w:fill="auto" w:val="clear"/>
            <w:tcMar>
              <w:start w:w="102" w:type="dxa"/>
            </w:tcMar>
          </w:tcPr>
          <w:p>
            <w:pPr>
              <w:pStyle w:val="Normal"/>
              <w:rPr/>
            </w:pPr>
            <w:r>
              <w:rPr>
                <w:vanish/>
              </w:rPr>
              <w:t>#G0</w:t>
            </w:r>
            <w:r>
              <w:rPr/>
              <w:t xml:space="preserve">  </w:t>
            </w:r>
          </w:p>
          <w:p>
            <w:pPr>
              <w:pStyle w:val="Normal"/>
              <w:rPr/>
            </w:pPr>
            <w:r>
              <w:rPr/>
            </w:r>
          </w:p>
        </w:tc>
        <w:tc>
          <w:tcPr>
            <w:tcW w:w="7740" w:type="dxa"/>
            <w:gridSpan w:val="6"/>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Характеристика фильтрующего слоя </w:t>
            </w:r>
          </w:p>
          <w:p>
            <w:pPr>
              <w:pStyle w:val="Normal"/>
              <w:jc w:val="center"/>
              <w:rPr/>
            </w:pPr>
            <w:r>
              <w:rPr/>
            </w:r>
          </w:p>
        </w:tc>
        <w:tc>
          <w:tcPr>
            <w:tcW w:w="2930" w:type="dxa"/>
            <w:gridSpan w:val="2"/>
            <w:tcBorders>
              <w:top w:val="single" w:sz="2" w:space="0" w:color="000000"/>
              <w:start w:val="single" w:sz="2" w:space="0" w:color="000000"/>
              <w:end w:val="single" w:sz="2" w:space="0" w:color="000000"/>
              <w:insideV w:val="single" w:sz="2" w:space="0" w:color="000000"/>
            </w:tcBorders>
            <w:shd w:fill="auto" w:val="clear"/>
            <w:tcMar>
              <w:start w:w="102" w:type="dxa"/>
            </w:tcMar>
          </w:tcPr>
          <w:p>
            <w:pPr>
              <w:pStyle w:val="Normal"/>
              <w:rPr/>
            </w:pPr>
            <w:r>
              <w:rPr/>
              <w:t>Скорость фильтрования,</w:t>
            </w:r>
          </w:p>
          <w:p>
            <w:pPr>
              <w:pStyle w:val="Normal"/>
              <w:rPr/>
            </w:pPr>
            <w:r>
              <w:rPr/>
            </w:r>
          </w:p>
        </w:tc>
      </w:tr>
      <w:tr>
        <w:trPr/>
        <w:tc>
          <w:tcPr>
            <w:tcW w:w="1410" w:type="dxa"/>
            <w:tcBorders>
              <w:start w:val="single" w:sz="2" w:space="0" w:color="000000"/>
            </w:tcBorders>
            <w:shd w:fill="auto" w:val="clear"/>
            <w:tcMar>
              <w:start w:w="102" w:type="dxa"/>
            </w:tcMar>
          </w:tcPr>
          <w:p>
            <w:pPr>
              <w:pStyle w:val="Normal"/>
              <w:rPr/>
            </w:pPr>
            <w:r>
              <w:rPr/>
              <w:t xml:space="preserve">Фильтры </w:t>
            </w:r>
          </w:p>
          <w:p>
            <w:pPr>
              <w:pStyle w:val="Normal"/>
              <w:rPr/>
            </w:pPr>
            <w:r>
              <w:rPr/>
            </w:r>
          </w:p>
        </w:tc>
        <w:tc>
          <w:tcPr>
            <w:tcW w:w="1200" w:type="dxa"/>
            <w:tcBorders>
              <w:start w:val="single" w:sz="2" w:space="0" w:color="000000"/>
            </w:tcBorders>
            <w:shd w:fill="auto" w:val="clear"/>
            <w:tcMar>
              <w:start w:w="102" w:type="dxa"/>
            </w:tcMar>
          </w:tcPr>
          <w:p>
            <w:pPr>
              <w:pStyle w:val="Normal"/>
              <w:rPr/>
            </w:pPr>
            <w:r>
              <w:rPr/>
              <w:t xml:space="preserve">Материал </w:t>
            </w:r>
          </w:p>
          <w:p>
            <w:pPr>
              <w:pStyle w:val="Normal"/>
              <w:rPr/>
            </w:pPr>
            <w:r>
              <w:rPr/>
            </w:r>
          </w:p>
        </w:tc>
        <w:tc>
          <w:tcPr>
            <w:tcW w:w="4065" w:type="dxa"/>
            <w:gridSpan w:val="3"/>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Диаметр зерен, мм </w:t>
            </w:r>
          </w:p>
          <w:p>
            <w:pPr>
              <w:pStyle w:val="Normal"/>
              <w:rPr/>
            </w:pPr>
            <w:r>
              <w:rPr/>
            </w:r>
          </w:p>
        </w:tc>
        <w:tc>
          <w:tcPr>
            <w:tcW w:w="1635" w:type="dxa"/>
            <w:tcBorders>
              <w:start w:val="single" w:sz="2" w:space="0" w:color="000000"/>
            </w:tcBorders>
            <w:shd w:fill="auto" w:val="clear"/>
            <w:tcMar>
              <w:start w:w="102" w:type="dxa"/>
            </w:tcMar>
          </w:tcPr>
          <w:p>
            <w:pPr>
              <w:pStyle w:val="Normal"/>
              <w:rPr/>
            </w:pPr>
            <w:r>
              <w:rPr/>
              <w:t xml:space="preserve">Коэффициент </w:t>
            </w:r>
          </w:p>
          <w:p>
            <w:pPr>
              <w:pStyle w:val="Normal"/>
              <w:rPr/>
            </w:pPr>
            <w:r>
              <w:rPr/>
            </w:r>
          </w:p>
        </w:tc>
        <w:tc>
          <w:tcPr>
            <w:tcW w:w="840" w:type="dxa"/>
            <w:tcBorders>
              <w:start w:val="single" w:sz="2" w:space="0" w:color="000000"/>
            </w:tcBorders>
            <w:shd w:fill="auto" w:val="clear"/>
            <w:tcMar>
              <w:start w:w="102" w:type="dxa"/>
            </w:tcMar>
          </w:tcPr>
          <w:p>
            <w:pPr>
              <w:pStyle w:val="Normal"/>
              <w:rPr/>
            </w:pPr>
            <w:r>
              <w:rPr/>
              <w:t xml:space="preserve">Высота </w:t>
            </w:r>
          </w:p>
          <w:p>
            <w:pPr>
              <w:pStyle w:val="Normal"/>
              <w:rPr/>
            </w:pPr>
            <w:r>
              <w:rPr/>
            </w:r>
          </w:p>
        </w:tc>
        <w:tc>
          <w:tcPr>
            <w:tcW w:w="2930" w:type="dxa"/>
            <w:gridSpan w:val="2"/>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м/ч </w:t>
            </w:r>
          </w:p>
          <w:p>
            <w:pPr>
              <w:pStyle w:val="Normal"/>
              <w:rPr/>
            </w:pPr>
            <w:r>
              <w:rPr/>
            </w:r>
          </w:p>
        </w:tc>
      </w:tr>
      <w:tr>
        <w:trPr/>
        <w:tc>
          <w:tcPr>
            <w:tcW w:w="141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120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загрузки </w:t>
            </w:r>
          </w:p>
          <w:p>
            <w:pPr>
              <w:pStyle w:val="Normal"/>
              <w:jc w:val="center"/>
              <w:rPr/>
            </w:pPr>
            <w:r>
              <w:rPr/>
            </w:r>
          </w:p>
        </w:tc>
        <w:tc>
          <w:tcPr>
            <w:tcW w:w="129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наименьших </w:t>
            </w:r>
          </w:p>
          <w:p>
            <w:pPr>
              <w:pStyle w:val="Normal"/>
              <w:rPr/>
            </w:pPr>
            <w:r>
              <w:rPr/>
            </w:r>
          </w:p>
        </w:tc>
        <w:tc>
          <w:tcPr>
            <w:tcW w:w="126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наибольших </w:t>
            </w:r>
          </w:p>
          <w:p>
            <w:pPr>
              <w:pStyle w:val="Normal"/>
              <w:rPr/>
            </w:pPr>
            <w:r>
              <w:rPr/>
            </w:r>
          </w:p>
        </w:tc>
        <w:tc>
          <w:tcPr>
            <w:tcW w:w="151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эквивалентный </w:t>
            </w:r>
          </w:p>
          <w:p>
            <w:pPr>
              <w:pStyle w:val="Normal"/>
              <w:rPr/>
            </w:pPr>
            <w:r>
              <w:rPr/>
            </w:r>
          </w:p>
        </w:tc>
        <w:tc>
          <w:tcPr>
            <w:tcW w:w="163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неоднородности загрузки </w:t>
            </w:r>
          </w:p>
          <w:p>
            <w:pPr>
              <w:pStyle w:val="Normal"/>
              <w:rPr/>
            </w:pPr>
            <w:r>
              <w:rPr/>
            </w:r>
          </w:p>
        </w:tc>
        <w:tc>
          <w:tcPr>
            <w:tcW w:w="84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слоя, м </w:t>
            </w:r>
          </w:p>
          <w:p>
            <w:pPr>
              <w:pStyle w:val="Normal"/>
              <w:rPr/>
            </w:pPr>
            <w:r>
              <w:rPr/>
            </w:r>
          </w:p>
        </w:tc>
        <w:tc>
          <w:tcPr>
            <w:tcW w:w="132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при нормальном режиме </w:t>
            </w:r>
          </w:p>
          <w:p>
            <w:pPr>
              <w:pStyle w:val="Normal"/>
              <w:rPr/>
            </w:pPr>
            <w:r>
              <w:rPr/>
              <w:drawing>
                <wp:inline distT="0" distB="0" distL="0" distR="0">
                  <wp:extent cx="172720" cy="184150"/>
                  <wp:effectExtent l="0" t="0" r="0" b="0"/>
                  <wp:docPr id="103" name="Изображение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103" descr="" title=""/>
                          <pic:cNvPicPr>
                            <a:picLocks noChangeAspect="1" noChangeArrowheads="1"/>
                          </pic:cNvPicPr>
                        </pic:nvPicPr>
                        <pic:blipFill>
                          <a:blip r:embed="rId104"/>
                          <a:stretch>
                            <a:fillRect/>
                          </a:stretch>
                        </pic:blipFill>
                        <pic:spPr bwMode="auto">
                          <a:xfrm>
                            <a:off x="0" y="0"/>
                            <a:ext cx="172720" cy="184150"/>
                          </a:xfrm>
                          <a:prstGeom prst="rect">
                            <a:avLst/>
                          </a:prstGeom>
                        </pic:spPr>
                      </pic:pic>
                    </a:graphicData>
                  </a:graphic>
                </wp:inline>
              </w:drawing>
            </w:r>
          </w:p>
        </w:tc>
        <w:tc>
          <w:tcPr>
            <w:tcW w:w="161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при форсированном режиме </w:t>
            </w:r>
          </w:p>
          <w:p>
            <w:pPr>
              <w:pStyle w:val="Normal"/>
              <w:rPr/>
            </w:pPr>
            <w:r>
              <w:rPr/>
              <w:drawing>
                <wp:inline distT="0" distB="0" distL="0" distR="0">
                  <wp:extent cx="184150" cy="207645"/>
                  <wp:effectExtent l="0" t="0" r="0" b="0"/>
                  <wp:docPr id="104" name="Изображение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104" descr="" title=""/>
                          <pic:cNvPicPr>
                            <a:picLocks noChangeAspect="1" noChangeArrowheads="1"/>
                          </pic:cNvPicPr>
                        </pic:nvPicPr>
                        <pic:blipFill>
                          <a:blip r:embed="rId105"/>
                          <a:stretch>
                            <a:fillRect/>
                          </a:stretch>
                        </pic:blipFill>
                        <pic:spPr bwMode="auto">
                          <a:xfrm>
                            <a:off x="0" y="0"/>
                            <a:ext cx="184150" cy="207645"/>
                          </a:xfrm>
                          <a:prstGeom prst="rect">
                            <a:avLst/>
                          </a:prstGeom>
                        </pic:spPr>
                      </pic:pic>
                    </a:graphicData>
                  </a:graphic>
                </wp:inline>
              </w:drawing>
            </w:r>
          </w:p>
        </w:tc>
      </w:tr>
      <w:tr>
        <w:trPr/>
        <w:tc>
          <w:tcPr>
            <w:tcW w:w="1410"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1200" w:type="dxa"/>
            <w:tcBorders>
              <w:start w:val="single" w:sz="2" w:space="0" w:color="000000"/>
            </w:tcBorders>
            <w:shd w:fill="auto" w:val="clear"/>
            <w:tcMar>
              <w:start w:w="102" w:type="dxa"/>
            </w:tcMar>
          </w:tcPr>
          <w:p>
            <w:pPr>
              <w:pStyle w:val="Normal"/>
              <w:snapToGrid w:val="false"/>
              <w:jc w:val="both"/>
              <w:rPr/>
            </w:pPr>
            <w:r>
              <w:rPr/>
            </w:r>
          </w:p>
          <w:p>
            <w:pPr>
              <w:pStyle w:val="Normal"/>
              <w:jc w:val="both"/>
              <w:rPr/>
            </w:pPr>
            <w:r>
              <w:rPr/>
              <w:t xml:space="preserve">Кварцевый </w:t>
            </w:r>
          </w:p>
          <w:p>
            <w:pPr>
              <w:pStyle w:val="Normal"/>
              <w:jc w:val="both"/>
              <w:rPr/>
            </w:pPr>
            <w:r>
              <w:rPr/>
            </w:r>
          </w:p>
        </w:tc>
        <w:tc>
          <w:tcPr>
            <w:tcW w:w="1290" w:type="dxa"/>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t xml:space="preserve">0,5 </w:t>
            </w:r>
          </w:p>
          <w:p>
            <w:pPr>
              <w:pStyle w:val="Normal"/>
              <w:jc w:val="center"/>
              <w:rPr/>
            </w:pPr>
            <w:r>
              <w:rPr/>
            </w:r>
          </w:p>
        </w:tc>
        <w:tc>
          <w:tcPr>
            <w:tcW w:w="1260"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1,2 </w:t>
            </w:r>
          </w:p>
          <w:p>
            <w:pPr>
              <w:pStyle w:val="Normal"/>
              <w:rPr/>
            </w:pPr>
            <w:r>
              <w:rPr/>
            </w:r>
          </w:p>
        </w:tc>
        <w:tc>
          <w:tcPr>
            <w:tcW w:w="1515"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0,7- 0,8 </w:t>
            </w:r>
          </w:p>
          <w:p>
            <w:pPr>
              <w:pStyle w:val="Normal"/>
              <w:rPr/>
            </w:pPr>
            <w:r>
              <w:rPr/>
            </w:r>
          </w:p>
        </w:tc>
        <w:tc>
          <w:tcPr>
            <w:tcW w:w="1635"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1,8-2 </w:t>
            </w:r>
          </w:p>
          <w:p>
            <w:pPr>
              <w:pStyle w:val="Normal"/>
              <w:rPr/>
            </w:pPr>
            <w:r>
              <w:rPr/>
            </w:r>
          </w:p>
        </w:tc>
        <w:tc>
          <w:tcPr>
            <w:tcW w:w="840"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0,7-0,8 </w:t>
            </w:r>
          </w:p>
          <w:p>
            <w:pPr>
              <w:pStyle w:val="Normal"/>
              <w:rPr/>
            </w:pPr>
            <w:r>
              <w:rPr/>
            </w:r>
          </w:p>
        </w:tc>
        <w:tc>
          <w:tcPr>
            <w:tcW w:w="1320"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5-6 </w:t>
            </w:r>
          </w:p>
          <w:p>
            <w:pPr>
              <w:pStyle w:val="Normal"/>
              <w:rPr/>
            </w:pPr>
            <w:r>
              <w:rPr/>
            </w:r>
          </w:p>
        </w:tc>
        <w:tc>
          <w:tcPr>
            <w:tcW w:w="1610" w:type="dxa"/>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t xml:space="preserve">6-7,5 </w:t>
            </w:r>
          </w:p>
          <w:p>
            <w:pPr>
              <w:pStyle w:val="Normal"/>
              <w:rPr/>
            </w:pPr>
            <w:r>
              <w:rPr/>
            </w:r>
          </w:p>
        </w:tc>
      </w:tr>
      <w:tr>
        <w:trPr/>
        <w:tc>
          <w:tcPr>
            <w:tcW w:w="1410" w:type="dxa"/>
            <w:tcBorders>
              <w:start w:val="single" w:sz="2" w:space="0" w:color="000000"/>
            </w:tcBorders>
            <w:shd w:fill="auto" w:val="clear"/>
            <w:tcMar>
              <w:start w:w="102" w:type="dxa"/>
            </w:tcMar>
          </w:tcPr>
          <w:p>
            <w:pPr>
              <w:pStyle w:val="Normal"/>
              <w:snapToGrid w:val="false"/>
              <w:rPr/>
            </w:pPr>
            <w:r>
              <w:rPr/>
            </w:r>
          </w:p>
          <w:p>
            <w:pPr>
              <w:pStyle w:val="Normal"/>
              <w:rPr/>
            </w:pPr>
            <w:r>
              <w:rPr/>
            </w:r>
          </w:p>
        </w:tc>
        <w:tc>
          <w:tcPr>
            <w:tcW w:w="1200" w:type="dxa"/>
            <w:tcBorders>
              <w:start w:val="single" w:sz="2" w:space="0" w:color="000000"/>
            </w:tcBorders>
            <w:shd w:fill="auto" w:val="clear"/>
            <w:tcMar>
              <w:start w:w="102" w:type="dxa"/>
            </w:tcMar>
          </w:tcPr>
          <w:p>
            <w:pPr>
              <w:pStyle w:val="Normal"/>
              <w:rPr/>
            </w:pPr>
            <w:r>
              <w:rPr/>
              <w:t xml:space="preserve"> </w:t>
            </w:r>
            <w:r>
              <w:rPr/>
              <w:t xml:space="preserve">песок </w:t>
            </w:r>
          </w:p>
          <w:p>
            <w:pPr>
              <w:pStyle w:val="Normal"/>
              <w:rPr/>
            </w:pPr>
            <w:r>
              <w:rPr/>
            </w:r>
          </w:p>
        </w:tc>
        <w:tc>
          <w:tcPr>
            <w:tcW w:w="1290" w:type="dxa"/>
            <w:tcBorders>
              <w:start w:val="single" w:sz="2" w:space="0" w:color="000000"/>
            </w:tcBorders>
            <w:shd w:fill="auto" w:val="clear"/>
            <w:tcMar>
              <w:start w:w="102" w:type="dxa"/>
            </w:tcMar>
          </w:tcPr>
          <w:p>
            <w:pPr>
              <w:pStyle w:val="Normal"/>
              <w:jc w:val="center"/>
              <w:rPr/>
            </w:pPr>
            <w:r>
              <w:rPr/>
              <w:t xml:space="preserve">0,7 </w:t>
            </w:r>
          </w:p>
          <w:p>
            <w:pPr>
              <w:pStyle w:val="Normal"/>
              <w:jc w:val="center"/>
              <w:rPr/>
            </w:pPr>
            <w:r>
              <w:rPr/>
            </w:r>
          </w:p>
        </w:tc>
        <w:tc>
          <w:tcPr>
            <w:tcW w:w="1260" w:type="dxa"/>
            <w:tcBorders>
              <w:start w:val="single" w:sz="2" w:space="0" w:color="000000"/>
            </w:tcBorders>
            <w:shd w:fill="auto" w:val="clear"/>
            <w:tcMar>
              <w:start w:w="102" w:type="dxa"/>
            </w:tcMar>
          </w:tcPr>
          <w:p>
            <w:pPr>
              <w:pStyle w:val="Normal"/>
              <w:rPr/>
            </w:pPr>
            <w:r>
              <w:rPr/>
              <w:t xml:space="preserve">1,6 </w:t>
            </w:r>
          </w:p>
          <w:p>
            <w:pPr>
              <w:pStyle w:val="Normal"/>
              <w:rPr/>
            </w:pPr>
            <w:r>
              <w:rPr/>
            </w:r>
          </w:p>
        </w:tc>
        <w:tc>
          <w:tcPr>
            <w:tcW w:w="1515" w:type="dxa"/>
            <w:tcBorders>
              <w:start w:val="single" w:sz="2" w:space="0" w:color="000000"/>
            </w:tcBorders>
            <w:shd w:fill="auto" w:val="clear"/>
            <w:tcMar>
              <w:start w:w="102" w:type="dxa"/>
            </w:tcMar>
          </w:tcPr>
          <w:p>
            <w:pPr>
              <w:pStyle w:val="Normal"/>
              <w:rPr/>
            </w:pPr>
            <w:r>
              <w:rPr/>
              <w:t xml:space="preserve">0,8-1 </w:t>
            </w:r>
          </w:p>
          <w:p>
            <w:pPr>
              <w:pStyle w:val="Normal"/>
              <w:rPr/>
            </w:pPr>
            <w:r>
              <w:rPr/>
            </w:r>
          </w:p>
        </w:tc>
        <w:tc>
          <w:tcPr>
            <w:tcW w:w="1635" w:type="dxa"/>
            <w:tcBorders>
              <w:start w:val="single" w:sz="2" w:space="0" w:color="000000"/>
            </w:tcBorders>
            <w:shd w:fill="auto" w:val="clear"/>
            <w:tcMar>
              <w:start w:w="102" w:type="dxa"/>
            </w:tcMar>
          </w:tcPr>
          <w:p>
            <w:pPr>
              <w:pStyle w:val="Normal"/>
              <w:rPr/>
            </w:pPr>
            <w:r>
              <w:rPr/>
              <w:t xml:space="preserve">1,6-1,8 </w:t>
            </w:r>
          </w:p>
          <w:p>
            <w:pPr>
              <w:pStyle w:val="Normal"/>
              <w:rPr/>
            </w:pPr>
            <w:r>
              <w:rPr/>
            </w:r>
          </w:p>
        </w:tc>
        <w:tc>
          <w:tcPr>
            <w:tcW w:w="840" w:type="dxa"/>
            <w:tcBorders>
              <w:start w:val="single" w:sz="2" w:space="0" w:color="000000"/>
            </w:tcBorders>
            <w:shd w:fill="auto" w:val="clear"/>
            <w:tcMar>
              <w:start w:w="102" w:type="dxa"/>
            </w:tcMar>
          </w:tcPr>
          <w:p>
            <w:pPr>
              <w:pStyle w:val="Normal"/>
              <w:rPr/>
            </w:pPr>
            <w:r>
              <w:rPr/>
              <w:t xml:space="preserve">1,3-1,5 </w:t>
            </w:r>
          </w:p>
          <w:p>
            <w:pPr>
              <w:pStyle w:val="Normal"/>
              <w:rPr/>
            </w:pPr>
            <w:r>
              <w:rPr/>
            </w:r>
          </w:p>
        </w:tc>
        <w:tc>
          <w:tcPr>
            <w:tcW w:w="1320" w:type="dxa"/>
            <w:tcBorders>
              <w:start w:val="single" w:sz="2" w:space="0" w:color="000000"/>
            </w:tcBorders>
            <w:shd w:fill="auto" w:val="clear"/>
            <w:tcMar>
              <w:start w:w="102" w:type="dxa"/>
            </w:tcMar>
          </w:tcPr>
          <w:p>
            <w:pPr>
              <w:pStyle w:val="Normal"/>
              <w:rPr/>
            </w:pPr>
            <w:r>
              <w:rPr/>
              <w:t xml:space="preserve">6-8 </w:t>
            </w:r>
          </w:p>
          <w:p>
            <w:pPr>
              <w:pStyle w:val="Normal"/>
              <w:rPr/>
            </w:pPr>
            <w:r>
              <w:rPr/>
            </w:r>
          </w:p>
        </w:tc>
        <w:tc>
          <w:tcPr>
            <w:tcW w:w="161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7-9,5 </w:t>
            </w:r>
          </w:p>
          <w:p>
            <w:pPr>
              <w:pStyle w:val="Normal"/>
              <w:rPr/>
            </w:pPr>
            <w:r>
              <w:rPr/>
            </w:r>
          </w:p>
        </w:tc>
      </w:tr>
      <w:tr>
        <w:trPr/>
        <w:tc>
          <w:tcPr>
            <w:tcW w:w="1410" w:type="dxa"/>
            <w:tcBorders>
              <w:start w:val="single" w:sz="2" w:space="0" w:color="000000"/>
            </w:tcBorders>
            <w:shd w:fill="auto" w:val="clear"/>
            <w:tcMar>
              <w:start w:w="102" w:type="dxa"/>
            </w:tcMar>
          </w:tcPr>
          <w:p>
            <w:pPr>
              <w:pStyle w:val="Normal"/>
              <w:jc w:val="both"/>
              <w:rPr/>
            </w:pPr>
            <w:r>
              <w:rPr/>
              <w:t xml:space="preserve">Однослойные скорые фильтры с загрузкой </w:t>
            </w:r>
          </w:p>
          <w:p>
            <w:pPr>
              <w:pStyle w:val="Normal"/>
              <w:jc w:val="both"/>
              <w:rPr/>
            </w:pPr>
            <w:r>
              <w:rPr/>
            </w:r>
          </w:p>
        </w:tc>
        <w:tc>
          <w:tcPr>
            <w:tcW w:w="12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129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0,8</w:t>
            </w:r>
          </w:p>
          <w:p>
            <w:pPr>
              <w:pStyle w:val="Normal"/>
              <w:jc w:val="center"/>
              <w:rPr/>
            </w:pPr>
            <w:r>
              <w:rPr/>
            </w:r>
          </w:p>
          <w:p>
            <w:pPr>
              <w:pStyle w:val="Normal"/>
              <w:jc w:val="center"/>
              <w:rPr/>
            </w:pPr>
            <w:r>
              <w:rPr/>
            </w:r>
          </w:p>
        </w:tc>
        <w:tc>
          <w:tcPr>
            <w:tcW w:w="126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2 </w:t>
            </w:r>
          </w:p>
          <w:p>
            <w:pPr>
              <w:pStyle w:val="Normal"/>
              <w:rPr/>
            </w:pPr>
            <w:r>
              <w:rPr/>
            </w:r>
          </w:p>
        </w:tc>
        <w:tc>
          <w:tcPr>
            <w:tcW w:w="151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1-1,2 </w:t>
            </w:r>
          </w:p>
          <w:p>
            <w:pPr>
              <w:pStyle w:val="Normal"/>
              <w:rPr/>
            </w:pPr>
            <w:r>
              <w:rPr/>
            </w:r>
          </w:p>
        </w:tc>
        <w:tc>
          <w:tcPr>
            <w:tcW w:w="163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1,5-1,7 </w:t>
            </w:r>
          </w:p>
          <w:p>
            <w:pPr>
              <w:pStyle w:val="Normal"/>
              <w:rPr/>
            </w:pPr>
            <w:r>
              <w:rPr/>
            </w:r>
          </w:p>
        </w:tc>
        <w:tc>
          <w:tcPr>
            <w:tcW w:w="84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1,8-2 </w:t>
            </w:r>
          </w:p>
          <w:p>
            <w:pPr>
              <w:pStyle w:val="Normal"/>
              <w:rPr/>
            </w:pPr>
            <w:r>
              <w:rPr/>
            </w:r>
          </w:p>
        </w:tc>
        <w:tc>
          <w:tcPr>
            <w:tcW w:w="132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8-10 </w:t>
            </w:r>
          </w:p>
          <w:p>
            <w:pPr>
              <w:pStyle w:val="Normal"/>
              <w:rPr/>
            </w:pPr>
            <w:r>
              <w:rPr/>
            </w:r>
          </w:p>
        </w:tc>
        <w:tc>
          <w:tcPr>
            <w:tcW w:w="161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10-12 </w:t>
            </w:r>
          </w:p>
          <w:p>
            <w:pPr>
              <w:pStyle w:val="Normal"/>
              <w:rPr/>
            </w:pPr>
            <w:r>
              <w:rPr/>
            </w:r>
          </w:p>
        </w:tc>
      </w:tr>
      <w:tr>
        <w:trPr/>
        <w:tc>
          <w:tcPr>
            <w:tcW w:w="1410" w:type="dxa"/>
            <w:tcBorders>
              <w:start w:val="single" w:sz="2" w:space="0" w:color="000000"/>
            </w:tcBorders>
            <w:shd w:fill="auto" w:val="clear"/>
            <w:tcMar>
              <w:start w:w="102" w:type="dxa"/>
            </w:tcMar>
          </w:tcPr>
          <w:p>
            <w:pPr>
              <w:pStyle w:val="Normal"/>
              <w:jc w:val="both"/>
              <w:rPr/>
            </w:pPr>
            <w:r>
              <w:rPr/>
              <w:t xml:space="preserve">различной крупности </w:t>
            </w:r>
          </w:p>
          <w:p>
            <w:pPr>
              <w:pStyle w:val="Normal"/>
              <w:jc w:val="both"/>
              <w:rPr/>
            </w:pPr>
            <w:r>
              <w:rPr/>
            </w:r>
          </w:p>
        </w:tc>
        <w:tc>
          <w:tcPr>
            <w:tcW w:w="1200"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Дробленый  </w:t>
            </w:r>
          </w:p>
          <w:p>
            <w:pPr>
              <w:pStyle w:val="Normal"/>
              <w:rPr/>
            </w:pPr>
            <w:r>
              <w:rPr/>
            </w:r>
          </w:p>
        </w:tc>
        <w:tc>
          <w:tcPr>
            <w:tcW w:w="1290" w:type="dxa"/>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t xml:space="preserve">0,5 </w:t>
            </w:r>
          </w:p>
          <w:p>
            <w:pPr>
              <w:pStyle w:val="Normal"/>
              <w:jc w:val="center"/>
              <w:rPr/>
            </w:pPr>
            <w:r>
              <w:rPr/>
            </w:r>
          </w:p>
        </w:tc>
        <w:tc>
          <w:tcPr>
            <w:tcW w:w="1260"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1,2 </w:t>
            </w:r>
          </w:p>
          <w:p>
            <w:pPr>
              <w:pStyle w:val="Normal"/>
              <w:rPr/>
            </w:pPr>
            <w:r>
              <w:rPr/>
            </w:r>
          </w:p>
        </w:tc>
        <w:tc>
          <w:tcPr>
            <w:tcW w:w="1515"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0,7-0,8 </w:t>
            </w:r>
          </w:p>
          <w:p>
            <w:pPr>
              <w:pStyle w:val="Normal"/>
              <w:rPr/>
            </w:pPr>
            <w:r>
              <w:rPr/>
            </w:r>
          </w:p>
        </w:tc>
        <w:tc>
          <w:tcPr>
            <w:tcW w:w="1635"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1,8-2 </w:t>
            </w:r>
          </w:p>
          <w:p>
            <w:pPr>
              <w:pStyle w:val="Normal"/>
              <w:rPr/>
            </w:pPr>
            <w:r>
              <w:rPr/>
            </w:r>
          </w:p>
        </w:tc>
        <w:tc>
          <w:tcPr>
            <w:tcW w:w="840"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0,7-0,8 </w:t>
            </w:r>
          </w:p>
          <w:p>
            <w:pPr>
              <w:pStyle w:val="Normal"/>
              <w:rPr/>
            </w:pPr>
            <w:r>
              <w:rPr/>
            </w:r>
          </w:p>
        </w:tc>
        <w:tc>
          <w:tcPr>
            <w:tcW w:w="1320"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6-7 </w:t>
            </w:r>
          </w:p>
          <w:p>
            <w:pPr>
              <w:pStyle w:val="Normal"/>
              <w:rPr/>
            </w:pPr>
            <w:r>
              <w:rPr/>
            </w:r>
          </w:p>
        </w:tc>
        <w:tc>
          <w:tcPr>
            <w:tcW w:w="1610" w:type="dxa"/>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t xml:space="preserve">7-9 </w:t>
            </w:r>
          </w:p>
          <w:p>
            <w:pPr>
              <w:pStyle w:val="Normal"/>
              <w:rPr/>
            </w:pPr>
            <w:r>
              <w:rPr/>
            </w:r>
          </w:p>
        </w:tc>
      </w:tr>
      <w:tr>
        <w:trPr/>
        <w:tc>
          <w:tcPr>
            <w:tcW w:w="1410"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1200" w:type="dxa"/>
            <w:tcBorders>
              <w:start w:val="single" w:sz="2" w:space="0" w:color="000000"/>
            </w:tcBorders>
            <w:shd w:fill="auto" w:val="clear"/>
            <w:tcMar>
              <w:start w:w="102" w:type="dxa"/>
            </w:tcMar>
          </w:tcPr>
          <w:p>
            <w:pPr>
              <w:pStyle w:val="Normal"/>
              <w:rPr/>
            </w:pPr>
            <w:r>
              <w:rPr/>
              <w:t xml:space="preserve">  </w:t>
            </w:r>
            <w:r>
              <w:rPr/>
              <w:t xml:space="preserve">керамзит </w:t>
            </w:r>
          </w:p>
          <w:p>
            <w:pPr>
              <w:pStyle w:val="Normal"/>
              <w:rPr/>
            </w:pPr>
            <w:r>
              <w:rPr/>
            </w:r>
          </w:p>
        </w:tc>
        <w:tc>
          <w:tcPr>
            <w:tcW w:w="1290" w:type="dxa"/>
            <w:tcBorders>
              <w:start w:val="single" w:sz="2" w:space="0" w:color="000000"/>
            </w:tcBorders>
            <w:shd w:fill="auto" w:val="clear"/>
            <w:tcMar>
              <w:start w:w="102" w:type="dxa"/>
            </w:tcMar>
          </w:tcPr>
          <w:p>
            <w:pPr>
              <w:pStyle w:val="Normal"/>
              <w:jc w:val="center"/>
              <w:rPr/>
            </w:pPr>
            <w:r>
              <w:rPr/>
              <w:t xml:space="preserve">0,7 </w:t>
            </w:r>
          </w:p>
          <w:p>
            <w:pPr>
              <w:pStyle w:val="Normal"/>
              <w:jc w:val="center"/>
              <w:rPr/>
            </w:pPr>
            <w:r>
              <w:rPr/>
            </w:r>
          </w:p>
        </w:tc>
        <w:tc>
          <w:tcPr>
            <w:tcW w:w="1260" w:type="dxa"/>
            <w:tcBorders>
              <w:start w:val="single" w:sz="2" w:space="0" w:color="000000"/>
            </w:tcBorders>
            <w:shd w:fill="auto" w:val="clear"/>
            <w:tcMar>
              <w:start w:w="102" w:type="dxa"/>
            </w:tcMar>
          </w:tcPr>
          <w:p>
            <w:pPr>
              <w:pStyle w:val="Normal"/>
              <w:rPr/>
            </w:pPr>
            <w:r>
              <w:rPr/>
              <w:t xml:space="preserve">1,6 </w:t>
            </w:r>
          </w:p>
          <w:p>
            <w:pPr>
              <w:pStyle w:val="Normal"/>
              <w:rPr/>
            </w:pPr>
            <w:r>
              <w:rPr/>
            </w:r>
          </w:p>
        </w:tc>
        <w:tc>
          <w:tcPr>
            <w:tcW w:w="1515" w:type="dxa"/>
            <w:tcBorders>
              <w:start w:val="single" w:sz="2" w:space="0" w:color="000000"/>
            </w:tcBorders>
            <w:shd w:fill="auto" w:val="clear"/>
            <w:tcMar>
              <w:start w:w="102" w:type="dxa"/>
            </w:tcMar>
          </w:tcPr>
          <w:p>
            <w:pPr>
              <w:pStyle w:val="Normal"/>
              <w:rPr/>
            </w:pPr>
            <w:r>
              <w:rPr/>
              <w:t xml:space="preserve">0,8-1 </w:t>
            </w:r>
          </w:p>
          <w:p>
            <w:pPr>
              <w:pStyle w:val="Normal"/>
              <w:rPr/>
            </w:pPr>
            <w:r>
              <w:rPr/>
            </w:r>
          </w:p>
        </w:tc>
        <w:tc>
          <w:tcPr>
            <w:tcW w:w="1635" w:type="dxa"/>
            <w:tcBorders>
              <w:start w:val="single" w:sz="2" w:space="0" w:color="000000"/>
            </w:tcBorders>
            <w:shd w:fill="auto" w:val="clear"/>
            <w:tcMar>
              <w:start w:w="102" w:type="dxa"/>
            </w:tcMar>
          </w:tcPr>
          <w:p>
            <w:pPr>
              <w:pStyle w:val="Normal"/>
              <w:rPr/>
            </w:pPr>
            <w:r>
              <w:rPr/>
              <w:t xml:space="preserve">1,6-1,8 </w:t>
            </w:r>
          </w:p>
          <w:p>
            <w:pPr>
              <w:pStyle w:val="Normal"/>
              <w:rPr/>
            </w:pPr>
            <w:r>
              <w:rPr/>
            </w:r>
          </w:p>
        </w:tc>
        <w:tc>
          <w:tcPr>
            <w:tcW w:w="840" w:type="dxa"/>
            <w:tcBorders>
              <w:start w:val="single" w:sz="2" w:space="0" w:color="000000"/>
            </w:tcBorders>
            <w:shd w:fill="auto" w:val="clear"/>
            <w:tcMar>
              <w:start w:w="102" w:type="dxa"/>
            </w:tcMar>
          </w:tcPr>
          <w:p>
            <w:pPr>
              <w:pStyle w:val="Normal"/>
              <w:rPr/>
            </w:pPr>
            <w:r>
              <w:rPr/>
              <w:t xml:space="preserve">1,3-1,5 </w:t>
            </w:r>
          </w:p>
          <w:p>
            <w:pPr>
              <w:pStyle w:val="Normal"/>
              <w:rPr/>
            </w:pPr>
            <w:r>
              <w:rPr/>
            </w:r>
          </w:p>
        </w:tc>
        <w:tc>
          <w:tcPr>
            <w:tcW w:w="1320" w:type="dxa"/>
            <w:tcBorders>
              <w:start w:val="single" w:sz="2" w:space="0" w:color="000000"/>
            </w:tcBorders>
            <w:shd w:fill="auto" w:val="clear"/>
            <w:tcMar>
              <w:start w:w="102" w:type="dxa"/>
            </w:tcMar>
          </w:tcPr>
          <w:p>
            <w:pPr>
              <w:pStyle w:val="Normal"/>
              <w:rPr/>
            </w:pPr>
            <w:r>
              <w:rPr/>
              <w:t xml:space="preserve">7-9,5 </w:t>
            </w:r>
          </w:p>
          <w:p>
            <w:pPr>
              <w:pStyle w:val="Normal"/>
              <w:rPr/>
            </w:pPr>
            <w:r>
              <w:rPr/>
            </w:r>
          </w:p>
        </w:tc>
        <w:tc>
          <w:tcPr>
            <w:tcW w:w="161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8,5-11,5 </w:t>
            </w:r>
          </w:p>
          <w:p>
            <w:pPr>
              <w:pStyle w:val="Normal"/>
              <w:rPr/>
            </w:pPr>
            <w:r>
              <w:rPr/>
            </w:r>
          </w:p>
        </w:tc>
      </w:tr>
      <w:tr>
        <w:trPr/>
        <w:tc>
          <w:tcPr>
            <w:tcW w:w="141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1200"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1290" w:type="dxa"/>
            <w:tcBorders>
              <w:start w:val="single" w:sz="2" w:space="0" w:color="000000"/>
            </w:tcBorders>
            <w:shd w:fill="auto" w:val="clear"/>
            <w:tcMar>
              <w:start w:w="102" w:type="dxa"/>
            </w:tcMar>
          </w:tcPr>
          <w:p>
            <w:pPr>
              <w:pStyle w:val="Normal"/>
              <w:jc w:val="center"/>
              <w:rPr/>
            </w:pPr>
            <w:r>
              <w:rPr/>
              <w:t>0,8</w:t>
            </w:r>
          </w:p>
          <w:p>
            <w:pPr>
              <w:pStyle w:val="Normal"/>
              <w:jc w:val="center"/>
              <w:rPr/>
            </w:pPr>
            <w:r>
              <w:rPr/>
            </w:r>
          </w:p>
          <w:p>
            <w:pPr>
              <w:pStyle w:val="Normal"/>
              <w:jc w:val="center"/>
              <w:rPr/>
            </w:pPr>
            <w:r>
              <w:rPr/>
            </w:r>
          </w:p>
        </w:tc>
        <w:tc>
          <w:tcPr>
            <w:tcW w:w="1260" w:type="dxa"/>
            <w:tcBorders>
              <w:start w:val="single" w:sz="2" w:space="0" w:color="000000"/>
            </w:tcBorders>
            <w:shd w:fill="auto" w:val="clear"/>
            <w:tcMar>
              <w:start w:w="102" w:type="dxa"/>
            </w:tcMar>
          </w:tcPr>
          <w:p>
            <w:pPr>
              <w:pStyle w:val="Normal"/>
              <w:rPr/>
            </w:pPr>
            <w:r>
              <w:rPr/>
              <w:t xml:space="preserve">2 </w:t>
            </w:r>
          </w:p>
          <w:p>
            <w:pPr>
              <w:pStyle w:val="Normal"/>
              <w:rPr/>
            </w:pPr>
            <w:r>
              <w:rPr/>
            </w:r>
          </w:p>
        </w:tc>
        <w:tc>
          <w:tcPr>
            <w:tcW w:w="1515" w:type="dxa"/>
            <w:tcBorders>
              <w:start w:val="single" w:sz="2" w:space="0" w:color="000000"/>
            </w:tcBorders>
            <w:shd w:fill="auto" w:val="clear"/>
            <w:tcMar>
              <w:start w:w="102" w:type="dxa"/>
            </w:tcMar>
          </w:tcPr>
          <w:p>
            <w:pPr>
              <w:pStyle w:val="Normal"/>
              <w:rPr/>
            </w:pPr>
            <w:r>
              <w:rPr/>
              <w:t xml:space="preserve">1-1,2 </w:t>
            </w:r>
          </w:p>
          <w:p>
            <w:pPr>
              <w:pStyle w:val="Normal"/>
              <w:rPr/>
            </w:pPr>
            <w:r>
              <w:rPr/>
            </w:r>
          </w:p>
        </w:tc>
        <w:tc>
          <w:tcPr>
            <w:tcW w:w="1635" w:type="dxa"/>
            <w:tcBorders>
              <w:start w:val="single" w:sz="2" w:space="0" w:color="000000"/>
            </w:tcBorders>
            <w:shd w:fill="auto" w:val="clear"/>
            <w:tcMar>
              <w:start w:w="102" w:type="dxa"/>
            </w:tcMar>
          </w:tcPr>
          <w:p>
            <w:pPr>
              <w:pStyle w:val="Normal"/>
              <w:rPr/>
            </w:pPr>
            <w:r>
              <w:rPr/>
              <w:t xml:space="preserve">1,5 -1,7 </w:t>
            </w:r>
          </w:p>
          <w:p>
            <w:pPr>
              <w:pStyle w:val="Normal"/>
              <w:rPr/>
            </w:pPr>
            <w:r>
              <w:rPr/>
            </w:r>
          </w:p>
        </w:tc>
        <w:tc>
          <w:tcPr>
            <w:tcW w:w="840" w:type="dxa"/>
            <w:tcBorders>
              <w:start w:val="single" w:sz="2" w:space="0" w:color="000000"/>
            </w:tcBorders>
            <w:shd w:fill="auto" w:val="clear"/>
            <w:tcMar>
              <w:start w:w="102" w:type="dxa"/>
            </w:tcMar>
          </w:tcPr>
          <w:p>
            <w:pPr>
              <w:pStyle w:val="Normal"/>
              <w:rPr/>
            </w:pPr>
            <w:r>
              <w:rPr/>
              <w:t xml:space="preserve">1,8-2 </w:t>
            </w:r>
          </w:p>
          <w:p>
            <w:pPr>
              <w:pStyle w:val="Normal"/>
              <w:rPr/>
            </w:pPr>
            <w:r>
              <w:rPr/>
            </w:r>
          </w:p>
        </w:tc>
        <w:tc>
          <w:tcPr>
            <w:tcW w:w="132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9,5-12 </w:t>
            </w:r>
          </w:p>
          <w:p>
            <w:pPr>
              <w:pStyle w:val="Normal"/>
              <w:rPr/>
            </w:pPr>
            <w:r>
              <w:rPr/>
            </w:r>
          </w:p>
        </w:tc>
        <w:tc>
          <w:tcPr>
            <w:tcW w:w="161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12-14 </w:t>
            </w:r>
          </w:p>
          <w:p>
            <w:pPr>
              <w:pStyle w:val="Normal"/>
              <w:rPr/>
            </w:pPr>
            <w:r>
              <w:rPr/>
            </w:r>
          </w:p>
        </w:tc>
      </w:tr>
      <w:tr>
        <w:trPr/>
        <w:tc>
          <w:tcPr>
            <w:tcW w:w="1410" w:type="dxa"/>
            <w:tcBorders>
              <w:start w:val="single" w:sz="2" w:space="0" w:color="000000"/>
            </w:tcBorders>
            <w:shd w:fill="auto" w:val="clear"/>
            <w:tcMar>
              <w:start w:w="102" w:type="dxa"/>
            </w:tcMar>
          </w:tcPr>
          <w:p>
            <w:pPr>
              <w:pStyle w:val="Normal"/>
              <w:snapToGrid w:val="false"/>
              <w:jc w:val="both"/>
              <w:rPr/>
            </w:pPr>
            <w:r>
              <w:rPr/>
            </w:r>
          </w:p>
          <w:p>
            <w:pPr>
              <w:pStyle w:val="Normal"/>
              <w:jc w:val="both"/>
              <w:rPr/>
            </w:pPr>
            <w:r>
              <w:rPr/>
            </w:r>
          </w:p>
          <w:p>
            <w:pPr>
              <w:pStyle w:val="Normal"/>
              <w:jc w:val="both"/>
              <w:rPr/>
            </w:pPr>
            <w:r>
              <w:rPr/>
              <w:t xml:space="preserve">Скорые фильтры с </w:t>
            </w:r>
          </w:p>
          <w:p>
            <w:pPr>
              <w:pStyle w:val="Normal"/>
              <w:jc w:val="both"/>
              <w:rPr/>
            </w:pPr>
            <w:r>
              <w:rPr/>
            </w:r>
          </w:p>
        </w:tc>
        <w:tc>
          <w:tcPr>
            <w:tcW w:w="120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t>Кварцевый песок</w:t>
            </w:r>
          </w:p>
          <w:p>
            <w:pPr>
              <w:pStyle w:val="Normal"/>
              <w:rPr/>
            </w:pPr>
            <w:r>
              <w:rPr/>
            </w:r>
          </w:p>
          <w:p>
            <w:pPr>
              <w:pStyle w:val="Normal"/>
              <w:rPr/>
            </w:pPr>
            <w:r>
              <w:rPr/>
            </w:r>
          </w:p>
        </w:tc>
        <w:tc>
          <w:tcPr>
            <w:tcW w:w="129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snapToGrid w:val="false"/>
              <w:jc w:val="center"/>
              <w:rPr/>
            </w:pPr>
            <w:r>
              <w:rPr/>
            </w:r>
          </w:p>
          <w:p>
            <w:pPr>
              <w:pStyle w:val="Normal"/>
              <w:jc w:val="center"/>
              <w:rPr/>
            </w:pPr>
            <w:r>
              <w:rPr/>
              <w:t xml:space="preserve">0,5 </w:t>
            </w:r>
          </w:p>
          <w:p>
            <w:pPr>
              <w:pStyle w:val="Normal"/>
              <w:jc w:val="center"/>
              <w:rPr/>
            </w:pPr>
            <w:r>
              <w:rPr/>
            </w:r>
          </w:p>
        </w:tc>
        <w:tc>
          <w:tcPr>
            <w:tcW w:w="126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t xml:space="preserve">1,2 </w:t>
            </w:r>
          </w:p>
          <w:p>
            <w:pPr>
              <w:pStyle w:val="Normal"/>
              <w:rPr/>
            </w:pPr>
            <w:r>
              <w:rPr/>
            </w:r>
          </w:p>
        </w:tc>
        <w:tc>
          <w:tcPr>
            <w:tcW w:w="151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t xml:space="preserve">0,7-0,8 </w:t>
            </w:r>
          </w:p>
          <w:p>
            <w:pPr>
              <w:pStyle w:val="Normal"/>
              <w:rPr/>
            </w:pPr>
            <w:r>
              <w:rPr/>
            </w:r>
          </w:p>
        </w:tc>
        <w:tc>
          <w:tcPr>
            <w:tcW w:w="163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t xml:space="preserve">1,8-2 </w:t>
            </w:r>
          </w:p>
          <w:p>
            <w:pPr>
              <w:pStyle w:val="Normal"/>
              <w:rPr/>
            </w:pPr>
            <w:r>
              <w:rPr/>
            </w:r>
          </w:p>
        </w:tc>
        <w:tc>
          <w:tcPr>
            <w:tcW w:w="84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t xml:space="preserve">0,7-0,8 </w:t>
            </w:r>
          </w:p>
          <w:p>
            <w:pPr>
              <w:pStyle w:val="Normal"/>
              <w:rPr/>
            </w:pPr>
            <w:r>
              <w:rPr/>
            </w:r>
          </w:p>
        </w:tc>
        <w:tc>
          <w:tcPr>
            <w:tcW w:w="1320"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7-10 </w:t>
            </w:r>
          </w:p>
          <w:p>
            <w:pPr>
              <w:pStyle w:val="Normal"/>
              <w:rPr/>
            </w:pPr>
            <w:r>
              <w:rPr/>
            </w:r>
          </w:p>
        </w:tc>
        <w:tc>
          <w:tcPr>
            <w:tcW w:w="1610" w:type="dxa"/>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8,5-12 </w:t>
            </w:r>
          </w:p>
          <w:p>
            <w:pPr>
              <w:pStyle w:val="Normal"/>
              <w:rPr/>
            </w:pPr>
            <w:r>
              <w:rPr/>
            </w:r>
          </w:p>
        </w:tc>
      </w:tr>
      <w:tr>
        <w:trPr/>
        <w:tc>
          <w:tcPr>
            <w:tcW w:w="1410" w:type="dxa"/>
            <w:tcBorders>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двухслойной загрузкой </w:t>
            </w:r>
          </w:p>
          <w:p>
            <w:pPr>
              <w:pStyle w:val="Normal"/>
              <w:jc w:val="both"/>
              <w:rPr/>
            </w:pPr>
            <w:r>
              <w:rPr/>
            </w:r>
          </w:p>
        </w:tc>
        <w:tc>
          <w:tcPr>
            <w:tcW w:w="12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Дробленые керамзит или антрацит</w:t>
            </w:r>
          </w:p>
          <w:p>
            <w:pPr>
              <w:pStyle w:val="Normal"/>
              <w:rPr/>
            </w:pPr>
            <w:r>
              <w:rPr/>
            </w:r>
          </w:p>
          <w:p>
            <w:pPr>
              <w:pStyle w:val="Normal"/>
              <w:rPr/>
            </w:pPr>
            <w:r>
              <w:rPr/>
            </w:r>
          </w:p>
        </w:tc>
        <w:tc>
          <w:tcPr>
            <w:tcW w:w="129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0,8 </w:t>
            </w:r>
          </w:p>
          <w:p>
            <w:pPr>
              <w:pStyle w:val="Normal"/>
              <w:jc w:val="center"/>
              <w:rPr/>
            </w:pPr>
            <w:r>
              <w:rPr/>
            </w:r>
          </w:p>
        </w:tc>
        <w:tc>
          <w:tcPr>
            <w:tcW w:w="126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1,8 </w:t>
            </w:r>
          </w:p>
          <w:p>
            <w:pPr>
              <w:pStyle w:val="Normal"/>
              <w:rPr/>
            </w:pPr>
            <w:r>
              <w:rPr/>
            </w:r>
          </w:p>
        </w:tc>
        <w:tc>
          <w:tcPr>
            <w:tcW w:w="151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0,9-1,1 </w:t>
            </w:r>
          </w:p>
          <w:p>
            <w:pPr>
              <w:pStyle w:val="Normal"/>
              <w:rPr/>
            </w:pPr>
            <w:r>
              <w:rPr/>
            </w:r>
          </w:p>
        </w:tc>
        <w:tc>
          <w:tcPr>
            <w:tcW w:w="163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1,6-1,8 </w:t>
            </w:r>
          </w:p>
          <w:p>
            <w:pPr>
              <w:pStyle w:val="Normal"/>
              <w:rPr/>
            </w:pPr>
            <w:r>
              <w:rPr/>
            </w:r>
          </w:p>
        </w:tc>
        <w:tc>
          <w:tcPr>
            <w:tcW w:w="84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0,4-0,5 </w:t>
            </w:r>
          </w:p>
          <w:p>
            <w:pPr>
              <w:pStyle w:val="Normal"/>
              <w:rPr/>
            </w:pPr>
            <w:r>
              <w:rPr/>
            </w:r>
          </w:p>
        </w:tc>
        <w:tc>
          <w:tcPr>
            <w:tcW w:w="132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161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  </w:t>
            </w:r>
          </w:p>
          <w:p>
            <w:pPr>
              <w:pStyle w:val="Normal"/>
              <w:rPr/>
            </w:pPr>
            <w:r>
              <w:rPr/>
            </w:r>
          </w:p>
        </w:tc>
      </w:tr>
    </w:tbl>
    <w:p>
      <w:pPr>
        <w:pStyle w:val="Normal"/>
        <w:jc w:val="both"/>
        <w:rPr/>
      </w:pPr>
      <w:r>
        <w:rPr/>
      </w:r>
    </w:p>
    <w:p>
      <w:pPr>
        <w:pStyle w:val="Normal"/>
        <w:ind w:firstLine="270"/>
        <w:jc w:val="both"/>
        <w:rPr/>
      </w:pPr>
      <w:r>
        <w:rPr/>
        <w:t>Примечания: 1. Расчетные скорости фильтрования в указанных пределах должны приниматься в зависимости от качества воды в источнике водоснабжения, технологии ее обработки перед фильтрованием и других местных условий. При очистке воды для хозяйственно-питьевых нужд надлежит принимать меньшие значения скоростей фильтрования.</w:t>
      </w:r>
    </w:p>
    <w:p>
      <w:pPr>
        <w:pStyle w:val="Normal"/>
        <w:ind w:firstLine="180"/>
        <w:jc w:val="both"/>
        <w:rPr/>
      </w:pPr>
      <w:r>
        <w:rPr/>
      </w:r>
    </w:p>
    <w:p>
      <w:pPr>
        <w:pStyle w:val="Normal"/>
        <w:ind w:firstLine="225"/>
        <w:jc w:val="both"/>
        <w:rPr/>
      </w:pPr>
      <w:r>
        <w:rPr/>
        <w:t>2. Однослойные скорые фильтры с крупностью загрузки 0,8-2 мм надлежит применять только для производственного водоснабжения.</w:t>
      </w:r>
    </w:p>
    <w:p>
      <w:pPr>
        <w:pStyle w:val="Normal"/>
        <w:ind w:firstLine="225"/>
        <w:jc w:val="both"/>
        <w:rPr/>
      </w:pPr>
      <w:r>
        <w:rPr/>
      </w:r>
    </w:p>
    <w:p>
      <w:pPr>
        <w:pStyle w:val="Normal"/>
        <w:ind w:firstLine="225"/>
        <w:jc w:val="both"/>
        <w:rPr/>
      </w:pPr>
      <w:r>
        <w:rPr/>
        <w:t>3. Допускаются отклонения в крупности загрузки фильтров в пределах до 10%.</w:t>
      </w:r>
    </w:p>
    <w:p>
      <w:pPr>
        <w:pStyle w:val="Normal"/>
        <w:ind w:firstLine="225"/>
        <w:jc w:val="both"/>
        <w:rPr/>
      </w:pPr>
      <w:r>
        <w:rPr/>
      </w:r>
    </w:p>
    <w:p>
      <w:pPr>
        <w:pStyle w:val="Normal"/>
        <w:ind w:firstLine="180"/>
        <w:jc w:val="both"/>
        <w:rPr/>
      </w:pPr>
      <w:r>
        <w:rPr/>
        <w:t>4. При применении фильтрующих материалов, не предусмотренных табл. 21, рекомендуемые параметры необходимо уточнять на основании экспериментальных данных или имеющегося опыта применения.</w:t>
      </w:r>
    </w:p>
    <w:p>
      <w:pPr>
        <w:pStyle w:val="Normal"/>
        <w:ind w:firstLine="180"/>
        <w:jc w:val="both"/>
        <w:rPr/>
      </w:pPr>
      <w:r>
        <w:rPr/>
      </w:r>
    </w:p>
    <w:p>
      <w:pPr>
        <w:pStyle w:val="Normal"/>
        <w:ind w:firstLine="180"/>
        <w:jc w:val="both"/>
        <w:rPr/>
      </w:pPr>
      <w:r>
        <w:rPr/>
        <w:t xml:space="preserve">5. Эквивалентный диаметр зерен d(з) мм, следует определять из выражения </w:t>
      </w:r>
    </w:p>
    <w:p>
      <w:pPr>
        <w:pStyle w:val="Normal"/>
        <w:rPr/>
      </w:pPr>
      <w:r>
        <w:rPr/>
        <w:t xml:space="preserve">                               </w:t>
      </w:r>
    </w:p>
    <w:tbl>
      <w:tblPr>
        <w:tblW w:w="7785" w:type="dxa"/>
        <w:jc w:val="start"/>
        <w:tblInd w:w="165" w:type="dxa"/>
        <w:tblBorders/>
        <w:tblCellMar>
          <w:top w:w="0" w:type="dxa"/>
          <w:start w:w="15" w:type="dxa"/>
          <w:bottom w:w="0" w:type="dxa"/>
          <w:end w:w="15" w:type="dxa"/>
        </w:tblCellMar>
      </w:tblPr>
      <w:tblGrid>
        <w:gridCol w:w="450"/>
        <w:gridCol w:w="480"/>
        <w:gridCol w:w="5955"/>
        <w:gridCol w:w="375"/>
        <w:gridCol w:w="525"/>
      </w:tblGrid>
      <w:tr>
        <w:trPr/>
        <w:tc>
          <w:tcPr>
            <w:tcW w:w="450" w:type="dxa"/>
            <w:tcBorders/>
            <w:shd w:fill="auto" w:val="clear"/>
          </w:tcPr>
          <w:p>
            <w:pPr>
              <w:pStyle w:val="Normal"/>
              <w:rPr/>
            </w:pPr>
            <w:r>
              <w:rPr/>
              <w:drawing>
                <wp:inline distT="0" distB="0" distL="0" distR="0">
                  <wp:extent cx="1348105" cy="264795"/>
                  <wp:effectExtent l="0" t="0" r="0" b="0"/>
                  <wp:docPr id="105" name="Изображение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Изображение105" descr="" title=""/>
                          <pic:cNvPicPr>
                            <a:picLocks noChangeAspect="1" noChangeArrowheads="1"/>
                          </pic:cNvPicPr>
                        </pic:nvPicPr>
                        <pic:blipFill>
                          <a:blip r:embed="rId106"/>
                          <a:stretch>
                            <a:fillRect/>
                          </a:stretch>
                        </pic:blipFill>
                        <pic:spPr bwMode="auto">
                          <a:xfrm>
                            <a:off x="0" y="0"/>
                            <a:ext cx="1348105" cy="264795"/>
                          </a:xfrm>
                          <a:prstGeom prst="rect">
                            <a:avLst/>
                          </a:prstGeom>
                        </pic:spPr>
                      </pic:pic>
                    </a:graphicData>
                  </a:graphic>
                </wp:inline>
              </w:drawing>
            </w:r>
            <w:r>
              <w:rPr>
                <w:vanish/>
              </w:rPr>
              <w:t>#G0</w:t>
            </w:r>
            <w:r>
              <w:rPr/>
              <w:t xml:space="preserve">        где </w:t>
            </w:r>
          </w:p>
          <w:p>
            <w:pPr>
              <w:pStyle w:val="Normal"/>
              <w:rPr/>
            </w:pPr>
            <w:r>
              <w:rPr/>
            </w:r>
          </w:p>
        </w:tc>
        <w:tc>
          <w:tcPr>
            <w:tcW w:w="480" w:type="dxa"/>
            <w:tcBorders/>
            <w:shd w:fill="auto" w:val="clear"/>
          </w:tcPr>
          <w:p>
            <w:pPr>
              <w:pStyle w:val="Normal"/>
              <w:rPr/>
            </w:pPr>
            <w:r>
              <w:rPr/>
              <w:t xml:space="preserve">  </w:t>
            </w:r>
          </w:p>
          <w:p>
            <w:pPr>
              <w:pStyle w:val="Normal"/>
              <w:rPr/>
            </w:pPr>
            <w:r>
              <w:rPr/>
              <w:drawing>
                <wp:inline distT="0" distB="0" distL="0" distR="0">
                  <wp:extent cx="149860" cy="184150"/>
                  <wp:effectExtent l="0" t="0" r="0" b="0"/>
                  <wp:docPr id="106" name="Изображение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Изображение106" descr="" title=""/>
                          <pic:cNvPicPr>
                            <a:picLocks noChangeAspect="1" noChangeArrowheads="1"/>
                          </pic:cNvPicPr>
                        </pic:nvPicPr>
                        <pic:blipFill>
                          <a:blip r:embed="rId107"/>
                          <a:stretch>
                            <a:fillRect/>
                          </a:stretch>
                        </pic:blipFill>
                        <pic:spPr bwMode="auto">
                          <a:xfrm>
                            <a:off x="0" y="0"/>
                            <a:ext cx="149860" cy="184150"/>
                          </a:xfrm>
                          <a:prstGeom prst="rect">
                            <a:avLst/>
                          </a:prstGeom>
                        </pic:spPr>
                      </pic:pic>
                    </a:graphicData>
                  </a:graphic>
                </wp:inline>
              </w:drawing>
            </w:r>
          </w:p>
        </w:tc>
        <w:tc>
          <w:tcPr>
            <w:tcW w:w="5955" w:type="dxa"/>
            <w:tcBorders/>
            <w:shd w:fill="auto" w:val="clear"/>
          </w:tcPr>
          <w:p>
            <w:pPr>
              <w:pStyle w:val="Normal"/>
              <w:rPr/>
            </w:pPr>
            <w:r>
              <w:rPr/>
              <w:t xml:space="preserve">  </w:t>
            </w:r>
          </w:p>
          <w:p>
            <w:pPr>
              <w:pStyle w:val="Normal"/>
              <w:ind w:firstLine="45"/>
              <w:jc w:val="both"/>
              <w:rPr/>
            </w:pPr>
            <w:r>
              <w:rPr/>
              <w:t xml:space="preserve">-  процентное содержание фракций со средним диаметром зерен </w:t>
            </w:r>
          </w:p>
          <w:p>
            <w:pPr>
              <w:pStyle w:val="Normal"/>
              <w:ind w:firstLine="45"/>
              <w:jc w:val="both"/>
              <w:rPr/>
            </w:pPr>
            <w:r>
              <w:rPr/>
            </w:r>
          </w:p>
        </w:tc>
        <w:tc>
          <w:tcPr>
            <w:tcW w:w="375" w:type="dxa"/>
            <w:tcBorders/>
            <w:shd w:fill="auto" w:val="clear"/>
          </w:tcPr>
          <w:p>
            <w:pPr>
              <w:pStyle w:val="Normal"/>
              <w:rPr/>
            </w:pPr>
            <w:r>
              <w:rPr/>
              <w:t xml:space="preserve">  </w:t>
            </w:r>
          </w:p>
          <w:p>
            <w:pPr>
              <w:pStyle w:val="Normal"/>
              <w:rPr/>
            </w:pPr>
            <w:r>
              <w:rPr/>
              <w:drawing>
                <wp:inline distT="0" distB="0" distL="0" distR="0">
                  <wp:extent cx="149860" cy="184150"/>
                  <wp:effectExtent l="0" t="0" r="0" b="0"/>
                  <wp:docPr id="107" name="Изображение1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Изображение107" descr="" title=""/>
                          <pic:cNvPicPr>
                            <a:picLocks noChangeAspect="1" noChangeArrowheads="1"/>
                          </pic:cNvPicPr>
                        </pic:nvPicPr>
                        <pic:blipFill>
                          <a:blip r:embed="rId108"/>
                          <a:stretch>
                            <a:fillRect/>
                          </a:stretch>
                        </pic:blipFill>
                        <pic:spPr bwMode="auto">
                          <a:xfrm>
                            <a:off x="0" y="0"/>
                            <a:ext cx="149860" cy="184150"/>
                          </a:xfrm>
                          <a:prstGeom prst="rect">
                            <a:avLst/>
                          </a:prstGeom>
                        </pic:spPr>
                      </pic:pic>
                    </a:graphicData>
                  </a:graphic>
                </wp:inline>
              </w:drawing>
            </w:r>
          </w:p>
        </w:tc>
        <w:tc>
          <w:tcPr>
            <w:tcW w:w="525" w:type="dxa"/>
            <w:tcBorders/>
            <w:shd w:fill="auto" w:val="clear"/>
          </w:tcPr>
          <w:p>
            <w:pPr>
              <w:pStyle w:val="Normal"/>
              <w:rPr/>
            </w:pPr>
            <w:r>
              <w:rPr/>
              <w:t xml:space="preserve">  </w:t>
            </w:r>
          </w:p>
          <w:p>
            <w:pPr>
              <w:pStyle w:val="Normal"/>
              <w:jc w:val="both"/>
              <w:rPr/>
            </w:pPr>
            <w:r>
              <w:rPr/>
              <w:t>, мм.</w:t>
            </w:r>
          </w:p>
          <w:p>
            <w:pPr>
              <w:pStyle w:val="Normal"/>
              <w:jc w:val="both"/>
              <w:rPr/>
            </w:pPr>
            <w:r>
              <w:rPr/>
            </w:r>
          </w:p>
        </w:tc>
      </w:tr>
    </w:tbl>
    <w:p>
      <w:pPr>
        <w:pStyle w:val="Normal"/>
        <w:ind w:firstLine="270"/>
        <w:rPr/>
      </w:pPr>
      <w:r>
        <w:rPr/>
      </w:r>
    </w:p>
    <w:tbl>
      <w:tblPr>
        <w:tblW w:w="6195" w:type="dxa"/>
        <w:jc w:val="start"/>
        <w:tblInd w:w="165" w:type="dxa"/>
        <w:tblBorders/>
        <w:tblCellMar>
          <w:top w:w="0" w:type="dxa"/>
          <w:start w:w="15" w:type="dxa"/>
          <w:bottom w:w="0" w:type="dxa"/>
          <w:end w:w="15" w:type="dxa"/>
        </w:tblCellMar>
      </w:tblPr>
      <w:tblGrid>
        <w:gridCol w:w="4350"/>
        <w:gridCol w:w="1845"/>
      </w:tblGrid>
      <w:tr>
        <w:trPr/>
        <w:tc>
          <w:tcPr>
            <w:tcW w:w="4350" w:type="dxa"/>
            <w:tcBorders/>
            <w:shd w:fill="auto" w:val="clear"/>
          </w:tcPr>
          <w:p>
            <w:pPr>
              <w:pStyle w:val="Normal"/>
              <w:rPr/>
            </w:pPr>
            <w:r>
              <w:rPr>
                <w:vanish/>
              </w:rPr>
              <w:t>#G0</w:t>
            </w:r>
            <w:r>
              <w:rPr/>
              <w:t xml:space="preserve">6. Коэффициент неоднородности загрузки равен </w:t>
            </w:r>
          </w:p>
          <w:p>
            <w:pPr>
              <w:pStyle w:val="Normal"/>
              <w:rPr/>
            </w:pPr>
            <w:r>
              <w:rPr/>
            </w:r>
          </w:p>
        </w:tc>
        <w:tc>
          <w:tcPr>
            <w:tcW w:w="1845" w:type="dxa"/>
            <w:tcBorders/>
            <w:shd w:fill="auto" w:val="clear"/>
          </w:tcPr>
          <w:p>
            <w:pPr>
              <w:pStyle w:val="Normal"/>
              <w:rPr/>
            </w:pPr>
            <w:r>
              <w:rPr/>
              <w:drawing>
                <wp:inline distT="0" distB="0" distL="0" distR="0">
                  <wp:extent cx="748665" cy="172720"/>
                  <wp:effectExtent l="0" t="0" r="0" b="0"/>
                  <wp:docPr id="108" name="Изображение1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Изображение108" descr="" title=""/>
                          <pic:cNvPicPr>
                            <a:picLocks noChangeAspect="1" noChangeArrowheads="1"/>
                          </pic:cNvPicPr>
                        </pic:nvPicPr>
                        <pic:blipFill>
                          <a:blip r:embed="rId109"/>
                          <a:stretch>
                            <a:fillRect/>
                          </a:stretch>
                        </pic:blipFill>
                        <pic:spPr bwMode="auto">
                          <a:xfrm>
                            <a:off x="0" y="0"/>
                            <a:ext cx="748665" cy="172720"/>
                          </a:xfrm>
                          <a:prstGeom prst="rect">
                            <a:avLst/>
                          </a:prstGeom>
                        </pic:spPr>
                      </pic:pic>
                    </a:graphicData>
                  </a:graphic>
                </wp:inline>
              </w:drawing>
            </w:r>
          </w:p>
        </w:tc>
      </w:tr>
    </w:tbl>
    <w:p>
      <w:pPr>
        <w:pStyle w:val="Normal"/>
        <w:ind w:firstLine="360"/>
        <w:jc w:val="both"/>
        <w:rPr/>
      </w:pPr>
      <w:r>
        <w:rPr/>
      </w:r>
    </w:p>
    <w:p>
      <w:pPr>
        <w:pStyle w:val="Normal"/>
        <w:ind w:firstLine="315"/>
        <w:jc w:val="both"/>
        <w:rPr/>
      </w:pPr>
      <w:r>
        <w:rPr/>
      </w:r>
    </w:p>
    <w:tbl>
      <w:tblPr>
        <w:tblW w:w="8400" w:type="dxa"/>
        <w:jc w:val="start"/>
        <w:tblInd w:w="165" w:type="dxa"/>
        <w:tblBorders/>
        <w:tblCellMar>
          <w:top w:w="0" w:type="dxa"/>
          <w:start w:w="15" w:type="dxa"/>
          <w:bottom w:w="0" w:type="dxa"/>
          <w:end w:w="15" w:type="dxa"/>
        </w:tblCellMar>
      </w:tblPr>
      <w:tblGrid>
        <w:gridCol w:w="435"/>
        <w:gridCol w:w="15"/>
        <w:gridCol w:w="720"/>
        <w:gridCol w:w="7215"/>
        <w:gridCol w:w="15"/>
      </w:tblGrid>
      <w:tr>
        <w:trPr/>
        <w:tc>
          <w:tcPr>
            <w:tcW w:w="435" w:type="dxa"/>
            <w:tcBorders/>
            <w:shd w:fill="auto" w:val="clear"/>
          </w:tcPr>
          <w:p>
            <w:pPr>
              <w:pStyle w:val="Normal"/>
              <w:rPr/>
            </w:pPr>
            <w:r>
              <w:rPr>
                <w:vanish/>
              </w:rPr>
              <w:t>#G0</w:t>
            </w:r>
            <w:r>
              <w:rPr/>
              <w:t xml:space="preserve">       где </w:t>
            </w:r>
          </w:p>
          <w:p>
            <w:pPr>
              <w:pStyle w:val="Normal"/>
              <w:rPr/>
            </w:pPr>
            <w:r>
              <w:rPr/>
            </w:r>
          </w:p>
        </w:tc>
        <w:tc>
          <w:tcPr>
            <w:tcW w:w="735" w:type="dxa"/>
            <w:gridSpan w:val="2"/>
            <w:tcBorders/>
            <w:shd w:fill="auto" w:val="clear"/>
          </w:tcPr>
          <w:p>
            <w:pPr>
              <w:pStyle w:val="Normal"/>
              <w:rPr/>
            </w:pPr>
            <w:r>
              <w:rPr/>
              <w:t xml:space="preserve">  </w:t>
            </w:r>
          </w:p>
          <w:p>
            <w:pPr>
              <w:pStyle w:val="Normal"/>
              <w:rPr/>
            </w:pPr>
            <w:r>
              <w:rPr/>
              <w:drawing>
                <wp:inline distT="0" distB="0" distL="0" distR="0">
                  <wp:extent cx="195580" cy="184150"/>
                  <wp:effectExtent l="0" t="0" r="0" b="0"/>
                  <wp:docPr id="109" name="Изображение1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Изображение109" descr="" title=""/>
                          <pic:cNvPicPr>
                            <a:picLocks noChangeAspect="1" noChangeArrowheads="1"/>
                          </pic:cNvPicPr>
                        </pic:nvPicPr>
                        <pic:blipFill>
                          <a:blip r:embed="rId110"/>
                          <a:stretch>
                            <a:fillRect/>
                          </a:stretch>
                        </pic:blipFill>
                        <pic:spPr bwMode="auto">
                          <a:xfrm>
                            <a:off x="0" y="0"/>
                            <a:ext cx="195580" cy="184150"/>
                          </a:xfrm>
                          <a:prstGeom prst="rect">
                            <a:avLst/>
                          </a:prstGeom>
                        </pic:spPr>
                      </pic:pic>
                    </a:graphicData>
                  </a:graphic>
                </wp:inline>
              </w:drawing>
            </w:r>
          </w:p>
        </w:tc>
        <w:tc>
          <w:tcPr>
            <w:tcW w:w="7230" w:type="dxa"/>
            <w:tcBorders/>
            <w:shd w:fill="auto" w:val="clear"/>
          </w:tcPr>
          <w:p>
            <w:pPr>
              <w:pStyle w:val="Normal"/>
              <w:snapToGrid w:val="false"/>
              <w:rPr/>
            </w:pPr>
            <w:r>
              <w:rPr/>
            </w:r>
          </w:p>
          <w:p>
            <w:pPr>
              <w:pStyle w:val="Normal"/>
              <w:rPr/>
            </w:pPr>
            <w:r>
              <w:rPr/>
              <w:t xml:space="preserve"> </w:t>
            </w:r>
            <w:r>
              <w:rPr/>
              <w:t>- диаметр зерен загрузки, мм, прошедших через отверстия сит в количестве 10% общей массы;</w:t>
            </w:r>
          </w:p>
          <w:p>
            <w:pPr>
              <w:pStyle w:val="Normal"/>
              <w:rPr/>
            </w:pPr>
            <w:r>
              <w:rPr/>
            </w:r>
          </w:p>
        </w:tc>
      </w:tr>
      <w:tr>
        <w:trPr/>
        <w:tc>
          <w:tcPr>
            <w:tcW w:w="450" w:type="dxa"/>
            <w:gridSpan w:val="2"/>
            <w:tcBorders/>
            <w:shd w:fill="auto" w:val="clear"/>
          </w:tcPr>
          <w:p>
            <w:pPr>
              <w:pStyle w:val="Normal"/>
              <w:rPr/>
            </w:pPr>
            <w:r>
              <w:rPr/>
              <w:t xml:space="preserve">  </w:t>
            </w:r>
          </w:p>
          <w:p>
            <w:pPr>
              <w:pStyle w:val="Normal"/>
              <w:rPr/>
            </w:pPr>
            <w:r>
              <w:rPr/>
            </w:r>
          </w:p>
        </w:tc>
        <w:tc>
          <w:tcPr>
            <w:tcW w:w="720" w:type="dxa"/>
            <w:tcBorders/>
            <w:shd w:fill="auto" w:val="clear"/>
          </w:tcPr>
          <w:p>
            <w:pPr>
              <w:pStyle w:val="Normal"/>
              <w:rPr/>
            </w:pPr>
            <w:r>
              <w:rPr/>
              <w:t xml:space="preserve">  </w:t>
            </w:r>
          </w:p>
          <w:p>
            <w:pPr>
              <w:pStyle w:val="Normal"/>
              <w:rPr/>
            </w:pPr>
            <w:r>
              <w:rPr/>
              <w:drawing>
                <wp:inline distT="0" distB="0" distL="0" distR="0">
                  <wp:extent cx="195580" cy="184150"/>
                  <wp:effectExtent l="0" t="0" r="0" b="0"/>
                  <wp:docPr id="110" name="Изображение1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110" descr="" title=""/>
                          <pic:cNvPicPr>
                            <a:picLocks noChangeAspect="1" noChangeArrowheads="1"/>
                          </pic:cNvPicPr>
                        </pic:nvPicPr>
                        <pic:blipFill>
                          <a:blip r:embed="rId111"/>
                          <a:stretch>
                            <a:fillRect/>
                          </a:stretch>
                        </pic:blipFill>
                        <pic:spPr bwMode="auto">
                          <a:xfrm>
                            <a:off x="0" y="0"/>
                            <a:ext cx="195580" cy="184150"/>
                          </a:xfrm>
                          <a:prstGeom prst="rect">
                            <a:avLst/>
                          </a:prstGeom>
                        </pic:spPr>
                      </pic:pic>
                    </a:graphicData>
                  </a:graphic>
                </wp:inline>
              </w:drawing>
            </w:r>
          </w:p>
          <w:p>
            <w:pPr>
              <w:pStyle w:val="Normal"/>
              <w:rPr/>
            </w:pPr>
            <w:r>
              <w:rPr/>
            </w:r>
          </w:p>
        </w:tc>
        <w:tc>
          <w:tcPr>
            <w:tcW w:w="7215" w:type="dxa"/>
            <w:tcBorders/>
            <w:shd w:fill="auto" w:val="clear"/>
          </w:tcPr>
          <w:p>
            <w:pPr>
              <w:pStyle w:val="Normal"/>
              <w:snapToGrid w:val="false"/>
              <w:jc w:val="both"/>
              <w:rPr/>
            </w:pPr>
            <w:r>
              <w:rPr/>
            </w:r>
          </w:p>
          <w:p>
            <w:pPr>
              <w:pStyle w:val="Normal"/>
              <w:jc w:val="both"/>
              <w:rPr/>
            </w:pPr>
            <w:r>
              <w:rPr/>
              <w:t>-  диаметр зерен загрузки, мм, прошедших через отверстия сит в количестве 80% обшей массы.</w:t>
            </w:r>
          </w:p>
          <w:p>
            <w:pPr>
              <w:pStyle w:val="Normal"/>
              <w:jc w:val="both"/>
              <w:rPr/>
            </w:pPr>
            <w:r>
              <w:rPr/>
            </w:r>
          </w:p>
        </w:tc>
      </w:tr>
    </w:tbl>
    <w:p>
      <w:pPr>
        <w:pStyle w:val="Normal"/>
        <w:ind w:firstLine="315"/>
        <w:jc w:val="both"/>
        <w:rPr/>
      </w:pPr>
      <w:r>
        <w:rPr/>
      </w:r>
    </w:p>
    <w:p>
      <w:pPr>
        <w:pStyle w:val="Normal"/>
        <w:ind w:firstLine="270"/>
        <w:jc w:val="both"/>
        <w:rPr/>
      </w:pPr>
      <w:r>
        <w:rPr/>
      </w:r>
    </w:p>
    <w:p>
      <w:pPr>
        <w:pStyle w:val="Normal"/>
        <w:ind w:firstLine="225"/>
        <w:jc w:val="both"/>
        <w:rPr/>
      </w:pPr>
      <w:r>
        <w:rPr/>
        <w:t xml:space="preserve">7. При использовании фильтров в схемах очистки воды двухступенчатым фильтрованием скорости фильтрования на них следует принимать на 10-15% больше. </w:t>
      </w:r>
    </w:p>
    <w:p>
      <w:pPr>
        <w:pStyle w:val="Normal"/>
        <w:ind w:firstLine="225"/>
        <w:jc w:val="both"/>
        <w:rPr/>
      </w:pPr>
      <w:r>
        <w:rPr/>
      </w:r>
    </w:p>
    <w:p>
      <w:pPr>
        <w:pStyle w:val="Normal"/>
        <w:ind w:firstLine="225"/>
        <w:jc w:val="both"/>
        <w:rPr/>
      </w:pPr>
      <w:r>
        <w:rPr/>
        <w:t>8. При применении загрузок из дробленых керамзита и антрацита водовоздушная промывка не допускается.</w:t>
      </w:r>
    </w:p>
    <w:p>
      <w:pPr>
        <w:pStyle w:val="Normal"/>
        <w:ind w:firstLine="45"/>
        <w:jc w:val="both"/>
        <w:rPr/>
      </w:pPr>
      <w:r>
        <w:rPr/>
      </w:r>
    </w:p>
    <w:p>
      <w:pPr>
        <w:pStyle w:val="Normal"/>
        <w:ind w:firstLine="270"/>
        <w:jc w:val="both"/>
        <w:rPr/>
      </w:pPr>
      <w:r>
        <w:rPr/>
        <w:t>6.103. Трубчатые распределительные (дренажные) системы большого сопротивления следует принимать с выходом воды в поддерживающие слои (гравий или другие аналогичные материалы) или непосредственно в толщу фильтрующего слоя. Необходимо предусматривать возможность прочистки распределительной системы, а для коллекторов диаметром более 800 мм их ревизию.</w:t>
      </w:r>
    </w:p>
    <w:p>
      <w:pPr>
        <w:pStyle w:val="Normal"/>
        <w:ind w:firstLine="270"/>
        <w:jc w:val="both"/>
        <w:rPr/>
      </w:pPr>
      <w:r>
        <w:rPr/>
      </w:r>
    </w:p>
    <w:p>
      <w:pPr>
        <w:pStyle w:val="Normal"/>
        <w:ind w:firstLine="225"/>
        <w:jc w:val="both"/>
        <w:rPr/>
      </w:pPr>
      <w:r>
        <w:rPr/>
        <w:t xml:space="preserve">6.104. Крупность фракций и высоту поддерживающих слоев при распределительных системах большого сопротивления следует принимать по табл. 22. </w:t>
      </w:r>
    </w:p>
    <w:p>
      <w:pPr>
        <w:pStyle w:val="Normal"/>
        <w:ind w:firstLine="270"/>
        <w:jc w:val="both"/>
        <w:rPr/>
      </w:pPr>
      <w:r>
        <w:rPr/>
      </w:r>
    </w:p>
    <w:p>
      <w:pPr>
        <w:pStyle w:val="Normal"/>
        <w:jc w:val="end"/>
        <w:rPr/>
      </w:pPr>
      <w:r>
        <w:rPr/>
        <w:t xml:space="preserve">Таблица 22 </w:t>
      </w:r>
    </w:p>
    <w:p>
      <w:pPr>
        <w:pStyle w:val="Normal"/>
        <w:ind w:firstLine="270"/>
        <w:jc w:val="both"/>
        <w:rPr/>
      </w:pPr>
      <w:r>
        <w:rPr/>
      </w:r>
    </w:p>
    <w:p>
      <w:pPr>
        <w:pStyle w:val="Normal"/>
        <w:ind w:firstLine="270"/>
        <w:jc w:val="both"/>
        <w:rPr/>
      </w:pPr>
      <w:r>
        <w:rPr/>
      </w:r>
    </w:p>
    <w:tbl>
      <w:tblPr>
        <w:tblW w:w="6350" w:type="dxa"/>
        <w:jc w:val="start"/>
        <w:tblInd w:w="105" w:type="dxa"/>
        <w:tblBorders>
          <w:top w:val="single" w:sz="2" w:space="0" w:color="000000"/>
          <w:start w:val="single" w:sz="2" w:space="0" w:color="000000"/>
          <w:bottom w:val="single" w:sz="2" w:space="0" w:color="000000"/>
          <w:insideH w:val="single" w:sz="2" w:space="0" w:color="000000"/>
        </w:tblBorders>
        <w:tblCellMar>
          <w:top w:w="0" w:type="dxa"/>
          <w:start w:w="102" w:type="dxa"/>
          <w:bottom w:w="0" w:type="dxa"/>
          <w:end w:w="105" w:type="dxa"/>
        </w:tblCellMar>
      </w:tblPr>
      <w:tblGrid>
        <w:gridCol w:w="1950"/>
        <w:gridCol w:w="4400"/>
      </w:tblGrid>
      <w:tr>
        <w:trPr/>
        <w:tc>
          <w:tcPr>
            <w:tcW w:w="195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vanish/>
              </w:rPr>
              <w:t>#G0</w:t>
            </w:r>
            <w:r>
              <w:rPr/>
              <w:t xml:space="preserve">Крупность зерен, мм </w:t>
            </w:r>
          </w:p>
          <w:p>
            <w:pPr>
              <w:pStyle w:val="Normal"/>
              <w:jc w:val="center"/>
              <w:rPr/>
            </w:pPr>
            <w:r>
              <w:rPr/>
            </w:r>
          </w:p>
        </w:tc>
        <w:tc>
          <w:tcPr>
            <w:tcW w:w="440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Высота слоя, мм </w:t>
            </w:r>
          </w:p>
          <w:p>
            <w:pPr>
              <w:pStyle w:val="Normal"/>
              <w:rPr/>
            </w:pPr>
            <w:r>
              <w:rPr/>
            </w:r>
          </w:p>
        </w:tc>
      </w:tr>
      <w:tr>
        <w:trPr/>
        <w:tc>
          <w:tcPr>
            <w:tcW w:w="1950"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40 -  20 </w:t>
            </w:r>
          </w:p>
          <w:p>
            <w:pPr>
              <w:pStyle w:val="Normal"/>
              <w:rPr/>
            </w:pPr>
            <w:r>
              <w:rPr/>
            </w:r>
          </w:p>
        </w:tc>
        <w:tc>
          <w:tcPr>
            <w:tcW w:w="4400" w:type="dxa"/>
            <w:tcBorders>
              <w:start w:val="single" w:sz="2" w:space="0" w:color="000000"/>
              <w:end w:val="single" w:sz="2" w:space="0" w:color="000000"/>
              <w:insideV w:val="single" w:sz="2" w:space="0" w:color="000000"/>
            </w:tcBorders>
            <w:shd w:fill="auto" w:val="clear"/>
            <w:tcMar>
              <w:start w:w="102" w:type="dxa"/>
            </w:tcMar>
          </w:tcPr>
          <w:p>
            <w:pPr>
              <w:pStyle w:val="Normal"/>
              <w:snapToGrid w:val="false"/>
              <w:jc w:val="both"/>
              <w:rPr/>
            </w:pPr>
            <w:r>
              <w:rPr/>
            </w:r>
          </w:p>
          <w:p>
            <w:pPr>
              <w:pStyle w:val="Normal"/>
              <w:jc w:val="both"/>
              <w:rPr/>
            </w:pPr>
            <w:r>
              <w:rPr/>
              <w:t xml:space="preserve">Верхняя граница слоя должна быть на уровне верха распределительной трубы, но не менее чем на 100 мм выше отверстий </w:t>
            </w:r>
          </w:p>
          <w:p>
            <w:pPr>
              <w:pStyle w:val="Normal"/>
              <w:jc w:val="both"/>
              <w:rPr/>
            </w:pPr>
            <w:r>
              <w:rPr/>
            </w:r>
          </w:p>
        </w:tc>
      </w:tr>
      <w:tr>
        <w:trPr/>
        <w:tc>
          <w:tcPr>
            <w:tcW w:w="1950" w:type="dxa"/>
            <w:tcBorders>
              <w:start w:val="single" w:sz="2" w:space="0" w:color="000000"/>
            </w:tcBorders>
            <w:shd w:fill="auto" w:val="clear"/>
            <w:tcMar>
              <w:start w:w="102" w:type="dxa"/>
            </w:tcMar>
          </w:tcPr>
          <w:p>
            <w:pPr>
              <w:pStyle w:val="Normal"/>
              <w:jc w:val="center"/>
              <w:rPr/>
            </w:pPr>
            <w:r>
              <w:rPr/>
              <w:t xml:space="preserve">20  - 10 </w:t>
            </w:r>
          </w:p>
          <w:p>
            <w:pPr>
              <w:pStyle w:val="Normal"/>
              <w:jc w:val="center"/>
              <w:rPr/>
            </w:pPr>
            <w:r>
              <w:rPr/>
            </w:r>
          </w:p>
        </w:tc>
        <w:tc>
          <w:tcPr>
            <w:tcW w:w="440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100 - 150 </w:t>
            </w:r>
          </w:p>
          <w:p>
            <w:pPr>
              <w:pStyle w:val="Normal"/>
              <w:rPr/>
            </w:pPr>
            <w:r>
              <w:rPr/>
            </w:r>
          </w:p>
        </w:tc>
      </w:tr>
      <w:tr>
        <w:trPr/>
        <w:tc>
          <w:tcPr>
            <w:tcW w:w="1950" w:type="dxa"/>
            <w:tcBorders>
              <w:start w:val="single" w:sz="2" w:space="0" w:color="000000"/>
            </w:tcBorders>
            <w:shd w:fill="auto" w:val="clear"/>
            <w:tcMar>
              <w:start w:w="102" w:type="dxa"/>
            </w:tcMar>
          </w:tcPr>
          <w:p>
            <w:pPr>
              <w:pStyle w:val="Normal"/>
              <w:rPr/>
            </w:pPr>
            <w:r>
              <w:rPr/>
              <w:t xml:space="preserve">10  - 5 </w:t>
            </w:r>
          </w:p>
          <w:p>
            <w:pPr>
              <w:pStyle w:val="Normal"/>
              <w:rPr/>
            </w:pPr>
            <w:r>
              <w:rPr/>
            </w:r>
          </w:p>
        </w:tc>
        <w:tc>
          <w:tcPr>
            <w:tcW w:w="440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100  - 150 </w:t>
            </w:r>
          </w:p>
          <w:p>
            <w:pPr>
              <w:pStyle w:val="Normal"/>
              <w:rPr/>
            </w:pPr>
            <w:r>
              <w:rPr/>
            </w:r>
          </w:p>
        </w:tc>
      </w:tr>
      <w:tr>
        <w:trPr/>
        <w:tc>
          <w:tcPr>
            <w:tcW w:w="195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5 - 2</w:t>
            </w:r>
          </w:p>
          <w:p>
            <w:pPr>
              <w:pStyle w:val="Normal"/>
              <w:rPr/>
            </w:pPr>
            <w:r>
              <w:rPr/>
            </w:r>
          </w:p>
          <w:p>
            <w:pPr>
              <w:pStyle w:val="Normal"/>
              <w:rPr/>
            </w:pPr>
            <w:r>
              <w:rPr/>
            </w:r>
          </w:p>
        </w:tc>
        <w:tc>
          <w:tcPr>
            <w:tcW w:w="440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50 - 100 </w:t>
            </w:r>
          </w:p>
          <w:p>
            <w:pPr>
              <w:pStyle w:val="Normal"/>
              <w:rPr/>
            </w:pPr>
            <w:r>
              <w:rPr/>
            </w:r>
          </w:p>
        </w:tc>
      </w:tr>
    </w:tbl>
    <w:p>
      <w:pPr>
        <w:pStyle w:val="Normal"/>
        <w:jc w:val="both"/>
        <w:rPr/>
      </w:pPr>
      <w:r>
        <w:rPr/>
      </w:r>
    </w:p>
    <w:p>
      <w:pPr>
        <w:pStyle w:val="Normal"/>
        <w:ind w:firstLine="270"/>
        <w:jc w:val="both"/>
        <w:rPr/>
      </w:pPr>
      <w:r>
        <w:rPr/>
        <w:t>Примечания: 1. При водовоздушной промывке с подачей воздуха по трубчатой системе высоту слоев крупностью 10-5 мм и 5-2 мм следует принимать по 150 - 200 мм каждый.</w:t>
      </w:r>
    </w:p>
    <w:p>
      <w:pPr>
        <w:pStyle w:val="Normal"/>
        <w:ind w:firstLine="270"/>
        <w:jc w:val="both"/>
        <w:rPr/>
      </w:pPr>
      <w:r>
        <w:rPr/>
      </w:r>
    </w:p>
    <w:p>
      <w:pPr>
        <w:pStyle w:val="Normal"/>
        <w:ind w:firstLine="225"/>
        <w:jc w:val="both"/>
        <w:rPr/>
      </w:pPr>
      <w:r>
        <w:rPr/>
        <w:t>2. Для фильтров с крупностью загрузки менее 2 мм следует предусматривать дополнительный поддерживающий слой с размером зерен 2-1,2 мм высотой 100 мм.</w:t>
      </w:r>
    </w:p>
    <w:p>
      <w:pPr>
        <w:pStyle w:val="Normal"/>
        <w:ind w:firstLine="270"/>
        <w:jc w:val="both"/>
        <w:rPr/>
      </w:pPr>
      <w:r>
        <w:rPr/>
      </w:r>
    </w:p>
    <w:p>
      <w:pPr>
        <w:pStyle w:val="Normal"/>
        <w:ind w:firstLine="270"/>
        <w:jc w:val="both"/>
        <w:rPr/>
      </w:pPr>
      <w:r>
        <w:rPr/>
        <w:t>6.105. На ответвлениях трубчатого дренажа следует предусматривать: при наличии поддерживающих слоев - отверстия диаметром 10-12 мм, при их отсутствии - щели шириной на 0,1 мм меньше минимального размера зерен фильтрующей загрузки. Общая площадь отверстий должна составлять 0,25-0,5% рабочей площади фильтра; площадь щелей - 1,5-2% рабочей площади фильтра. Отверстия надлежит располагать в два ряда в шахматном порядке под углом 45° к низу от вертикали. Щели должны размещаться равномерно поперек оси и по периметру трубы не менее чем в два ряда.</w:t>
      </w:r>
    </w:p>
    <w:p>
      <w:pPr>
        <w:pStyle w:val="Normal"/>
        <w:ind w:firstLine="225"/>
        <w:jc w:val="both"/>
        <w:rPr/>
      </w:pPr>
      <w:r>
        <w:rPr/>
      </w:r>
    </w:p>
    <w:p>
      <w:pPr>
        <w:pStyle w:val="Normal"/>
        <w:ind w:firstLine="270"/>
        <w:jc w:val="both"/>
        <w:rPr/>
      </w:pPr>
      <w:r>
        <w:rPr/>
        <w:t>Расстояние между осями ответвлений следует принимать 250-350 мм, между осями отверстий 150-200 мм, между щелями не менее 20 мм, от низа ответвлений до дна фильтра 80-120 мм.</w:t>
      </w:r>
    </w:p>
    <w:p>
      <w:pPr>
        <w:pStyle w:val="Normal"/>
        <w:ind w:firstLine="225"/>
        <w:jc w:val="both"/>
        <w:rPr/>
      </w:pPr>
      <w:r>
        <w:rPr/>
      </w:r>
    </w:p>
    <w:p>
      <w:pPr>
        <w:pStyle w:val="Normal"/>
        <w:ind w:firstLine="270"/>
        <w:jc w:val="both"/>
        <w:rPr/>
      </w:pPr>
      <w:r>
        <w:rPr/>
        <w:t xml:space="preserve">Потери напора в распределительной системе следует определять по формуле     </w:t>
      </w:r>
    </w:p>
    <w:p>
      <w:pPr>
        <w:pStyle w:val="Normal"/>
        <w:ind w:firstLine="225"/>
        <w:jc w:val="both"/>
        <w:rPr/>
      </w:pPr>
      <w:r>
        <w:rPr/>
      </w:r>
    </w:p>
    <w:p>
      <w:pPr>
        <w:pStyle w:val="Normal"/>
        <w:ind w:firstLine="225"/>
        <w:jc w:val="both"/>
        <w:rPr/>
      </w:pPr>
      <w:r>
        <w:rPr/>
      </w:r>
    </w:p>
    <w:p>
      <w:pPr>
        <w:pStyle w:val="Normal"/>
        <w:ind w:firstLine="270"/>
        <w:jc w:val="both"/>
        <w:rPr/>
      </w:pPr>
      <w:r>
        <w:rPr/>
        <w:drawing>
          <wp:inline distT="0" distB="0" distL="0" distR="0">
            <wp:extent cx="2856865" cy="207645"/>
            <wp:effectExtent l="0" t="0" r="0" b="0"/>
            <wp:docPr id="111" name="Изображение1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Изображение111" descr="" title=""/>
                    <pic:cNvPicPr>
                      <a:picLocks noChangeAspect="1" noChangeArrowheads="1"/>
                    </pic:cNvPicPr>
                  </pic:nvPicPr>
                  <pic:blipFill>
                    <a:blip r:embed="rId112"/>
                    <a:stretch>
                      <a:fillRect/>
                    </a:stretch>
                  </pic:blipFill>
                  <pic:spPr bwMode="auto">
                    <a:xfrm>
                      <a:off x="0" y="0"/>
                      <a:ext cx="2856865" cy="207645"/>
                    </a:xfrm>
                    <a:prstGeom prst="rect">
                      <a:avLst/>
                    </a:prstGeom>
                  </pic:spPr>
                </pic:pic>
              </a:graphicData>
            </a:graphic>
          </wp:inline>
        </w:drawing>
      </w:r>
    </w:p>
    <w:p>
      <w:pPr>
        <w:pStyle w:val="Normal"/>
        <w:ind w:firstLine="270"/>
        <w:jc w:val="both"/>
        <w:rPr/>
      </w:pPr>
      <w:r>
        <w:rPr/>
        <w:tab/>
        <w:tab/>
        <w:tab/>
        <w:t xml:space="preserve">     </w:t>
      </w:r>
    </w:p>
    <w:p>
      <w:pPr>
        <w:pStyle w:val="Normal"/>
        <w:ind w:firstLine="225"/>
        <w:jc w:val="both"/>
        <w:rPr/>
      </w:pPr>
      <w:r>
        <w:rPr/>
      </w:r>
    </w:p>
    <w:tbl>
      <w:tblPr>
        <w:tblW w:w="6735" w:type="dxa"/>
        <w:jc w:val="start"/>
        <w:tblInd w:w="165" w:type="dxa"/>
        <w:tblBorders/>
        <w:tblCellMar>
          <w:top w:w="0" w:type="dxa"/>
          <w:start w:w="15" w:type="dxa"/>
          <w:bottom w:w="0" w:type="dxa"/>
          <w:end w:w="15" w:type="dxa"/>
        </w:tblCellMar>
      </w:tblPr>
      <w:tblGrid>
        <w:gridCol w:w="450"/>
        <w:gridCol w:w="495"/>
        <w:gridCol w:w="5790"/>
      </w:tblGrid>
      <w:tr>
        <w:trPr/>
        <w:tc>
          <w:tcPr>
            <w:tcW w:w="450" w:type="dxa"/>
            <w:tcBorders/>
            <w:shd w:fill="auto" w:val="clear"/>
          </w:tcPr>
          <w:p>
            <w:pPr>
              <w:pStyle w:val="Normal"/>
              <w:rPr/>
            </w:pPr>
            <w:r>
              <w:rPr>
                <w:vanish/>
              </w:rPr>
              <w:t>#G0</w:t>
            </w:r>
            <w:r>
              <w:rPr/>
              <w:t xml:space="preserve">где </w:t>
            </w:r>
          </w:p>
          <w:p>
            <w:pPr>
              <w:pStyle w:val="Normal"/>
              <w:rPr/>
            </w:pPr>
            <w:r>
              <w:rPr/>
            </w:r>
          </w:p>
        </w:tc>
        <w:tc>
          <w:tcPr>
            <w:tcW w:w="495" w:type="dxa"/>
            <w:tcBorders/>
            <w:shd w:fill="auto" w:val="clear"/>
          </w:tcPr>
          <w:p>
            <w:pPr>
              <w:pStyle w:val="Normal"/>
              <w:rPr/>
            </w:pPr>
            <w:r>
              <w:rPr/>
              <w:drawing>
                <wp:inline distT="0" distB="0" distL="0" distR="0">
                  <wp:extent cx="172720" cy="184150"/>
                  <wp:effectExtent l="0" t="0" r="0" b="0"/>
                  <wp:docPr id="112" name="Изображение1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Изображение112" descr="" title=""/>
                          <pic:cNvPicPr>
                            <a:picLocks noChangeAspect="1" noChangeArrowheads="1"/>
                          </pic:cNvPicPr>
                        </pic:nvPicPr>
                        <pic:blipFill>
                          <a:blip r:embed="rId113"/>
                          <a:stretch>
                            <a:fillRect/>
                          </a:stretch>
                        </pic:blipFill>
                        <pic:spPr bwMode="auto">
                          <a:xfrm>
                            <a:off x="0" y="0"/>
                            <a:ext cx="172720" cy="184150"/>
                          </a:xfrm>
                          <a:prstGeom prst="rect">
                            <a:avLst/>
                          </a:prstGeom>
                        </pic:spPr>
                      </pic:pic>
                    </a:graphicData>
                  </a:graphic>
                </wp:inline>
              </w:drawing>
            </w:r>
          </w:p>
        </w:tc>
        <w:tc>
          <w:tcPr>
            <w:tcW w:w="5790" w:type="dxa"/>
            <w:tcBorders/>
            <w:shd w:fill="auto" w:val="clear"/>
          </w:tcPr>
          <w:p>
            <w:pPr>
              <w:pStyle w:val="Normal"/>
              <w:ind w:firstLine="45"/>
              <w:jc w:val="both"/>
              <w:rPr/>
            </w:pPr>
            <w:r>
              <w:rPr/>
              <w:t xml:space="preserve">- скорость в начале коллектора, м/с; </w:t>
            </w:r>
          </w:p>
          <w:p>
            <w:pPr>
              <w:pStyle w:val="Normal"/>
              <w:ind w:firstLine="45"/>
              <w:jc w:val="both"/>
              <w:rPr/>
            </w:pPr>
            <w:r>
              <w:rPr/>
            </w:r>
          </w:p>
        </w:tc>
      </w:tr>
    </w:tbl>
    <w:p>
      <w:pPr>
        <w:pStyle w:val="Normal"/>
        <w:ind w:firstLine="225"/>
        <w:jc w:val="both"/>
        <w:rPr/>
      </w:pPr>
      <w:r>
        <w:rPr/>
      </w:r>
    </w:p>
    <w:tbl>
      <w:tblPr>
        <w:tblW w:w="5505" w:type="dxa"/>
        <w:jc w:val="start"/>
        <w:tblInd w:w="555" w:type="dxa"/>
        <w:tblBorders/>
        <w:tblCellMar>
          <w:top w:w="0" w:type="dxa"/>
          <w:start w:w="15" w:type="dxa"/>
          <w:bottom w:w="0" w:type="dxa"/>
          <w:end w:w="15" w:type="dxa"/>
        </w:tblCellMar>
      </w:tblPr>
      <w:tblGrid>
        <w:gridCol w:w="435"/>
        <w:gridCol w:w="5070"/>
      </w:tblGrid>
      <w:tr>
        <w:trPr/>
        <w:tc>
          <w:tcPr>
            <w:tcW w:w="435" w:type="dxa"/>
            <w:tcBorders/>
            <w:shd w:fill="auto" w:val="clear"/>
          </w:tcPr>
          <w:p>
            <w:pPr>
              <w:pStyle w:val="Normal"/>
              <w:rPr>
                <w:sz w:val="24"/>
              </w:rPr>
            </w:pPr>
            <w:r>
              <w:rPr/>
              <w:drawing>
                <wp:inline distT="0" distB="0" distL="0" distR="0">
                  <wp:extent cx="230505" cy="184150"/>
                  <wp:effectExtent l="0" t="0" r="0" b="0"/>
                  <wp:docPr id="113" name="Изображение1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Изображение113" descr="" title=""/>
                          <pic:cNvPicPr>
                            <a:picLocks noChangeAspect="1" noChangeArrowheads="1"/>
                          </pic:cNvPicPr>
                        </pic:nvPicPr>
                        <pic:blipFill>
                          <a:blip r:embed="rId114"/>
                          <a:stretch>
                            <a:fillRect/>
                          </a:stretch>
                        </pic:blipFill>
                        <pic:spPr bwMode="auto">
                          <a:xfrm>
                            <a:off x="0" y="0"/>
                            <a:ext cx="230505" cy="184150"/>
                          </a:xfrm>
                          <a:prstGeom prst="rect">
                            <a:avLst/>
                          </a:prstGeom>
                        </pic:spPr>
                      </pic:pic>
                    </a:graphicData>
                  </a:graphic>
                </wp:inline>
              </w:drawing>
            </w:r>
          </w:p>
        </w:tc>
        <w:tc>
          <w:tcPr>
            <w:tcW w:w="5070" w:type="dxa"/>
            <w:tcBorders/>
            <w:shd w:fill="auto" w:val="clear"/>
          </w:tcPr>
          <w:p>
            <w:pPr>
              <w:pStyle w:val="Normal"/>
              <w:ind w:firstLine="45"/>
              <w:jc w:val="both"/>
              <w:rPr/>
            </w:pPr>
            <w:r>
              <w:rPr>
                <w:vanish/>
              </w:rPr>
              <w:t>#G0</w:t>
            </w:r>
            <w:r>
              <w:rPr/>
              <w:t>- средняя скорость на входе в ответвления, м/с;</w:t>
            </w:r>
          </w:p>
          <w:p>
            <w:pPr>
              <w:pStyle w:val="Normal"/>
              <w:ind w:firstLine="45"/>
              <w:jc w:val="both"/>
              <w:rPr/>
            </w:pPr>
            <w:r>
              <w:rPr/>
            </w:r>
          </w:p>
        </w:tc>
      </w:tr>
    </w:tbl>
    <w:p>
      <w:pPr>
        <w:pStyle w:val="Normal"/>
        <w:ind w:firstLine="315"/>
        <w:jc w:val="both"/>
        <w:rPr/>
      </w:pPr>
      <w:r>
        <w:rPr/>
      </w:r>
    </w:p>
    <w:tbl>
      <w:tblPr>
        <w:tblW w:w="7860" w:type="dxa"/>
        <w:jc w:val="start"/>
        <w:tblInd w:w="540" w:type="dxa"/>
        <w:tblBorders/>
        <w:tblCellMar>
          <w:top w:w="0" w:type="dxa"/>
          <w:start w:w="15" w:type="dxa"/>
          <w:bottom w:w="0" w:type="dxa"/>
          <w:end w:w="15" w:type="dxa"/>
        </w:tblCellMar>
      </w:tblPr>
      <w:tblGrid>
        <w:gridCol w:w="465"/>
        <w:gridCol w:w="7395"/>
      </w:tblGrid>
      <w:tr>
        <w:trPr/>
        <w:tc>
          <w:tcPr>
            <w:tcW w:w="465" w:type="dxa"/>
            <w:tcBorders/>
            <w:shd w:fill="auto" w:val="clear"/>
          </w:tcPr>
          <w:p>
            <w:pPr>
              <w:pStyle w:val="Normal"/>
              <w:rPr>
                <w:sz w:val="24"/>
              </w:rPr>
            </w:pPr>
            <w:r>
              <w:rPr/>
              <w:drawing>
                <wp:inline distT="0" distB="0" distL="0" distR="0">
                  <wp:extent cx="114935" cy="149860"/>
                  <wp:effectExtent l="0" t="0" r="0" b="0"/>
                  <wp:docPr id="114" name="Изображение1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Изображение114" descr="" title=""/>
                          <pic:cNvPicPr>
                            <a:picLocks noChangeAspect="1" noChangeArrowheads="1"/>
                          </pic:cNvPicPr>
                        </pic:nvPicPr>
                        <pic:blipFill>
                          <a:blip r:embed="rId115"/>
                          <a:stretch>
                            <a:fillRect/>
                          </a:stretch>
                        </pic:blipFill>
                        <pic:spPr bwMode="auto">
                          <a:xfrm>
                            <a:off x="0" y="0"/>
                            <a:ext cx="114935" cy="149860"/>
                          </a:xfrm>
                          <a:prstGeom prst="rect">
                            <a:avLst/>
                          </a:prstGeom>
                        </pic:spPr>
                      </pic:pic>
                    </a:graphicData>
                  </a:graphic>
                </wp:inline>
              </w:drawing>
            </w:r>
          </w:p>
        </w:tc>
        <w:tc>
          <w:tcPr>
            <w:tcW w:w="7395" w:type="dxa"/>
            <w:tcBorders/>
            <w:shd w:fill="auto" w:val="clear"/>
          </w:tcPr>
          <w:p>
            <w:pPr>
              <w:pStyle w:val="Normal"/>
              <w:ind w:firstLine="45"/>
              <w:jc w:val="both"/>
              <w:rPr/>
            </w:pPr>
            <w:r>
              <w:rPr>
                <w:vanish/>
              </w:rPr>
              <w:t>#G0</w:t>
            </w:r>
            <w:r>
              <w:rPr/>
              <w:t xml:space="preserve">- коэффициент гидравлического сопротивления, принимаемый согласно п. 6.86. </w:t>
            </w:r>
          </w:p>
          <w:p>
            <w:pPr>
              <w:pStyle w:val="Normal"/>
              <w:ind w:firstLine="45"/>
              <w:jc w:val="both"/>
              <w:rPr/>
            </w:pPr>
            <w:r>
              <w:rPr/>
            </w:r>
          </w:p>
          <w:p>
            <w:pPr>
              <w:pStyle w:val="Normal"/>
              <w:ind w:firstLine="45"/>
              <w:jc w:val="both"/>
              <w:rPr/>
            </w:pPr>
            <w:r>
              <w:rPr/>
            </w:r>
          </w:p>
        </w:tc>
      </w:tr>
    </w:tbl>
    <w:p>
      <w:pPr>
        <w:pStyle w:val="Normal"/>
        <w:ind w:firstLine="180"/>
        <w:jc w:val="both"/>
        <w:rPr/>
      </w:pPr>
      <w:r>
        <w:rPr/>
      </w:r>
    </w:p>
    <w:p>
      <w:pPr>
        <w:pStyle w:val="Normal"/>
        <w:ind w:firstLine="225"/>
        <w:jc w:val="both"/>
        <w:rPr/>
      </w:pPr>
      <w:r>
        <w:rPr/>
        <w:t>Потеря напора в распределительной системе при промывке фильтра не должна превышать 7 м вод. ст.</w:t>
      </w:r>
    </w:p>
    <w:p>
      <w:pPr>
        <w:pStyle w:val="Normal"/>
        <w:ind w:firstLine="225"/>
        <w:jc w:val="both"/>
        <w:rPr/>
      </w:pPr>
      <w:r>
        <w:rPr/>
      </w:r>
    </w:p>
    <w:p>
      <w:pPr>
        <w:pStyle w:val="Normal"/>
        <w:ind w:firstLine="270"/>
        <w:jc w:val="both"/>
        <w:rPr/>
      </w:pPr>
      <w:r>
        <w:rPr/>
        <w:t>6.106. Площадь поперечного сечения коллектора трубчатой распределительной системы следует принимать постоянной по длине. Скорость движения воды при промывке следует принимать: в начале коллектора 0,8 - 1,2 м/с, в начале ответвлений 1,6-2 м/с.</w:t>
      </w:r>
    </w:p>
    <w:p>
      <w:pPr>
        <w:pStyle w:val="Normal"/>
        <w:ind w:firstLine="225"/>
        <w:jc w:val="both"/>
        <w:rPr/>
      </w:pPr>
      <w:r>
        <w:rPr/>
      </w:r>
    </w:p>
    <w:p>
      <w:pPr>
        <w:pStyle w:val="Normal"/>
        <w:ind w:firstLine="270"/>
        <w:jc w:val="both"/>
        <w:rPr/>
      </w:pPr>
      <w:r>
        <w:rPr/>
        <w:t>Конструкция коллектора должна обеспечивать возможность укладки ответвлений горизонтально и с одинаковым шагом.</w:t>
      </w:r>
    </w:p>
    <w:p>
      <w:pPr>
        <w:pStyle w:val="Normal"/>
        <w:ind w:firstLine="225"/>
        <w:jc w:val="both"/>
        <w:rPr/>
      </w:pPr>
      <w:r>
        <w:rPr/>
      </w:r>
    </w:p>
    <w:p>
      <w:pPr>
        <w:pStyle w:val="Normal"/>
        <w:ind w:firstLine="270"/>
        <w:jc w:val="both"/>
        <w:rPr/>
      </w:pPr>
      <w:r>
        <w:rPr/>
        <w:t>6.107. Допускается применять распределительную систему без поддерживающих слоев в виде каналов, располагаемых перпендикулярно коллектору (сбросному каналу) и перекрываемых сверху полимербетонными плитами толщиной не менее 40 мм.</w:t>
      </w:r>
    </w:p>
    <w:p>
      <w:pPr>
        <w:pStyle w:val="Normal"/>
        <w:ind w:firstLine="225"/>
        <w:jc w:val="both"/>
        <w:rPr/>
      </w:pPr>
      <w:r>
        <w:rPr/>
      </w:r>
    </w:p>
    <w:p>
      <w:pPr>
        <w:pStyle w:val="Normal"/>
        <w:ind w:firstLine="270"/>
        <w:jc w:val="both"/>
        <w:rPr/>
      </w:pPr>
      <w:r>
        <w:rPr/>
        <w:t>6.108. Распределительную систему с колпачками надлежит принимать при водяной и воздушной промывке; количество колпачков должно быть 35-50 на 1 кв.м рабочей площади фильтра.</w:t>
      </w:r>
    </w:p>
    <w:p>
      <w:pPr>
        <w:pStyle w:val="Normal"/>
        <w:ind w:firstLine="225"/>
        <w:jc w:val="both"/>
        <w:rPr/>
      </w:pPr>
      <w:r>
        <w:rPr/>
      </w:r>
    </w:p>
    <w:p>
      <w:pPr>
        <w:pStyle w:val="Normal"/>
        <w:ind w:firstLine="270"/>
        <w:jc w:val="both"/>
        <w:rPr/>
      </w:pPr>
      <w:r>
        <w:rPr/>
        <w:t xml:space="preserve">Потерю напора в щелевых колпачках следует определять по формуле (8), принимая скорость движения воды или водовоздушной смеси в щелях колпачка не менее 1,5 м/с и коэффициент гидравлического </w:t>
      </w:r>
    </w:p>
    <w:tbl>
      <w:tblPr>
        <w:tblW w:w="2100" w:type="dxa"/>
        <w:jc w:val="start"/>
        <w:tblInd w:w="15" w:type="dxa"/>
        <w:tblBorders/>
        <w:tblCellMar>
          <w:top w:w="0" w:type="dxa"/>
          <w:start w:w="15" w:type="dxa"/>
          <w:bottom w:w="0" w:type="dxa"/>
          <w:end w:w="15" w:type="dxa"/>
        </w:tblCellMar>
      </w:tblPr>
      <w:tblGrid>
        <w:gridCol w:w="1335"/>
        <w:gridCol w:w="345"/>
        <w:gridCol w:w="420"/>
      </w:tblGrid>
      <w:tr>
        <w:trPr/>
        <w:tc>
          <w:tcPr>
            <w:tcW w:w="1335" w:type="dxa"/>
            <w:tcBorders/>
            <w:shd w:fill="auto" w:val="clear"/>
          </w:tcPr>
          <w:p>
            <w:pPr>
              <w:pStyle w:val="Normal"/>
              <w:jc w:val="both"/>
              <w:rPr/>
            </w:pPr>
            <w:r>
              <w:rPr>
                <w:vanish/>
              </w:rPr>
              <w:t>#G0</w:t>
            </w:r>
            <w:r>
              <w:rPr/>
              <w:t xml:space="preserve">сопротивления   </w:t>
            </w:r>
          </w:p>
          <w:p>
            <w:pPr>
              <w:pStyle w:val="Normal"/>
              <w:jc w:val="both"/>
              <w:rPr/>
            </w:pPr>
            <w:r>
              <w:rPr/>
            </w:r>
          </w:p>
        </w:tc>
        <w:tc>
          <w:tcPr>
            <w:tcW w:w="345" w:type="dxa"/>
            <w:tcBorders/>
            <w:shd w:fill="auto" w:val="clear"/>
          </w:tcPr>
          <w:p>
            <w:pPr>
              <w:pStyle w:val="Normal"/>
              <w:rPr/>
            </w:pPr>
            <w:r>
              <w:rPr/>
              <w:drawing>
                <wp:inline distT="0" distB="0" distL="0" distR="0">
                  <wp:extent cx="114935" cy="149860"/>
                  <wp:effectExtent l="0" t="0" r="0" b="0"/>
                  <wp:docPr id="115" name="Изображение1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115" descr="" title=""/>
                          <pic:cNvPicPr>
                            <a:picLocks noChangeAspect="1" noChangeArrowheads="1"/>
                          </pic:cNvPicPr>
                        </pic:nvPicPr>
                        <pic:blipFill>
                          <a:blip r:embed="rId116"/>
                          <a:stretch>
                            <a:fillRect/>
                          </a:stretch>
                        </pic:blipFill>
                        <pic:spPr bwMode="auto">
                          <a:xfrm>
                            <a:off x="0" y="0"/>
                            <a:ext cx="114935" cy="149860"/>
                          </a:xfrm>
                          <a:prstGeom prst="rect">
                            <a:avLst/>
                          </a:prstGeom>
                        </pic:spPr>
                      </pic:pic>
                    </a:graphicData>
                  </a:graphic>
                </wp:inline>
              </w:drawing>
            </w:r>
          </w:p>
        </w:tc>
        <w:tc>
          <w:tcPr>
            <w:tcW w:w="420" w:type="dxa"/>
            <w:tcBorders/>
            <w:shd w:fill="auto" w:val="clear"/>
          </w:tcPr>
          <w:p>
            <w:pPr>
              <w:pStyle w:val="Normal"/>
              <w:rPr/>
            </w:pPr>
            <w:r>
              <w:rPr/>
              <w:t xml:space="preserve"> </w:t>
            </w:r>
            <w:r>
              <w:rPr/>
              <w:t>=4.</w:t>
            </w:r>
          </w:p>
          <w:p>
            <w:pPr>
              <w:pStyle w:val="Normal"/>
              <w:rPr/>
            </w:pPr>
            <w:r>
              <w:rPr/>
            </w:r>
          </w:p>
        </w:tc>
      </w:tr>
    </w:tbl>
    <w:p>
      <w:pPr>
        <w:pStyle w:val="Normal"/>
        <w:jc w:val="both"/>
        <w:rPr/>
      </w:pPr>
      <w:r>
        <w:rPr/>
      </w:r>
    </w:p>
    <w:p>
      <w:pPr>
        <w:pStyle w:val="Normal"/>
        <w:ind w:firstLine="225"/>
        <w:jc w:val="both"/>
        <w:rPr/>
      </w:pPr>
      <w:r>
        <w:rPr/>
        <w:t>6.109. Для удаления воздуха из трубопровода, подающего воду на промывку фильтров, следует предусматривать стояки-воздушники диаметром 75-150 мм с установкой на них запорной арматуры или автоматических устройств для выпуска воздуха; на коллекторе фильтра надлежит также предусматривать стояки-воздушники диаметром 50-75 мм, количество которых следует принимать при площади фильтра до 50 кв.м - один, при большей площади - два (в начале и конце коллектора), с установкой на стояках вентилей или других устройств для выпуска воздуха.</w:t>
      </w:r>
    </w:p>
    <w:p>
      <w:pPr>
        <w:pStyle w:val="Normal"/>
        <w:ind w:firstLine="225"/>
        <w:jc w:val="both"/>
        <w:rPr/>
      </w:pPr>
      <w:r>
        <w:rPr/>
      </w:r>
    </w:p>
    <w:p>
      <w:pPr>
        <w:pStyle w:val="Normal"/>
        <w:ind w:firstLine="270"/>
        <w:jc w:val="both"/>
        <w:rPr/>
      </w:pPr>
      <w:r>
        <w:rPr/>
        <w:t>Трубопровод, подающий воду на промывку фильтров, надлежит располагать ниже кромки желобов фильтров.</w:t>
      </w:r>
    </w:p>
    <w:p>
      <w:pPr>
        <w:pStyle w:val="Normal"/>
        <w:ind w:firstLine="225"/>
        <w:jc w:val="both"/>
        <w:rPr/>
      </w:pPr>
      <w:r>
        <w:rPr/>
      </w:r>
    </w:p>
    <w:p>
      <w:pPr>
        <w:pStyle w:val="Normal"/>
        <w:ind w:firstLine="270"/>
        <w:jc w:val="both"/>
        <w:rPr/>
      </w:pPr>
      <w:r>
        <w:rPr/>
        <w:t>Опорожнение фильтра необходимо предусматривать через распределительную систему и отдельную спускную трубу диаметром 100-200 мм (в зависимости от площади фильтра) с задвижкой.</w:t>
      </w:r>
    </w:p>
    <w:p>
      <w:pPr>
        <w:pStyle w:val="Normal"/>
        <w:ind w:firstLine="225"/>
        <w:jc w:val="both"/>
        <w:rPr/>
      </w:pPr>
      <w:r>
        <w:rPr/>
      </w:r>
    </w:p>
    <w:p>
      <w:pPr>
        <w:pStyle w:val="Normal"/>
        <w:ind w:firstLine="270"/>
        <w:jc w:val="both"/>
        <w:rPr/>
      </w:pPr>
      <w:r>
        <w:rPr/>
        <w:t>6.110. Для промывки фильтрующей загрузки надлежит применять воду, очищенную на фильтрах. Допускается применение верхней промывки с распределительной системой над поверхностью загрузки фильтров.</w:t>
      </w:r>
    </w:p>
    <w:p>
      <w:pPr>
        <w:pStyle w:val="Normal"/>
        <w:ind w:firstLine="225"/>
        <w:jc w:val="both"/>
        <w:rPr/>
      </w:pPr>
      <w:r>
        <w:rPr/>
      </w:r>
    </w:p>
    <w:p>
      <w:pPr>
        <w:pStyle w:val="Normal"/>
        <w:ind w:firstLine="270"/>
        <w:jc w:val="both"/>
        <w:rPr/>
      </w:pPr>
      <w:r>
        <w:rPr/>
        <w:t>Параметры промывки водой загрузки из кварцевого песка следует принимать по табл. 23.</w:t>
      </w:r>
    </w:p>
    <w:p>
      <w:pPr>
        <w:pStyle w:val="Normal"/>
        <w:ind w:firstLine="270"/>
        <w:jc w:val="both"/>
        <w:rPr/>
      </w:pPr>
      <w:r>
        <w:rPr/>
      </w:r>
    </w:p>
    <w:p>
      <w:pPr>
        <w:pStyle w:val="Normal"/>
        <w:jc w:val="end"/>
        <w:rPr/>
      </w:pPr>
      <w:r>
        <w:rPr/>
        <w:t xml:space="preserve">Таблица 23 </w:t>
      </w:r>
    </w:p>
    <w:p>
      <w:pPr>
        <w:pStyle w:val="Normal"/>
        <w:ind w:firstLine="270"/>
        <w:jc w:val="both"/>
        <w:rPr/>
      </w:pPr>
      <w:r>
        <w:rPr/>
      </w:r>
    </w:p>
    <w:p>
      <w:pPr>
        <w:pStyle w:val="Normal"/>
        <w:ind w:firstLine="270"/>
        <w:jc w:val="both"/>
        <w:rPr/>
      </w:pPr>
      <w:r>
        <w:rPr/>
      </w:r>
    </w:p>
    <w:tbl>
      <w:tblPr>
        <w:tblW w:w="7055" w:type="dxa"/>
        <w:jc w:val="start"/>
        <w:tblInd w:w="105" w:type="dxa"/>
        <w:tblBorders>
          <w:top w:val="single" w:sz="2" w:space="0" w:color="000000"/>
          <w:start w:val="single" w:sz="2" w:space="0" w:color="000000"/>
          <w:bottom w:val="single" w:sz="2" w:space="0" w:color="000000"/>
          <w:insideH w:val="single" w:sz="2" w:space="0" w:color="000000"/>
        </w:tblBorders>
        <w:tblCellMar>
          <w:top w:w="0" w:type="dxa"/>
          <w:start w:w="102" w:type="dxa"/>
          <w:bottom w:w="0" w:type="dxa"/>
          <w:end w:w="105" w:type="dxa"/>
        </w:tblCellMar>
      </w:tblPr>
      <w:tblGrid>
        <w:gridCol w:w="1950"/>
        <w:gridCol w:w="1500"/>
        <w:gridCol w:w="2040"/>
        <w:gridCol w:w="1565"/>
      </w:tblGrid>
      <w:tr>
        <w:trPr/>
        <w:tc>
          <w:tcPr>
            <w:tcW w:w="195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vanish/>
              </w:rPr>
              <w:t>#G0</w:t>
            </w:r>
            <w:r>
              <w:rPr/>
              <w:t xml:space="preserve">Фильтры и их загрузка </w:t>
            </w:r>
          </w:p>
          <w:p>
            <w:pPr>
              <w:pStyle w:val="Normal"/>
              <w:jc w:val="center"/>
              <w:rPr/>
            </w:pPr>
            <w:r>
              <w:rPr/>
            </w:r>
          </w:p>
        </w:tc>
        <w:tc>
          <w:tcPr>
            <w:tcW w:w="150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Интенсивность промывки, </w:t>
            </w:r>
          </w:p>
          <w:p>
            <w:pPr>
              <w:pStyle w:val="Normal"/>
              <w:rPr/>
            </w:pPr>
            <w:r>
              <w:rPr/>
              <w:t>л/(с·кв.м)</w:t>
            </w:r>
          </w:p>
          <w:p>
            <w:pPr>
              <w:pStyle w:val="Normal"/>
              <w:rPr/>
            </w:pPr>
            <w:r>
              <w:rPr/>
            </w:r>
          </w:p>
        </w:tc>
        <w:tc>
          <w:tcPr>
            <w:tcW w:w="204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Продолжительность промывки, мин </w:t>
            </w:r>
          </w:p>
          <w:p>
            <w:pPr>
              <w:pStyle w:val="Normal"/>
              <w:rPr/>
            </w:pPr>
            <w:r>
              <w:rPr/>
            </w:r>
          </w:p>
        </w:tc>
        <w:tc>
          <w:tcPr>
            <w:tcW w:w="156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Величина относительного расширения загрузки, %</w:t>
            </w:r>
          </w:p>
          <w:p>
            <w:pPr>
              <w:pStyle w:val="Normal"/>
              <w:rPr/>
            </w:pPr>
            <w:r>
              <w:rPr/>
            </w:r>
          </w:p>
        </w:tc>
      </w:tr>
      <w:tr>
        <w:trPr/>
        <w:tc>
          <w:tcPr>
            <w:tcW w:w="1950" w:type="dxa"/>
            <w:tcBorders>
              <w:start w:val="single" w:sz="2" w:space="0" w:color="000000"/>
            </w:tcBorders>
            <w:shd w:fill="auto" w:val="clear"/>
            <w:tcMar>
              <w:start w:w="102" w:type="dxa"/>
            </w:tcMar>
          </w:tcPr>
          <w:p>
            <w:pPr>
              <w:pStyle w:val="Normal"/>
              <w:jc w:val="both"/>
              <w:rPr/>
            </w:pPr>
            <w:r>
              <w:rPr/>
              <w:t>Скорые с однослойной загрузкой диаметром D, мм:</w:t>
            </w:r>
          </w:p>
          <w:p>
            <w:pPr>
              <w:pStyle w:val="Normal"/>
              <w:jc w:val="both"/>
              <w:rPr/>
            </w:pPr>
            <w:r>
              <w:rPr/>
            </w:r>
          </w:p>
          <w:p>
            <w:pPr>
              <w:pStyle w:val="Normal"/>
              <w:jc w:val="both"/>
              <w:rPr/>
            </w:pPr>
            <w:r>
              <w:rPr/>
            </w:r>
          </w:p>
        </w:tc>
        <w:tc>
          <w:tcPr>
            <w:tcW w:w="1500" w:type="dxa"/>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tc>
        <w:tc>
          <w:tcPr>
            <w:tcW w:w="2040"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p>
            <w:pPr>
              <w:pStyle w:val="Normal"/>
              <w:rPr/>
            </w:pPr>
            <w:r>
              <w:rPr/>
            </w:r>
          </w:p>
        </w:tc>
        <w:tc>
          <w:tcPr>
            <w:tcW w:w="1565" w:type="dxa"/>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c>
      </w:tr>
      <w:tr>
        <w:trPr/>
        <w:tc>
          <w:tcPr>
            <w:tcW w:w="1950" w:type="dxa"/>
            <w:tcBorders>
              <w:start w:val="single" w:sz="2" w:space="0" w:color="000000"/>
            </w:tcBorders>
            <w:shd w:fill="auto" w:val="clear"/>
            <w:tcMar>
              <w:start w:w="102" w:type="dxa"/>
            </w:tcMar>
          </w:tcPr>
          <w:p>
            <w:pPr>
              <w:pStyle w:val="Normal"/>
              <w:ind w:firstLine="180"/>
              <w:jc w:val="both"/>
              <w:rPr/>
            </w:pPr>
            <w:r>
              <w:rPr/>
              <w:t xml:space="preserve">0,7 - 0,8 </w:t>
            </w:r>
          </w:p>
          <w:p>
            <w:pPr>
              <w:pStyle w:val="Normal"/>
              <w:ind w:firstLine="180"/>
              <w:jc w:val="both"/>
              <w:rPr/>
            </w:pPr>
            <w:r>
              <w:rPr/>
            </w:r>
          </w:p>
        </w:tc>
        <w:tc>
          <w:tcPr>
            <w:tcW w:w="1500" w:type="dxa"/>
            <w:tcBorders>
              <w:start w:val="single" w:sz="2" w:space="0" w:color="000000"/>
            </w:tcBorders>
            <w:shd w:fill="auto" w:val="clear"/>
            <w:tcMar>
              <w:start w:w="102" w:type="dxa"/>
            </w:tcMar>
          </w:tcPr>
          <w:p>
            <w:pPr>
              <w:pStyle w:val="Normal"/>
              <w:jc w:val="center"/>
              <w:rPr/>
            </w:pPr>
            <w:r>
              <w:rPr/>
              <w:t xml:space="preserve">12 -  14 </w:t>
            </w:r>
          </w:p>
          <w:p>
            <w:pPr>
              <w:pStyle w:val="Normal"/>
              <w:jc w:val="center"/>
              <w:rPr/>
            </w:pPr>
            <w:r>
              <w:rPr/>
            </w:r>
          </w:p>
        </w:tc>
        <w:tc>
          <w:tcPr>
            <w:tcW w:w="2040" w:type="dxa"/>
            <w:tcBorders>
              <w:start w:val="single" w:sz="2" w:space="0" w:color="000000"/>
            </w:tcBorders>
            <w:shd w:fill="auto" w:val="clear"/>
            <w:tcMar>
              <w:start w:w="102" w:type="dxa"/>
            </w:tcMar>
          </w:tcPr>
          <w:p>
            <w:pPr>
              <w:pStyle w:val="Normal"/>
              <w:snapToGrid w:val="false"/>
              <w:rPr/>
            </w:pPr>
            <w:r>
              <w:rPr/>
            </w:r>
          </w:p>
          <w:p>
            <w:pPr>
              <w:pStyle w:val="Normal"/>
              <w:rPr/>
            </w:pPr>
            <w:r>
              <w:rPr/>
            </w:r>
          </w:p>
        </w:tc>
        <w:tc>
          <w:tcPr>
            <w:tcW w:w="1565"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t xml:space="preserve">45  </w:t>
            </w:r>
          </w:p>
          <w:p>
            <w:pPr>
              <w:pStyle w:val="Normal"/>
              <w:jc w:val="center"/>
              <w:rPr/>
            </w:pPr>
            <w:r>
              <w:rPr/>
            </w:r>
          </w:p>
        </w:tc>
      </w:tr>
      <w:tr>
        <w:trPr/>
        <w:tc>
          <w:tcPr>
            <w:tcW w:w="1950" w:type="dxa"/>
            <w:tcBorders>
              <w:start w:val="single" w:sz="2" w:space="0" w:color="000000"/>
            </w:tcBorders>
            <w:shd w:fill="auto" w:val="clear"/>
            <w:tcMar>
              <w:start w:w="102" w:type="dxa"/>
            </w:tcMar>
          </w:tcPr>
          <w:p>
            <w:pPr>
              <w:pStyle w:val="Normal"/>
              <w:ind w:firstLine="180"/>
              <w:jc w:val="both"/>
              <w:rPr/>
            </w:pPr>
            <w:r>
              <w:rPr/>
              <w:t xml:space="preserve">0,8 - 1 </w:t>
            </w:r>
          </w:p>
          <w:p>
            <w:pPr>
              <w:pStyle w:val="Normal"/>
              <w:ind w:firstLine="180"/>
              <w:jc w:val="both"/>
              <w:rPr/>
            </w:pPr>
            <w:r>
              <w:rPr/>
            </w:r>
          </w:p>
        </w:tc>
        <w:tc>
          <w:tcPr>
            <w:tcW w:w="1500" w:type="dxa"/>
            <w:tcBorders>
              <w:start w:val="single" w:sz="2" w:space="0" w:color="000000"/>
            </w:tcBorders>
            <w:shd w:fill="auto" w:val="clear"/>
            <w:tcMar>
              <w:start w:w="102" w:type="dxa"/>
            </w:tcMar>
          </w:tcPr>
          <w:p>
            <w:pPr>
              <w:pStyle w:val="Normal"/>
              <w:jc w:val="center"/>
              <w:rPr/>
            </w:pPr>
            <w:r>
              <w:rPr/>
              <w:t xml:space="preserve">14 - 16 </w:t>
            </w:r>
          </w:p>
          <w:p>
            <w:pPr>
              <w:pStyle w:val="Normal"/>
              <w:jc w:val="center"/>
              <w:rPr/>
            </w:pPr>
            <w:r>
              <w:rPr/>
            </w:r>
          </w:p>
        </w:tc>
        <w:tc>
          <w:tcPr>
            <w:tcW w:w="2040" w:type="dxa"/>
            <w:tcBorders>
              <w:start w:val="single" w:sz="2" w:space="0" w:color="000000"/>
            </w:tcBorders>
            <w:shd w:fill="auto" w:val="clear"/>
            <w:tcMar>
              <w:start w:w="102" w:type="dxa"/>
            </w:tcMar>
          </w:tcPr>
          <w:p>
            <w:pPr>
              <w:pStyle w:val="Normal"/>
              <w:rPr/>
            </w:pPr>
            <w:r>
              <w:rPr/>
              <w:t xml:space="preserve">6 - 5 </w:t>
            </w:r>
          </w:p>
          <w:p>
            <w:pPr>
              <w:pStyle w:val="Normal"/>
              <w:rPr/>
            </w:pPr>
            <w:r>
              <w:rPr/>
            </w:r>
          </w:p>
        </w:tc>
        <w:tc>
          <w:tcPr>
            <w:tcW w:w="156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30 </w:t>
            </w:r>
          </w:p>
          <w:p>
            <w:pPr>
              <w:pStyle w:val="Normal"/>
              <w:rPr/>
            </w:pPr>
            <w:r>
              <w:rPr/>
            </w:r>
          </w:p>
        </w:tc>
      </w:tr>
      <w:tr>
        <w:trPr/>
        <w:tc>
          <w:tcPr>
            <w:tcW w:w="1950" w:type="dxa"/>
            <w:tcBorders>
              <w:start w:val="single" w:sz="2" w:space="0" w:color="000000"/>
            </w:tcBorders>
            <w:shd w:fill="auto" w:val="clear"/>
            <w:tcMar>
              <w:start w:w="102" w:type="dxa"/>
            </w:tcMar>
          </w:tcPr>
          <w:p>
            <w:pPr>
              <w:pStyle w:val="Normal"/>
              <w:ind w:firstLine="180"/>
              <w:jc w:val="both"/>
              <w:rPr/>
            </w:pPr>
            <w:r>
              <w:rPr/>
              <w:t xml:space="preserve">1 - 1,2 </w:t>
            </w:r>
          </w:p>
          <w:p>
            <w:pPr>
              <w:pStyle w:val="Normal"/>
              <w:ind w:firstLine="180"/>
              <w:jc w:val="both"/>
              <w:rPr/>
            </w:pPr>
            <w:r>
              <w:rPr/>
            </w:r>
          </w:p>
        </w:tc>
        <w:tc>
          <w:tcPr>
            <w:tcW w:w="1500" w:type="dxa"/>
            <w:tcBorders>
              <w:start w:val="single" w:sz="2" w:space="0" w:color="000000"/>
            </w:tcBorders>
            <w:shd w:fill="auto" w:val="clear"/>
            <w:tcMar>
              <w:start w:w="102" w:type="dxa"/>
            </w:tcMar>
          </w:tcPr>
          <w:p>
            <w:pPr>
              <w:pStyle w:val="Normal"/>
              <w:jc w:val="center"/>
              <w:rPr/>
            </w:pPr>
            <w:r>
              <w:rPr/>
              <w:t xml:space="preserve">16  - 18 </w:t>
            </w:r>
          </w:p>
          <w:p>
            <w:pPr>
              <w:pStyle w:val="Normal"/>
              <w:jc w:val="center"/>
              <w:rPr/>
            </w:pPr>
            <w:r>
              <w:rPr/>
            </w:r>
          </w:p>
        </w:tc>
        <w:tc>
          <w:tcPr>
            <w:tcW w:w="2040"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1565"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t xml:space="preserve">25 </w:t>
            </w:r>
          </w:p>
          <w:p>
            <w:pPr>
              <w:pStyle w:val="Normal"/>
              <w:jc w:val="center"/>
              <w:rPr/>
            </w:pPr>
            <w:r>
              <w:rPr/>
            </w:r>
          </w:p>
        </w:tc>
      </w:tr>
      <w:tr>
        <w:trPr/>
        <w:tc>
          <w:tcPr>
            <w:tcW w:w="1950" w:type="dxa"/>
            <w:tcBorders>
              <w:start w:val="single" w:sz="2" w:space="0" w:color="000000"/>
            </w:tcBorders>
            <w:shd w:fill="auto" w:val="clear"/>
            <w:tcMar>
              <w:start w:w="102" w:type="dxa"/>
            </w:tcMar>
          </w:tcPr>
          <w:p>
            <w:pPr>
              <w:pStyle w:val="Normal"/>
              <w:jc w:val="both"/>
              <w:rPr/>
            </w:pPr>
            <w:r>
              <w:rPr/>
              <w:t xml:space="preserve">Скорые с </w:t>
            </w:r>
          </w:p>
          <w:p>
            <w:pPr>
              <w:pStyle w:val="Normal"/>
              <w:jc w:val="both"/>
              <w:rPr/>
            </w:pPr>
            <w:r>
              <w:rPr/>
            </w:r>
          </w:p>
        </w:tc>
        <w:tc>
          <w:tcPr>
            <w:tcW w:w="1500" w:type="dxa"/>
            <w:tcBorders>
              <w:start w:val="single" w:sz="2" w:space="0" w:color="000000"/>
            </w:tcBorders>
            <w:shd w:fill="auto" w:val="clear"/>
            <w:tcMar>
              <w:start w:w="102" w:type="dxa"/>
            </w:tcMar>
          </w:tcPr>
          <w:p>
            <w:pPr>
              <w:pStyle w:val="Normal"/>
              <w:jc w:val="center"/>
              <w:rPr/>
            </w:pPr>
            <w:r>
              <w:rPr/>
              <w:t xml:space="preserve">14  - 16 </w:t>
            </w:r>
          </w:p>
          <w:p>
            <w:pPr>
              <w:pStyle w:val="Normal"/>
              <w:jc w:val="center"/>
              <w:rPr/>
            </w:pPr>
            <w:r>
              <w:rPr/>
            </w:r>
          </w:p>
        </w:tc>
        <w:tc>
          <w:tcPr>
            <w:tcW w:w="2040" w:type="dxa"/>
            <w:tcBorders>
              <w:start w:val="single" w:sz="2" w:space="0" w:color="000000"/>
            </w:tcBorders>
            <w:shd w:fill="auto" w:val="clear"/>
            <w:tcMar>
              <w:start w:w="102" w:type="dxa"/>
            </w:tcMar>
          </w:tcPr>
          <w:p>
            <w:pPr>
              <w:pStyle w:val="Normal"/>
              <w:rPr/>
            </w:pPr>
            <w:r>
              <w:rPr/>
              <w:t xml:space="preserve">7  - 6 </w:t>
            </w:r>
          </w:p>
          <w:p>
            <w:pPr>
              <w:pStyle w:val="Normal"/>
              <w:rPr/>
            </w:pPr>
            <w:r>
              <w:rPr/>
            </w:r>
          </w:p>
        </w:tc>
        <w:tc>
          <w:tcPr>
            <w:tcW w:w="156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50 </w:t>
            </w:r>
          </w:p>
          <w:p>
            <w:pPr>
              <w:pStyle w:val="Normal"/>
              <w:rPr/>
            </w:pPr>
            <w:r>
              <w:rPr/>
            </w:r>
          </w:p>
        </w:tc>
      </w:tr>
      <w:tr>
        <w:trPr/>
        <w:tc>
          <w:tcPr>
            <w:tcW w:w="1950" w:type="dxa"/>
            <w:tcBorders>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двухслойной загрузкой </w:t>
            </w:r>
          </w:p>
          <w:p>
            <w:pPr>
              <w:pStyle w:val="Normal"/>
              <w:rPr/>
            </w:pPr>
            <w:r>
              <w:rPr/>
              <w:t xml:space="preserve">  </w:t>
            </w:r>
          </w:p>
          <w:p>
            <w:pPr>
              <w:pStyle w:val="Normal"/>
              <w:rPr/>
            </w:pPr>
            <w:r>
              <w:rPr/>
            </w:r>
          </w:p>
        </w:tc>
        <w:tc>
          <w:tcPr>
            <w:tcW w:w="15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204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156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  </w:t>
            </w:r>
          </w:p>
          <w:p>
            <w:pPr>
              <w:pStyle w:val="Normal"/>
              <w:rPr/>
            </w:pPr>
            <w:r>
              <w:rPr/>
            </w:r>
          </w:p>
        </w:tc>
      </w:tr>
    </w:tbl>
    <w:p>
      <w:pPr>
        <w:pStyle w:val="Normal"/>
        <w:jc w:val="both"/>
        <w:rPr/>
      </w:pPr>
      <w:r>
        <w:rPr/>
      </w:r>
    </w:p>
    <w:p>
      <w:pPr>
        <w:pStyle w:val="Normal"/>
        <w:ind w:firstLine="270"/>
        <w:jc w:val="both"/>
        <w:rPr/>
      </w:pPr>
      <w:r>
        <w:rPr/>
        <w:t>Примечания: 1. Большим значениям интенсивности промывки соответствуют меньшие значения продолжительности .</w:t>
      </w:r>
    </w:p>
    <w:p>
      <w:pPr>
        <w:pStyle w:val="Normal"/>
        <w:ind w:firstLine="270"/>
        <w:jc w:val="both"/>
        <w:rPr/>
      </w:pPr>
      <w:r>
        <w:rPr/>
      </w:r>
    </w:p>
    <w:p>
      <w:pPr>
        <w:pStyle w:val="Normal"/>
        <w:ind w:firstLine="270"/>
        <w:jc w:val="both"/>
        <w:rPr/>
      </w:pPr>
      <w:r>
        <w:rPr/>
        <w:t>2. При неподвижном устройстве для верхней промывки интенсивность ее следует принимать 3-4 л/(с·кв.м), напор 30-40 м. Продолжительность промывки 5-8 мин, из них 2-3 мин до проведения нижней промывки. Распределительные трубы следует располагать на расстоянии 60-80 мм от поверхности загрузки через каждые 700-1000 мм. Расстояние между отверстиями в распределительных трубах или между насадками необходимо принимать 80-100 мм. При вращающемся устройстве интенсивность промывки следует принимать 0,5-0,75 л/(с·кв.м), напор 40-45 м.</w:t>
      </w:r>
    </w:p>
    <w:p>
      <w:pPr>
        <w:pStyle w:val="Normal"/>
        <w:ind w:firstLine="270"/>
        <w:jc w:val="both"/>
        <w:rPr/>
      </w:pPr>
      <w:r>
        <w:rPr/>
      </w:r>
    </w:p>
    <w:p>
      <w:pPr>
        <w:pStyle w:val="Normal"/>
        <w:ind w:firstLine="270"/>
        <w:jc w:val="both"/>
        <w:rPr/>
      </w:pPr>
      <w:r>
        <w:rPr/>
        <w:t>При загрузке керамзитом интенсивность промывки следует принимать 12-15 л/(с·кв.м) в зависимости от марки керамзита (большие интенсивности относятся к керамзитам большей плотности).</w:t>
      </w:r>
    </w:p>
    <w:p>
      <w:pPr>
        <w:pStyle w:val="Normal"/>
        <w:ind w:firstLine="225"/>
        <w:jc w:val="both"/>
        <w:rPr/>
      </w:pPr>
      <w:r>
        <w:rPr/>
      </w:r>
    </w:p>
    <w:p>
      <w:pPr>
        <w:pStyle w:val="Normal"/>
        <w:ind w:firstLine="270"/>
        <w:jc w:val="both"/>
        <w:rPr/>
      </w:pPr>
      <w:r>
        <w:rPr/>
        <w:t>6.111. Для сбора и отведения промывной воды следует предусматривать желоба полукруглого или пятиугольного сечения. Расстояние между осями соседних желобов должно быть не более 2,2 м. Ширину желоба Вжел надлежит определять по формуле</w:t>
      </w:r>
    </w:p>
    <w:p>
      <w:pPr>
        <w:pStyle w:val="Normal"/>
        <w:ind w:firstLine="225"/>
        <w:jc w:val="both"/>
        <w:rPr/>
      </w:pPr>
      <w:r>
        <w:rPr/>
      </w:r>
    </w:p>
    <w:p>
      <w:pPr>
        <w:pStyle w:val="Normal"/>
        <w:ind w:firstLine="225"/>
        <w:jc w:val="both"/>
        <w:rPr/>
      </w:pPr>
      <w:r>
        <w:rPr/>
      </w:r>
    </w:p>
    <w:tbl>
      <w:tblPr>
        <w:tblW w:w="5355" w:type="dxa"/>
        <w:jc w:val="start"/>
        <w:tblInd w:w="165" w:type="dxa"/>
        <w:tblBorders/>
        <w:tblCellMar>
          <w:top w:w="0" w:type="dxa"/>
          <w:start w:w="15" w:type="dxa"/>
          <w:bottom w:w="0" w:type="dxa"/>
          <w:end w:w="15" w:type="dxa"/>
        </w:tblCellMar>
      </w:tblPr>
      <w:tblGrid>
        <w:gridCol w:w="2910"/>
        <w:gridCol w:w="2445"/>
      </w:tblGrid>
      <w:tr>
        <w:trPr/>
        <w:tc>
          <w:tcPr>
            <w:tcW w:w="2910" w:type="dxa"/>
            <w:tcBorders/>
            <w:shd w:fill="auto" w:val="clear"/>
          </w:tcPr>
          <w:p>
            <w:pPr>
              <w:pStyle w:val="Normal"/>
              <w:rPr/>
            </w:pPr>
            <w:r>
              <w:rPr>
                <w:vanish/>
              </w:rPr>
              <w:t>#G0</w:t>
            </w:r>
            <w:r>
              <w:rPr/>
              <w:t xml:space="preserve">  </w:t>
            </w:r>
          </w:p>
          <w:p>
            <w:pPr>
              <w:pStyle w:val="Normal"/>
              <w:rPr/>
            </w:pPr>
            <w:r>
              <w:rPr/>
              <w:drawing>
                <wp:inline distT="0" distB="0" distL="0" distR="0">
                  <wp:extent cx="2073910" cy="334010"/>
                  <wp:effectExtent l="0" t="0" r="0" b="0"/>
                  <wp:docPr id="116" name="Изображение1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Изображение116" descr="" title=""/>
                          <pic:cNvPicPr>
                            <a:picLocks noChangeAspect="1" noChangeArrowheads="1"/>
                          </pic:cNvPicPr>
                        </pic:nvPicPr>
                        <pic:blipFill>
                          <a:blip r:embed="rId117"/>
                          <a:stretch>
                            <a:fillRect/>
                          </a:stretch>
                        </pic:blipFill>
                        <pic:spPr bwMode="auto">
                          <a:xfrm>
                            <a:off x="0" y="0"/>
                            <a:ext cx="2073910" cy="334010"/>
                          </a:xfrm>
                          <a:prstGeom prst="rect">
                            <a:avLst/>
                          </a:prstGeom>
                        </pic:spPr>
                      </pic:pic>
                    </a:graphicData>
                  </a:graphic>
                </wp:inline>
              </w:drawing>
            </w:r>
          </w:p>
        </w:tc>
        <w:tc>
          <w:tcPr>
            <w:tcW w:w="2445" w:type="dxa"/>
            <w:tcBorders/>
            <w:shd w:fill="auto" w:val="clear"/>
          </w:tcPr>
          <w:p>
            <w:pPr>
              <w:pStyle w:val="Normal"/>
              <w:snapToGrid w:val="false"/>
              <w:rPr/>
            </w:pPr>
            <w:r>
              <w:rPr/>
            </w:r>
          </w:p>
          <w:p>
            <w:pPr>
              <w:pStyle w:val="Normal"/>
              <w:rPr/>
            </w:pPr>
            <w:r>
              <w:rPr/>
              <w:t xml:space="preserve">             </w:t>
            </w:r>
            <w:r>
              <w:rPr/>
              <w:t>(23)</w:t>
            </w:r>
          </w:p>
          <w:p>
            <w:pPr>
              <w:pStyle w:val="Normal"/>
              <w:rPr/>
            </w:pPr>
            <w:r>
              <w:rPr/>
            </w:r>
          </w:p>
        </w:tc>
      </w:tr>
    </w:tbl>
    <w:p>
      <w:pPr>
        <w:pStyle w:val="Normal"/>
        <w:ind w:firstLine="270"/>
        <w:jc w:val="both"/>
        <w:rPr/>
      </w:pPr>
      <w:r>
        <w:rPr/>
      </w:r>
    </w:p>
    <w:p>
      <w:pPr>
        <w:pStyle w:val="Normal"/>
        <w:ind w:firstLine="270"/>
        <w:jc w:val="both"/>
        <w:rPr/>
      </w:pPr>
      <w:r>
        <w:rPr/>
        <w:tab/>
        <w:tab/>
        <w:t xml:space="preserve">     </w:t>
        <w:tab/>
        <w:tab/>
        <w:t xml:space="preserve">     </w:t>
      </w:r>
    </w:p>
    <w:tbl>
      <w:tblPr>
        <w:tblW w:w="8250" w:type="dxa"/>
        <w:jc w:val="start"/>
        <w:tblInd w:w="165" w:type="dxa"/>
        <w:tblBorders/>
        <w:tblCellMar>
          <w:top w:w="0" w:type="dxa"/>
          <w:start w:w="15" w:type="dxa"/>
          <w:bottom w:w="0" w:type="dxa"/>
          <w:end w:w="15" w:type="dxa"/>
        </w:tblCellMar>
      </w:tblPr>
      <w:tblGrid>
        <w:gridCol w:w="435"/>
        <w:gridCol w:w="750"/>
        <w:gridCol w:w="7065"/>
      </w:tblGrid>
      <w:tr>
        <w:trPr/>
        <w:tc>
          <w:tcPr>
            <w:tcW w:w="435" w:type="dxa"/>
            <w:tcBorders/>
            <w:shd w:fill="auto" w:val="clear"/>
          </w:tcPr>
          <w:p>
            <w:pPr>
              <w:pStyle w:val="Normal"/>
              <w:rPr/>
            </w:pPr>
            <w:r>
              <w:rPr>
                <w:vanish/>
              </w:rPr>
              <w:t>#G0</w:t>
            </w:r>
            <w:r>
              <w:rPr/>
              <w:t xml:space="preserve">  где </w:t>
            </w:r>
          </w:p>
          <w:p>
            <w:pPr>
              <w:pStyle w:val="Normal"/>
              <w:rPr/>
            </w:pPr>
            <w:r>
              <w:rPr/>
            </w:r>
          </w:p>
        </w:tc>
        <w:tc>
          <w:tcPr>
            <w:tcW w:w="750" w:type="dxa"/>
            <w:tcBorders/>
            <w:shd w:fill="auto" w:val="clear"/>
          </w:tcPr>
          <w:p>
            <w:pPr>
              <w:pStyle w:val="Normal"/>
              <w:rPr/>
            </w:pPr>
            <w:r>
              <w:rPr/>
              <w:drawing>
                <wp:inline distT="0" distB="0" distL="0" distR="0">
                  <wp:extent cx="264795" cy="184150"/>
                  <wp:effectExtent l="0" t="0" r="0" b="0"/>
                  <wp:docPr id="117" name="Изображение1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Изображение117" descr="" title=""/>
                          <pic:cNvPicPr>
                            <a:picLocks noChangeAspect="1" noChangeArrowheads="1"/>
                          </pic:cNvPicPr>
                        </pic:nvPicPr>
                        <pic:blipFill>
                          <a:blip r:embed="rId118"/>
                          <a:stretch>
                            <a:fillRect/>
                          </a:stretch>
                        </pic:blipFill>
                        <pic:spPr bwMode="auto">
                          <a:xfrm>
                            <a:off x="0" y="0"/>
                            <a:ext cx="264795" cy="184150"/>
                          </a:xfrm>
                          <a:prstGeom prst="rect">
                            <a:avLst/>
                          </a:prstGeom>
                        </pic:spPr>
                      </pic:pic>
                    </a:graphicData>
                  </a:graphic>
                </wp:inline>
              </w:drawing>
            </w:r>
          </w:p>
        </w:tc>
        <w:tc>
          <w:tcPr>
            <w:tcW w:w="7065" w:type="dxa"/>
            <w:tcBorders/>
            <w:shd w:fill="auto" w:val="clear"/>
          </w:tcPr>
          <w:p>
            <w:pPr>
              <w:pStyle w:val="Normal"/>
              <w:jc w:val="both"/>
              <w:rPr/>
            </w:pPr>
            <w:r>
              <w:rPr/>
              <w:t>-  расход воды по желобу, куб.м/с;</w:t>
            </w:r>
          </w:p>
          <w:p>
            <w:pPr>
              <w:pStyle w:val="Normal"/>
              <w:rPr/>
            </w:pPr>
            <w:r>
              <w:rPr/>
              <w:t xml:space="preserve">  </w:t>
            </w:r>
          </w:p>
          <w:p>
            <w:pPr>
              <w:pStyle w:val="Normal"/>
              <w:rPr/>
            </w:pPr>
            <w:r>
              <w:rPr/>
            </w:r>
          </w:p>
        </w:tc>
      </w:tr>
      <w:tr>
        <w:trPr/>
        <w:tc>
          <w:tcPr>
            <w:tcW w:w="435" w:type="dxa"/>
            <w:tcBorders/>
            <w:shd w:fill="auto" w:val="clear"/>
          </w:tcPr>
          <w:p>
            <w:pPr>
              <w:pStyle w:val="Normal"/>
              <w:snapToGrid w:val="false"/>
              <w:ind w:firstLine="45"/>
              <w:jc w:val="both"/>
              <w:rPr/>
            </w:pPr>
            <w:r>
              <w:rPr/>
            </w:r>
          </w:p>
          <w:p>
            <w:pPr>
              <w:pStyle w:val="Normal"/>
              <w:ind w:firstLine="45"/>
              <w:jc w:val="both"/>
              <w:rPr/>
            </w:pPr>
            <w:r>
              <w:rPr/>
            </w:r>
          </w:p>
        </w:tc>
        <w:tc>
          <w:tcPr>
            <w:tcW w:w="750" w:type="dxa"/>
            <w:tcBorders/>
            <w:shd w:fill="auto" w:val="clear"/>
          </w:tcPr>
          <w:p>
            <w:pPr>
              <w:pStyle w:val="Normal"/>
              <w:rPr/>
            </w:pPr>
            <w:r>
              <w:rPr/>
              <w:t xml:space="preserve">  </w:t>
            </w:r>
          </w:p>
          <w:p>
            <w:pPr>
              <w:pStyle w:val="Normal"/>
              <w:rPr/>
            </w:pPr>
            <w:r>
              <w:rPr/>
              <w:drawing>
                <wp:inline distT="0" distB="0" distL="0" distR="0">
                  <wp:extent cx="264795" cy="184150"/>
                  <wp:effectExtent l="0" t="0" r="0" b="0"/>
                  <wp:docPr id="118" name="Изображение1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Изображение118" descr="" title=""/>
                          <pic:cNvPicPr>
                            <a:picLocks noChangeAspect="1" noChangeArrowheads="1"/>
                          </pic:cNvPicPr>
                        </pic:nvPicPr>
                        <pic:blipFill>
                          <a:blip r:embed="rId119"/>
                          <a:stretch>
                            <a:fillRect/>
                          </a:stretch>
                        </pic:blipFill>
                        <pic:spPr bwMode="auto">
                          <a:xfrm>
                            <a:off x="0" y="0"/>
                            <a:ext cx="264795" cy="184150"/>
                          </a:xfrm>
                          <a:prstGeom prst="rect">
                            <a:avLst/>
                          </a:prstGeom>
                        </pic:spPr>
                      </pic:pic>
                    </a:graphicData>
                  </a:graphic>
                </wp:inline>
              </w:drawing>
            </w:r>
            <w:r>
              <w:rPr/>
              <w:t xml:space="preserve">  </w:t>
            </w:r>
          </w:p>
          <w:p>
            <w:pPr>
              <w:pStyle w:val="Normal"/>
              <w:rPr/>
            </w:pPr>
            <w:r>
              <w:rPr/>
            </w:r>
          </w:p>
        </w:tc>
        <w:tc>
          <w:tcPr>
            <w:tcW w:w="7065" w:type="dxa"/>
            <w:tcBorders/>
            <w:shd w:fill="auto" w:val="clear"/>
          </w:tcPr>
          <w:p>
            <w:pPr>
              <w:pStyle w:val="Normal"/>
              <w:snapToGrid w:val="false"/>
              <w:rPr/>
            </w:pPr>
            <w:r>
              <w:rPr/>
            </w:r>
          </w:p>
          <w:p>
            <w:pPr>
              <w:pStyle w:val="Normal"/>
              <w:rPr/>
            </w:pPr>
            <w:r>
              <w:rPr/>
              <w:t xml:space="preserve"> </w:t>
            </w:r>
            <w:r>
              <w:rPr/>
              <w:t xml:space="preserve">-  отношение высоты прямоугольной части желоба к половине его ширины, принимаемое от 1 до 1,5; </w:t>
            </w:r>
          </w:p>
          <w:p>
            <w:pPr>
              <w:pStyle w:val="Normal"/>
              <w:rPr/>
            </w:pPr>
            <w:r>
              <w:rPr/>
            </w:r>
          </w:p>
        </w:tc>
      </w:tr>
      <w:tr>
        <w:trPr/>
        <w:tc>
          <w:tcPr>
            <w:tcW w:w="435" w:type="dxa"/>
            <w:tcBorders/>
            <w:shd w:fill="auto" w:val="clear"/>
          </w:tcPr>
          <w:p>
            <w:pPr>
              <w:pStyle w:val="Normal"/>
              <w:snapToGrid w:val="false"/>
              <w:jc w:val="both"/>
              <w:rPr/>
            </w:pPr>
            <w:r>
              <w:rPr/>
            </w:r>
          </w:p>
          <w:p>
            <w:pPr>
              <w:pStyle w:val="Normal"/>
              <w:ind w:firstLine="45"/>
              <w:jc w:val="both"/>
              <w:rPr/>
            </w:pPr>
            <w:r>
              <w:rPr/>
            </w:r>
          </w:p>
          <w:p>
            <w:pPr>
              <w:pStyle w:val="Normal"/>
              <w:ind w:firstLine="45"/>
              <w:jc w:val="both"/>
              <w:rPr/>
            </w:pPr>
            <w:r>
              <w:rPr/>
            </w:r>
          </w:p>
        </w:tc>
        <w:tc>
          <w:tcPr>
            <w:tcW w:w="750" w:type="dxa"/>
            <w:tcBorders/>
            <w:shd w:fill="auto" w:val="clear"/>
          </w:tcPr>
          <w:p>
            <w:pPr>
              <w:pStyle w:val="Normal"/>
              <w:rPr/>
            </w:pPr>
            <w:r>
              <w:rPr/>
              <w:t xml:space="preserve">   </w:t>
            </w:r>
          </w:p>
          <w:p>
            <w:pPr>
              <w:pStyle w:val="Normal"/>
              <w:rPr/>
            </w:pPr>
            <w:r>
              <w:rPr/>
              <w:drawing>
                <wp:inline distT="0" distB="0" distL="0" distR="0">
                  <wp:extent cx="299720" cy="184150"/>
                  <wp:effectExtent l="0" t="0" r="0" b="0"/>
                  <wp:docPr id="119" name="Изображение1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Изображение119" descr="" title=""/>
                          <pic:cNvPicPr>
                            <a:picLocks noChangeAspect="1" noChangeArrowheads="1"/>
                          </pic:cNvPicPr>
                        </pic:nvPicPr>
                        <pic:blipFill>
                          <a:blip r:embed="rId120"/>
                          <a:stretch>
                            <a:fillRect/>
                          </a:stretch>
                        </pic:blipFill>
                        <pic:spPr bwMode="auto">
                          <a:xfrm>
                            <a:off x="0" y="0"/>
                            <a:ext cx="299720" cy="184150"/>
                          </a:xfrm>
                          <a:prstGeom prst="rect">
                            <a:avLst/>
                          </a:prstGeom>
                        </pic:spPr>
                      </pic:pic>
                    </a:graphicData>
                  </a:graphic>
                </wp:inline>
              </w:drawing>
            </w:r>
          </w:p>
        </w:tc>
        <w:tc>
          <w:tcPr>
            <w:tcW w:w="7065" w:type="dxa"/>
            <w:tcBorders/>
            <w:shd w:fill="auto" w:val="clear"/>
          </w:tcPr>
          <w:p>
            <w:pPr>
              <w:pStyle w:val="Normal"/>
              <w:snapToGrid w:val="false"/>
              <w:jc w:val="both"/>
              <w:rPr/>
            </w:pPr>
            <w:r>
              <w:rPr/>
            </w:r>
          </w:p>
          <w:p>
            <w:pPr>
              <w:pStyle w:val="Normal"/>
              <w:ind w:firstLine="45"/>
              <w:jc w:val="both"/>
              <w:rPr/>
            </w:pPr>
            <w:r>
              <w:rPr/>
              <w:t>- коэффициент, принимаемый равным: для желобов с полукруглым лотком -  2, для пятиугольных желобов -  2,1.</w:t>
            </w:r>
          </w:p>
          <w:p>
            <w:pPr>
              <w:pStyle w:val="Normal"/>
              <w:ind w:firstLine="45"/>
              <w:jc w:val="both"/>
              <w:rPr/>
            </w:pPr>
            <w:r>
              <w:rPr/>
            </w:r>
          </w:p>
        </w:tc>
      </w:tr>
    </w:tbl>
    <w:p>
      <w:pPr>
        <w:pStyle w:val="Normal"/>
        <w:ind w:firstLine="270"/>
        <w:jc w:val="both"/>
        <w:rPr/>
      </w:pPr>
      <w:r>
        <w:rPr/>
      </w:r>
    </w:p>
    <w:p>
      <w:pPr>
        <w:pStyle w:val="Normal"/>
        <w:ind w:firstLine="225"/>
        <w:jc w:val="both"/>
        <w:rPr/>
      </w:pPr>
      <w:r>
        <w:rPr/>
        <w:t>Кромки всех желобов должны быть на одном уровне и строго горизонтальны.</w:t>
      </w:r>
    </w:p>
    <w:p>
      <w:pPr>
        <w:pStyle w:val="Normal"/>
        <w:ind w:firstLine="225"/>
        <w:jc w:val="both"/>
        <w:rPr/>
      </w:pPr>
      <w:r>
        <w:rPr/>
      </w:r>
    </w:p>
    <w:p>
      <w:pPr>
        <w:pStyle w:val="Normal"/>
        <w:ind w:firstLine="225"/>
        <w:jc w:val="both"/>
        <w:rPr/>
      </w:pPr>
      <w:r>
        <w:rPr/>
        <w:t>Лотки желобов должны иметь уклон 0,01 к сборному каналу.</w:t>
      </w:r>
    </w:p>
    <w:p>
      <w:pPr>
        <w:pStyle w:val="Normal"/>
        <w:ind w:firstLine="225"/>
        <w:jc w:val="both"/>
        <w:rPr/>
      </w:pPr>
      <w:r>
        <w:rPr/>
      </w:r>
    </w:p>
    <w:p>
      <w:pPr>
        <w:pStyle w:val="Normal"/>
        <w:ind w:firstLine="225"/>
        <w:jc w:val="both"/>
        <w:rPr/>
      </w:pPr>
      <w:r>
        <w:rPr/>
        <w:t xml:space="preserve">6.112. В фильтрах со сборным каналом расстояние от дна желоба до дна канала Н(кан) следует определять по формуле     </w:t>
      </w:r>
    </w:p>
    <w:p>
      <w:pPr>
        <w:pStyle w:val="Normal"/>
        <w:ind w:firstLine="225"/>
        <w:jc w:val="both"/>
        <w:rPr/>
      </w:pPr>
      <w:r>
        <w:rPr/>
      </w:r>
    </w:p>
    <w:tbl>
      <w:tblPr>
        <w:tblW w:w="5445" w:type="dxa"/>
        <w:jc w:val="start"/>
        <w:tblInd w:w="165" w:type="dxa"/>
        <w:tblBorders/>
        <w:tblCellMar>
          <w:top w:w="0" w:type="dxa"/>
          <w:start w:w="15" w:type="dxa"/>
          <w:bottom w:w="0" w:type="dxa"/>
          <w:end w:w="15" w:type="dxa"/>
        </w:tblCellMar>
      </w:tblPr>
      <w:tblGrid>
        <w:gridCol w:w="3255"/>
        <w:gridCol w:w="2190"/>
      </w:tblGrid>
      <w:tr>
        <w:trPr/>
        <w:tc>
          <w:tcPr>
            <w:tcW w:w="3255" w:type="dxa"/>
            <w:tcBorders/>
            <w:shd w:fill="auto" w:val="clear"/>
          </w:tcPr>
          <w:p>
            <w:pPr>
              <w:pStyle w:val="Normal"/>
              <w:rPr/>
            </w:pPr>
            <w:r>
              <w:rPr>
                <w:vanish/>
              </w:rPr>
              <w:t>#G0</w:t>
            </w:r>
            <w:r>
              <w:rPr/>
              <w:t xml:space="preserve">  </w:t>
            </w:r>
          </w:p>
          <w:p>
            <w:pPr>
              <w:pStyle w:val="Normal"/>
              <w:rPr/>
            </w:pPr>
            <w:r>
              <w:rPr/>
              <w:drawing>
                <wp:inline distT="0" distB="0" distL="0" distR="0">
                  <wp:extent cx="1831975" cy="322580"/>
                  <wp:effectExtent l="0" t="0" r="0" b="0"/>
                  <wp:docPr id="120" name="Изображение1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Изображение120" descr="" title=""/>
                          <pic:cNvPicPr>
                            <a:picLocks noChangeAspect="1" noChangeArrowheads="1"/>
                          </pic:cNvPicPr>
                        </pic:nvPicPr>
                        <pic:blipFill>
                          <a:blip r:embed="rId121"/>
                          <a:stretch>
                            <a:fillRect/>
                          </a:stretch>
                        </pic:blipFill>
                        <pic:spPr bwMode="auto">
                          <a:xfrm>
                            <a:off x="0" y="0"/>
                            <a:ext cx="1831975" cy="322580"/>
                          </a:xfrm>
                          <a:prstGeom prst="rect">
                            <a:avLst/>
                          </a:prstGeom>
                        </pic:spPr>
                      </pic:pic>
                    </a:graphicData>
                  </a:graphic>
                </wp:inline>
              </w:drawing>
            </w:r>
          </w:p>
        </w:tc>
        <w:tc>
          <w:tcPr>
            <w:tcW w:w="2190" w:type="dxa"/>
            <w:tcBorders/>
            <w:shd w:fill="auto" w:val="clear"/>
          </w:tcPr>
          <w:p>
            <w:pPr>
              <w:pStyle w:val="Normal"/>
              <w:snapToGrid w:val="false"/>
              <w:rPr/>
            </w:pPr>
            <w:r>
              <w:rPr/>
            </w:r>
          </w:p>
          <w:p>
            <w:pPr>
              <w:pStyle w:val="Normal"/>
              <w:rPr/>
            </w:pPr>
            <w:r>
              <w:rPr/>
              <w:t xml:space="preserve">                     </w:t>
            </w:r>
            <w:r>
              <w:rPr/>
              <w:t>(24)</w:t>
            </w:r>
          </w:p>
          <w:p>
            <w:pPr>
              <w:pStyle w:val="Normal"/>
              <w:rPr/>
            </w:pPr>
            <w:r>
              <w:rPr/>
            </w:r>
          </w:p>
        </w:tc>
      </w:tr>
    </w:tbl>
    <w:p>
      <w:pPr>
        <w:pStyle w:val="Normal"/>
        <w:ind w:firstLine="540"/>
        <w:jc w:val="both"/>
        <w:rPr/>
      </w:pPr>
      <w:r>
        <w:rPr/>
      </w:r>
    </w:p>
    <w:tbl>
      <w:tblPr>
        <w:tblW w:w="8355" w:type="dxa"/>
        <w:jc w:val="start"/>
        <w:tblInd w:w="165" w:type="dxa"/>
        <w:tblBorders/>
        <w:tblCellMar>
          <w:top w:w="0" w:type="dxa"/>
          <w:start w:w="15" w:type="dxa"/>
          <w:bottom w:w="0" w:type="dxa"/>
          <w:end w:w="15" w:type="dxa"/>
        </w:tblCellMar>
      </w:tblPr>
      <w:tblGrid>
        <w:gridCol w:w="450"/>
        <w:gridCol w:w="735"/>
        <w:gridCol w:w="7170"/>
      </w:tblGrid>
      <w:tr>
        <w:trPr/>
        <w:tc>
          <w:tcPr>
            <w:tcW w:w="450" w:type="dxa"/>
            <w:tcBorders/>
            <w:shd w:fill="auto" w:val="clear"/>
          </w:tcPr>
          <w:p>
            <w:pPr>
              <w:pStyle w:val="Normal"/>
              <w:rPr/>
            </w:pPr>
            <w:r>
              <w:rPr>
                <w:vanish/>
              </w:rPr>
              <w:t>#G0</w:t>
            </w:r>
            <w:r>
              <w:rPr/>
              <w:t xml:space="preserve">      где </w:t>
            </w:r>
          </w:p>
          <w:p>
            <w:pPr>
              <w:pStyle w:val="Normal"/>
              <w:rPr/>
            </w:pPr>
            <w:r>
              <w:rPr/>
            </w:r>
          </w:p>
        </w:tc>
        <w:tc>
          <w:tcPr>
            <w:tcW w:w="735" w:type="dxa"/>
            <w:tcBorders/>
            <w:shd w:fill="auto" w:val="clear"/>
          </w:tcPr>
          <w:p>
            <w:pPr>
              <w:pStyle w:val="Normal"/>
              <w:rPr/>
            </w:pPr>
            <w:r>
              <w:rPr/>
              <w:t xml:space="preserve">  </w:t>
            </w:r>
          </w:p>
          <w:p>
            <w:pPr>
              <w:pStyle w:val="Normal"/>
              <w:rPr/>
            </w:pPr>
            <w:r>
              <w:rPr/>
              <w:drawing>
                <wp:inline distT="0" distB="0" distL="0" distR="0">
                  <wp:extent cx="241935" cy="184150"/>
                  <wp:effectExtent l="0" t="0" r="0" b="0"/>
                  <wp:docPr id="121" name="Изображение1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Изображение121" descr="" title=""/>
                          <pic:cNvPicPr>
                            <a:picLocks noChangeAspect="1" noChangeArrowheads="1"/>
                          </pic:cNvPicPr>
                        </pic:nvPicPr>
                        <pic:blipFill>
                          <a:blip r:embed="rId122"/>
                          <a:stretch>
                            <a:fillRect/>
                          </a:stretch>
                        </pic:blipFill>
                        <pic:spPr bwMode="auto">
                          <a:xfrm>
                            <a:off x="0" y="0"/>
                            <a:ext cx="241935" cy="184150"/>
                          </a:xfrm>
                          <a:prstGeom prst="rect">
                            <a:avLst/>
                          </a:prstGeom>
                        </pic:spPr>
                      </pic:pic>
                    </a:graphicData>
                  </a:graphic>
                </wp:inline>
              </w:drawing>
            </w:r>
          </w:p>
        </w:tc>
        <w:tc>
          <w:tcPr>
            <w:tcW w:w="7170" w:type="dxa"/>
            <w:tcBorders/>
            <w:shd w:fill="auto" w:val="clear"/>
          </w:tcPr>
          <w:p>
            <w:pPr>
              <w:pStyle w:val="Normal"/>
              <w:rPr/>
            </w:pPr>
            <w:r>
              <w:rPr/>
              <w:t xml:space="preserve">  </w:t>
            </w:r>
          </w:p>
          <w:p>
            <w:pPr>
              <w:pStyle w:val="Normal"/>
              <w:ind w:firstLine="45"/>
              <w:jc w:val="both"/>
              <w:rPr/>
            </w:pPr>
            <w:r>
              <w:rPr/>
              <w:t xml:space="preserve">-  расходы вод по каналу, куб.м/с; </w:t>
            </w:r>
          </w:p>
          <w:p>
            <w:pPr>
              <w:pStyle w:val="Normal"/>
              <w:ind w:firstLine="45"/>
              <w:jc w:val="both"/>
              <w:rPr/>
            </w:pPr>
            <w:r>
              <w:rPr/>
            </w:r>
          </w:p>
          <w:p>
            <w:pPr>
              <w:pStyle w:val="Normal"/>
              <w:ind w:firstLine="45"/>
              <w:jc w:val="both"/>
              <w:rPr/>
            </w:pPr>
            <w:r>
              <w:rPr/>
            </w:r>
          </w:p>
        </w:tc>
      </w:tr>
      <w:tr>
        <w:trPr/>
        <w:tc>
          <w:tcPr>
            <w:tcW w:w="450" w:type="dxa"/>
            <w:tcBorders/>
            <w:shd w:fill="auto" w:val="clear"/>
          </w:tcPr>
          <w:p>
            <w:pPr>
              <w:pStyle w:val="Normal"/>
              <w:rPr/>
            </w:pPr>
            <w:r>
              <w:rPr/>
              <w:t xml:space="preserve">  </w:t>
            </w:r>
          </w:p>
          <w:p>
            <w:pPr>
              <w:pStyle w:val="Normal"/>
              <w:rPr/>
            </w:pPr>
            <w:r>
              <w:rPr/>
            </w:r>
          </w:p>
        </w:tc>
        <w:tc>
          <w:tcPr>
            <w:tcW w:w="735" w:type="dxa"/>
            <w:tcBorders/>
            <w:shd w:fill="auto" w:val="clear"/>
          </w:tcPr>
          <w:p>
            <w:pPr>
              <w:pStyle w:val="Normal"/>
              <w:rPr/>
            </w:pPr>
            <w:r>
              <w:rPr/>
              <w:t xml:space="preserve">  </w:t>
            </w:r>
          </w:p>
          <w:p>
            <w:pPr>
              <w:pStyle w:val="Normal"/>
              <w:rPr/>
            </w:pPr>
            <w:r>
              <w:rPr/>
              <w:drawing>
                <wp:inline distT="0" distB="0" distL="0" distR="0">
                  <wp:extent cx="253365" cy="184150"/>
                  <wp:effectExtent l="0" t="0" r="0" b="0"/>
                  <wp:docPr id="122" name="Изображение1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Изображение122" descr="" title=""/>
                          <pic:cNvPicPr>
                            <a:picLocks noChangeAspect="1" noChangeArrowheads="1"/>
                          </pic:cNvPicPr>
                        </pic:nvPicPr>
                        <pic:blipFill>
                          <a:blip r:embed="rId123"/>
                          <a:stretch>
                            <a:fillRect/>
                          </a:stretch>
                        </pic:blipFill>
                        <pic:spPr bwMode="auto">
                          <a:xfrm>
                            <a:off x="0" y="0"/>
                            <a:ext cx="253365" cy="184150"/>
                          </a:xfrm>
                          <a:prstGeom prst="rect">
                            <a:avLst/>
                          </a:prstGeom>
                        </pic:spPr>
                      </pic:pic>
                    </a:graphicData>
                  </a:graphic>
                </wp:inline>
              </w:drawing>
            </w:r>
          </w:p>
        </w:tc>
        <w:tc>
          <w:tcPr>
            <w:tcW w:w="7170" w:type="dxa"/>
            <w:tcBorders/>
            <w:shd w:fill="auto" w:val="clear"/>
          </w:tcPr>
          <w:p>
            <w:pPr>
              <w:pStyle w:val="Normal"/>
              <w:snapToGrid w:val="false"/>
              <w:jc w:val="both"/>
              <w:rPr/>
            </w:pPr>
            <w:r>
              <w:rPr/>
            </w:r>
          </w:p>
          <w:p>
            <w:pPr>
              <w:pStyle w:val="Normal"/>
              <w:jc w:val="both"/>
              <w:rPr/>
            </w:pPr>
            <w:r>
              <w:rPr/>
              <w:t>- ширина канала, м, принимаемая не менее 0,7 м.</w:t>
            </w:r>
          </w:p>
          <w:p>
            <w:pPr>
              <w:pStyle w:val="Normal"/>
              <w:rPr/>
            </w:pPr>
            <w:r>
              <w:rPr/>
              <w:t xml:space="preserve">  </w:t>
            </w:r>
          </w:p>
          <w:p>
            <w:pPr>
              <w:pStyle w:val="Normal"/>
              <w:rPr/>
            </w:pPr>
            <w:r>
              <w:rPr/>
            </w:r>
          </w:p>
        </w:tc>
      </w:tr>
    </w:tbl>
    <w:p>
      <w:pPr>
        <w:pStyle w:val="Normal"/>
        <w:ind w:firstLine="450"/>
        <w:jc w:val="both"/>
        <w:rPr/>
      </w:pPr>
      <w:r>
        <w:rPr/>
      </w:r>
    </w:p>
    <w:p>
      <w:pPr>
        <w:pStyle w:val="Normal"/>
        <w:ind w:firstLine="225"/>
        <w:jc w:val="both"/>
        <w:rPr/>
      </w:pPr>
      <w:r>
        <w:rPr/>
        <w:t>Примечание. Уровень воды в канале с учетом подпора, создаваемого трубопроводом, отводящим промывную воду, должен быть на 0,2 м ниже дна желоба.</w:t>
      </w:r>
    </w:p>
    <w:p>
      <w:pPr>
        <w:pStyle w:val="Normal"/>
        <w:ind w:firstLine="270"/>
        <w:jc w:val="both"/>
        <w:rPr/>
      </w:pPr>
      <w:r>
        <w:rPr/>
      </w:r>
    </w:p>
    <w:p>
      <w:pPr>
        <w:pStyle w:val="Normal"/>
        <w:ind w:firstLine="225"/>
        <w:jc w:val="both"/>
        <w:rPr/>
      </w:pPr>
      <w:r>
        <w:rPr/>
        <w:t>6.113. Расстояние от поверхности фильтрующей загрузки до кромок желобов Н(ж) надлежит определять по формуле</w:t>
      </w:r>
    </w:p>
    <w:p>
      <w:pPr>
        <w:pStyle w:val="Normal"/>
        <w:ind w:firstLine="270"/>
        <w:jc w:val="both"/>
        <w:rPr/>
      </w:pPr>
      <w:r>
        <w:rPr/>
      </w:r>
    </w:p>
    <w:p>
      <w:pPr>
        <w:pStyle w:val="Normal"/>
        <w:ind w:firstLine="225"/>
        <w:jc w:val="both"/>
        <w:rPr/>
      </w:pPr>
      <w:r>
        <w:rPr/>
      </w:r>
    </w:p>
    <w:tbl>
      <w:tblPr>
        <w:tblW w:w="5235" w:type="dxa"/>
        <w:jc w:val="start"/>
        <w:tblInd w:w="165" w:type="dxa"/>
        <w:tblBorders/>
        <w:tblCellMar>
          <w:top w:w="0" w:type="dxa"/>
          <w:start w:w="15" w:type="dxa"/>
          <w:bottom w:w="0" w:type="dxa"/>
          <w:end w:w="15" w:type="dxa"/>
        </w:tblCellMar>
      </w:tblPr>
      <w:tblGrid>
        <w:gridCol w:w="2445"/>
        <w:gridCol w:w="2790"/>
      </w:tblGrid>
      <w:tr>
        <w:trPr/>
        <w:tc>
          <w:tcPr>
            <w:tcW w:w="2445" w:type="dxa"/>
            <w:tcBorders/>
            <w:shd w:fill="auto" w:val="clear"/>
          </w:tcPr>
          <w:p>
            <w:pPr>
              <w:pStyle w:val="Normal"/>
              <w:rPr/>
            </w:pPr>
            <w:r>
              <w:rPr/>
              <w:drawing>
                <wp:inline distT="0" distB="0" distL="0" distR="0">
                  <wp:extent cx="1440180" cy="219075"/>
                  <wp:effectExtent l="0" t="0" r="0" b="0"/>
                  <wp:docPr id="123" name="Изображение1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Изображение123" descr="" title=""/>
                          <pic:cNvPicPr>
                            <a:picLocks noChangeAspect="1" noChangeArrowheads="1"/>
                          </pic:cNvPicPr>
                        </pic:nvPicPr>
                        <pic:blipFill>
                          <a:blip r:embed="rId124"/>
                          <a:stretch>
                            <a:fillRect/>
                          </a:stretch>
                        </pic:blipFill>
                        <pic:spPr bwMode="auto">
                          <a:xfrm>
                            <a:off x="0" y="0"/>
                            <a:ext cx="1440180" cy="219075"/>
                          </a:xfrm>
                          <a:prstGeom prst="rect">
                            <a:avLst/>
                          </a:prstGeom>
                        </pic:spPr>
                      </pic:pic>
                    </a:graphicData>
                  </a:graphic>
                </wp:inline>
              </w:drawing>
            </w:r>
            <w:r>
              <w:rPr>
                <w:vanish/>
              </w:rPr>
              <w:t>#G0</w:t>
            </w:r>
            <w:r>
              <w:rPr/>
              <w:t xml:space="preserve">  </w:t>
            </w:r>
          </w:p>
          <w:p>
            <w:pPr>
              <w:pStyle w:val="Normal"/>
              <w:rPr/>
            </w:pPr>
            <w:r>
              <w:rPr/>
            </w:r>
          </w:p>
        </w:tc>
        <w:tc>
          <w:tcPr>
            <w:tcW w:w="2790" w:type="dxa"/>
            <w:tcBorders/>
            <w:shd w:fill="auto" w:val="clear"/>
          </w:tcPr>
          <w:p>
            <w:pPr>
              <w:pStyle w:val="Normal"/>
              <w:rPr/>
            </w:pPr>
            <w:r>
              <w:rPr/>
              <w:t xml:space="preserve">                                                </w:t>
            </w:r>
            <w:r>
              <w:rPr/>
              <w:t>(25)</w:t>
            </w:r>
          </w:p>
          <w:p>
            <w:pPr>
              <w:pStyle w:val="Normal"/>
              <w:rPr/>
            </w:pPr>
            <w:r>
              <w:rPr/>
            </w:r>
          </w:p>
        </w:tc>
      </w:tr>
    </w:tbl>
    <w:p>
      <w:pPr>
        <w:pStyle w:val="Normal"/>
        <w:ind w:firstLine="270"/>
        <w:jc w:val="both"/>
        <w:rPr/>
      </w:pPr>
      <w:r>
        <w:rPr/>
      </w:r>
    </w:p>
    <w:tbl>
      <w:tblPr>
        <w:tblW w:w="8145" w:type="dxa"/>
        <w:jc w:val="start"/>
        <w:tblInd w:w="165" w:type="dxa"/>
        <w:tblBorders/>
        <w:tblCellMar>
          <w:top w:w="0" w:type="dxa"/>
          <w:start w:w="15" w:type="dxa"/>
          <w:bottom w:w="0" w:type="dxa"/>
          <w:end w:w="15" w:type="dxa"/>
        </w:tblCellMar>
      </w:tblPr>
      <w:tblGrid>
        <w:gridCol w:w="465"/>
        <w:gridCol w:w="630"/>
        <w:gridCol w:w="15"/>
        <w:gridCol w:w="6945"/>
        <w:gridCol w:w="90"/>
      </w:tblGrid>
      <w:tr>
        <w:trPr/>
        <w:tc>
          <w:tcPr>
            <w:tcW w:w="465" w:type="dxa"/>
            <w:tcBorders/>
            <w:shd w:fill="auto" w:val="clear"/>
          </w:tcPr>
          <w:p>
            <w:pPr>
              <w:pStyle w:val="Normal"/>
              <w:rPr/>
            </w:pPr>
            <w:r>
              <w:rPr>
                <w:vanish/>
              </w:rPr>
              <w:t>#G0</w:t>
            </w:r>
            <w:r>
              <w:rPr/>
              <w:t xml:space="preserve">       где </w:t>
            </w:r>
          </w:p>
          <w:p>
            <w:pPr>
              <w:pStyle w:val="Normal"/>
              <w:rPr/>
            </w:pPr>
            <w:r>
              <w:rPr/>
            </w:r>
          </w:p>
        </w:tc>
        <w:tc>
          <w:tcPr>
            <w:tcW w:w="630" w:type="dxa"/>
            <w:tcBorders/>
            <w:shd w:fill="auto" w:val="clear"/>
          </w:tcPr>
          <w:p>
            <w:pPr>
              <w:pStyle w:val="Normal"/>
              <w:rPr/>
            </w:pPr>
            <w:r>
              <w:rPr/>
              <w:t xml:space="preserve">  </w:t>
            </w:r>
          </w:p>
          <w:p>
            <w:pPr>
              <w:pStyle w:val="Normal"/>
              <w:rPr/>
            </w:pPr>
            <w:r>
              <w:rPr/>
              <w:drawing>
                <wp:inline distT="0" distB="0" distL="0" distR="0">
                  <wp:extent cx="195580" cy="184150"/>
                  <wp:effectExtent l="0" t="0" r="0" b="0"/>
                  <wp:docPr id="124" name="Изображение1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Изображение124" descr="" title=""/>
                          <pic:cNvPicPr>
                            <a:picLocks noChangeAspect="1" noChangeArrowheads="1"/>
                          </pic:cNvPicPr>
                        </pic:nvPicPr>
                        <pic:blipFill>
                          <a:blip r:embed="rId125"/>
                          <a:stretch>
                            <a:fillRect/>
                          </a:stretch>
                        </pic:blipFill>
                        <pic:spPr bwMode="auto">
                          <a:xfrm>
                            <a:off x="0" y="0"/>
                            <a:ext cx="195580" cy="184150"/>
                          </a:xfrm>
                          <a:prstGeom prst="rect">
                            <a:avLst/>
                          </a:prstGeom>
                        </pic:spPr>
                      </pic:pic>
                    </a:graphicData>
                  </a:graphic>
                </wp:inline>
              </w:drawing>
            </w:r>
          </w:p>
        </w:tc>
        <w:tc>
          <w:tcPr>
            <w:tcW w:w="6960" w:type="dxa"/>
            <w:gridSpan w:val="2"/>
            <w:tcBorders/>
            <w:shd w:fill="auto" w:val="clear"/>
          </w:tcPr>
          <w:p>
            <w:pPr>
              <w:pStyle w:val="Normal"/>
              <w:snapToGrid w:val="false"/>
              <w:jc w:val="both"/>
              <w:rPr/>
            </w:pPr>
            <w:r>
              <w:rPr/>
            </w:r>
          </w:p>
          <w:p>
            <w:pPr>
              <w:pStyle w:val="Normal"/>
              <w:ind w:firstLine="45"/>
              <w:jc w:val="both"/>
              <w:rPr/>
            </w:pPr>
            <w:r>
              <w:rPr/>
              <w:t xml:space="preserve">-  высота фильтрующего слоя, м; </w:t>
            </w:r>
          </w:p>
          <w:p>
            <w:pPr>
              <w:pStyle w:val="Normal"/>
              <w:rPr/>
            </w:pPr>
            <w:r>
              <w:rPr/>
              <w:t xml:space="preserve">  </w:t>
            </w:r>
          </w:p>
          <w:p>
            <w:pPr>
              <w:pStyle w:val="Normal"/>
              <w:rPr/>
            </w:pPr>
            <w:r>
              <w:rPr/>
            </w:r>
          </w:p>
        </w:tc>
        <w:tc>
          <w:tcPr>
            <w:tcW w:w="90" w:type="dxa"/>
            <w:tcBorders/>
            <w:shd w:fill="auto" w:val="clear"/>
            <w:tcMar>
              <w:start w:w="0" w:type="dxa"/>
              <w:end w:w="0" w:type="dxa"/>
            </w:tcMar>
          </w:tcPr>
          <w:p>
            <w:pPr>
              <w:pStyle w:val="Normal"/>
              <w:snapToGrid w:val="false"/>
              <w:rPr/>
            </w:pPr>
            <w:r>
              <w:rPr/>
            </w:r>
          </w:p>
        </w:tc>
      </w:tr>
      <w:tr>
        <w:trPr/>
        <w:tc>
          <w:tcPr>
            <w:tcW w:w="465" w:type="dxa"/>
            <w:tcBorders/>
            <w:shd w:fill="auto" w:val="clear"/>
          </w:tcPr>
          <w:p>
            <w:pPr>
              <w:pStyle w:val="Normal"/>
              <w:rPr/>
            </w:pPr>
            <w:r>
              <w:rPr/>
              <w:t xml:space="preserve">  </w:t>
            </w:r>
          </w:p>
          <w:p>
            <w:pPr>
              <w:pStyle w:val="Normal"/>
              <w:rPr/>
            </w:pPr>
            <w:r>
              <w:rPr/>
            </w:r>
          </w:p>
        </w:tc>
        <w:tc>
          <w:tcPr>
            <w:tcW w:w="645" w:type="dxa"/>
            <w:gridSpan w:val="2"/>
            <w:tcBorders/>
            <w:shd w:fill="auto" w:val="clear"/>
          </w:tcPr>
          <w:p>
            <w:pPr>
              <w:pStyle w:val="Normal"/>
              <w:rPr/>
            </w:pPr>
            <w:r>
              <w:rPr/>
              <w:t xml:space="preserve">  </w:t>
            </w:r>
          </w:p>
          <w:p>
            <w:pPr>
              <w:pStyle w:val="Normal"/>
              <w:rPr/>
            </w:pPr>
            <w:r>
              <w:rPr/>
              <w:drawing>
                <wp:inline distT="0" distB="0" distL="0" distR="0">
                  <wp:extent cx="149860" cy="184150"/>
                  <wp:effectExtent l="0" t="0" r="0" b="0"/>
                  <wp:docPr id="125" name="Изображение1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125" descr="" title=""/>
                          <pic:cNvPicPr>
                            <a:picLocks noChangeAspect="1" noChangeArrowheads="1"/>
                          </pic:cNvPicPr>
                        </pic:nvPicPr>
                        <pic:blipFill>
                          <a:blip r:embed="rId126"/>
                          <a:stretch>
                            <a:fillRect/>
                          </a:stretch>
                        </pic:blipFill>
                        <pic:spPr bwMode="auto">
                          <a:xfrm>
                            <a:off x="0" y="0"/>
                            <a:ext cx="149860" cy="184150"/>
                          </a:xfrm>
                          <a:prstGeom prst="rect">
                            <a:avLst/>
                          </a:prstGeom>
                        </pic:spPr>
                      </pic:pic>
                    </a:graphicData>
                  </a:graphic>
                </wp:inline>
              </w:drawing>
            </w:r>
          </w:p>
        </w:tc>
        <w:tc>
          <w:tcPr>
            <w:tcW w:w="7035" w:type="dxa"/>
            <w:gridSpan w:val="2"/>
            <w:tcBorders/>
            <w:shd w:fill="auto" w:val="clear"/>
          </w:tcPr>
          <w:p>
            <w:pPr>
              <w:pStyle w:val="Normal"/>
              <w:snapToGrid w:val="false"/>
              <w:ind w:firstLine="45"/>
              <w:jc w:val="both"/>
              <w:rPr/>
            </w:pPr>
            <w:r>
              <w:rPr/>
            </w:r>
          </w:p>
          <w:p>
            <w:pPr>
              <w:pStyle w:val="Normal"/>
              <w:ind w:firstLine="45"/>
              <w:jc w:val="both"/>
              <w:rPr/>
            </w:pPr>
            <w:r>
              <w:rPr/>
              <w:t>- относительное расширение фильтрующей загрузки в процентах принимаемое     по табл. 23.</w:t>
            </w:r>
          </w:p>
          <w:p>
            <w:pPr>
              <w:pStyle w:val="Normal"/>
              <w:ind w:firstLine="45"/>
              <w:jc w:val="both"/>
              <w:rPr/>
            </w:pPr>
            <w:r>
              <w:rPr/>
            </w:r>
          </w:p>
        </w:tc>
      </w:tr>
    </w:tbl>
    <w:p>
      <w:pPr>
        <w:pStyle w:val="Normal"/>
        <w:ind w:firstLine="270"/>
        <w:jc w:val="both"/>
        <w:rPr/>
      </w:pPr>
      <w:r>
        <w:rPr/>
        <w:tab/>
        <w:tab/>
        <w:tab/>
        <w:t xml:space="preserve">      </w:t>
      </w:r>
    </w:p>
    <w:p>
      <w:pPr>
        <w:pStyle w:val="Normal"/>
        <w:ind w:firstLine="315"/>
        <w:jc w:val="both"/>
        <w:rPr/>
      </w:pPr>
      <w:r>
        <w:rPr/>
        <w:t>6.114. Водовоздушную промывку надлежит применять для фильтров с загрузкой из кварцевого песка при следующем режиме: продувка воздухом с интенсивностью 15-20 л/(с·кв.м) в течение 1-2 мин, затем совместная водовоздушная промывка с интенсивностью подачи воздуха 15-20 л/(с·кв.м) и воды 3-4 л/(с·кв.м) в течение 4-5 мин и последующая подача воды (без продувки) с интенсивностью 6-8 л/(с·кв.м) в течение 4-5 мин.</w:t>
      </w:r>
    </w:p>
    <w:p>
      <w:pPr>
        <w:pStyle w:val="Normal"/>
        <w:ind w:firstLine="270"/>
        <w:jc w:val="both"/>
        <w:rPr/>
      </w:pPr>
      <w:r>
        <w:rPr/>
      </w:r>
    </w:p>
    <w:p>
      <w:pPr>
        <w:pStyle w:val="Normal"/>
        <w:ind w:firstLine="270"/>
        <w:jc w:val="both"/>
        <w:rPr/>
      </w:pPr>
      <w:r>
        <w:rPr/>
        <w:t>Примечания: 1. Более крупнозернистым загрузкам соответствуют большие интенсивности подачи воды и воздуха.</w:t>
      </w:r>
    </w:p>
    <w:p>
      <w:pPr>
        <w:pStyle w:val="Normal"/>
        <w:ind w:firstLine="270"/>
        <w:jc w:val="both"/>
        <w:rPr/>
      </w:pPr>
      <w:r>
        <w:rPr/>
      </w:r>
    </w:p>
    <w:p>
      <w:pPr>
        <w:pStyle w:val="Normal"/>
        <w:ind w:firstLine="225"/>
        <w:jc w:val="both"/>
        <w:rPr/>
      </w:pPr>
      <w:r>
        <w:rPr/>
        <w:t>2. При обосновании допускается применять режимы промывки, отличающиеся от указанного.</w:t>
      </w:r>
    </w:p>
    <w:p>
      <w:pPr>
        <w:pStyle w:val="Normal"/>
        <w:ind w:firstLine="270"/>
        <w:jc w:val="both"/>
        <w:rPr/>
      </w:pPr>
      <w:r>
        <w:rPr/>
      </w:r>
    </w:p>
    <w:p>
      <w:pPr>
        <w:pStyle w:val="Normal"/>
        <w:ind w:firstLine="270"/>
        <w:jc w:val="both"/>
        <w:rPr/>
      </w:pPr>
      <w:r>
        <w:rPr/>
        <w:t>6.115. При водовоздушной промывке воду и воздух следует подавать через распределительные системы со специальными колпачками или по раздельным трубчатым распределительным системам для воды и воздуха.</w:t>
      </w:r>
    </w:p>
    <w:p>
      <w:pPr>
        <w:pStyle w:val="Normal"/>
        <w:ind w:firstLine="270"/>
        <w:jc w:val="both"/>
        <w:rPr/>
      </w:pPr>
      <w:r>
        <w:rPr/>
      </w:r>
    </w:p>
    <w:p>
      <w:pPr>
        <w:pStyle w:val="Normal"/>
        <w:ind w:firstLine="225"/>
        <w:jc w:val="both"/>
        <w:rPr/>
      </w:pPr>
      <w:r>
        <w:rPr/>
        <w:t>6.116. При водовоздушной промывке надлежит применять систему горизонтального отвода промывной воды с пескоулавливающим желобом, образованным двумя наклонными стенками - водосливной и отбойной.</w:t>
      </w:r>
    </w:p>
    <w:p>
      <w:pPr>
        <w:pStyle w:val="Normal"/>
        <w:ind w:firstLine="225"/>
        <w:jc w:val="both"/>
        <w:rPr/>
      </w:pPr>
      <w:r>
        <w:rPr/>
      </w:r>
    </w:p>
    <w:p>
      <w:pPr>
        <w:pStyle w:val="Normal"/>
        <w:ind w:firstLine="270"/>
        <w:jc w:val="both"/>
        <w:rPr/>
      </w:pPr>
      <w:r>
        <w:rPr/>
        <w:t>6.117. Вода на промывку должна подаваться насосами или из бака. В зависимости от числа фильтров на станции промывные системы должны быть рассчитаны на промывку одного или нескольких фильтров одновременно. Объем промывного бака должен обеспечивать одну дополнительную промывку сверх расчетного их числа.</w:t>
      </w:r>
    </w:p>
    <w:p>
      <w:pPr>
        <w:pStyle w:val="Normal"/>
        <w:ind w:firstLine="225"/>
        <w:jc w:val="both"/>
        <w:rPr/>
      </w:pPr>
      <w:r>
        <w:rPr/>
      </w:r>
    </w:p>
    <w:p>
      <w:pPr>
        <w:pStyle w:val="Normal"/>
        <w:ind w:firstLine="270"/>
        <w:jc w:val="both"/>
        <w:rPr/>
      </w:pPr>
      <w:r>
        <w:rPr/>
        <w:t>Напор воды для промывки фильтров следует принимать с учетом потерь напора в распределительной системе, подводящих коммуникациях промывной воды и при загрузке фильтров.</w:t>
      </w:r>
    </w:p>
    <w:p>
      <w:pPr>
        <w:pStyle w:val="Normal"/>
        <w:ind w:firstLine="225"/>
        <w:jc w:val="both"/>
        <w:rPr/>
      </w:pPr>
      <w:r>
        <w:rPr/>
      </w:r>
    </w:p>
    <w:p>
      <w:pPr>
        <w:pStyle w:val="Normal"/>
        <w:ind w:firstLine="270"/>
        <w:jc w:val="both"/>
        <w:rPr/>
      </w:pPr>
      <w:r>
        <w:rPr/>
        <w:t>Насос для подачи воды в бак должен обеспечивать его наполнение за время не больше, чем интервалы между промывками фильтров при форсированном режиме. Забор воды насосом, подающим воду в бак, следует производить из резервуара фильтрованной воды. Допускается производить забор из трубопровода фильтрованной воды, если он не превышает 50 % расхода фильтрата.</w:t>
      </w:r>
    </w:p>
    <w:p>
      <w:pPr>
        <w:pStyle w:val="Normal"/>
        <w:ind w:firstLine="225"/>
        <w:jc w:val="both"/>
        <w:rPr/>
      </w:pPr>
      <w:r>
        <w:rPr/>
      </w:r>
    </w:p>
    <w:p>
      <w:pPr>
        <w:pStyle w:val="Normal"/>
        <w:ind w:firstLine="270"/>
        <w:jc w:val="both"/>
        <w:rPr/>
      </w:pPr>
      <w:r>
        <w:rPr/>
        <w:t>Для промывки фильтров забор воды должен производиться из резервуаров фильтрованной воды, в которых надлежит предусматривать запас воды на одну дополнительную промывку сверх расчетного их числа.</w:t>
      </w:r>
    </w:p>
    <w:p>
      <w:pPr>
        <w:pStyle w:val="Normal"/>
        <w:ind w:firstLine="225"/>
        <w:jc w:val="both"/>
        <w:rPr/>
      </w:pPr>
      <w:r>
        <w:rPr/>
      </w:r>
    </w:p>
    <w:p>
      <w:pPr>
        <w:pStyle w:val="Normal"/>
        <w:ind w:firstLine="270"/>
        <w:jc w:val="both"/>
        <w:rPr/>
      </w:pPr>
      <w:r>
        <w:rPr/>
        <w:t>Скорости движения воды в трубопроводах, подающих и отводящих промывную воду, следует принимать 1,5-2 м/с. Должна быть исключена возможность подсоса воздуха в трубопроводы, подающие промывную воду на фильтры, а также подпора воды в трубопроводах, отводящих промывную воду.</w:t>
      </w:r>
    </w:p>
    <w:p>
      <w:pPr>
        <w:pStyle w:val="Normal"/>
        <w:ind w:firstLine="45"/>
        <w:jc w:val="both"/>
        <w:rPr/>
      </w:pPr>
      <w:r>
        <w:rPr/>
      </w:r>
    </w:p>
    <w:p>
      <w:pPr>
        <w:pStyle w:val="Normal"/>
        <w:ind w:firstLine="225"/>
        <w:jc w:val="both"/>
        <w:rPr/>
      </w:pPr>
      <w:r>
        <w:rPr/>
      </w:r>
    </w:p>
    <w:p>
      <w:pPr>
        <w:pStyle w:val="Normal"/>
        <w:ind w:firstLine="225"/>
        <w:jc w:val="both"/>
        <w:rPr/>
      </w:pPr>
      <w:r>
        <w:rPr/>
      </w:r>
    </w:p>
    <w:p>
      <w:pPr>
        <w:pStyle w:val="Heading"/>
        <w:jc w:val="center"/>
        <w:rPr/>
      </w:pPr>
      <w:r>
        <w:rPr/>
        <w:t xml:space="preserve">Крупнозернистые фильтры </w:t>
      </w:r>
    </w:p>
    <w:p>
      <w:pPr>
        <w:pStyle w:val="Normal"/>
        <w:ind w:firstLine="270"/>
        <w:jc w:val="both"/>
        <w:rPr/>
      </w:pPr>
      <w:r>
        <w:rPr/>
      </w:r>
    </w:p>
    <w:p>
      <w:pPr>
        <w:pStyle w:val="Normal"/>
        <w:ind w:firstLine="225"/>
        <w:jc w:val="both"/>
        <w:rPr/>
      </w:pPr>
      <w:r>
        <w:rPr/>
      </w:r>
    </w:p>
    <w:p>
      <w:pPr>
        <w:pStyle w:val="Normal"/>
        <w:ind w:firstLine="270"/>
        <w:jc w:val="both"/>
        <w:rPr/>
      </w:pPr>
      <w:r>
        <w:rPr/>
        <w:t>6.118. Крупнозернистые фильтры следует применять для частичного осветления воды, используемой для производственных целей, с коагуляцией или без нее.</w:t>
      </w:r>
    </w:p>
    <w:p>
      <w:pPr>
        <w:pStyle w:val="Normal"/>
        <w:ind w:firstLine="225"/>
        <w:jc w:val="both"/>
        <w:rPr/>
      </w:pPr>
      <w:r>
        <w:rPr/>
      </w:r>
    </w:p>
    <w:p>
      <w:pPr>
        <w:pStyle w:val="Normal"/>
        <w:ind w:firstLine="270"/>
        <w:jc w:val="both"/>
        <w:rPr/>
      </w:pPr>
      <w:r>
        <w:rPr/>
        <w:t>6.119. Для загрузки фильтров следует применять кварцевый песок и другие материалы, обеспечивающие технологический процесс и обладающие требуемой механической прочностью и химической стойкостью. Характеристика загрузки фильтров приведена в табл. 24.</w:t>
      </w:r>
    </w:p>
    <w:p>
      <w:pPr>
        <w:pStyle w:val="Normal"/>
        <w:ind w:firstLine="270"/>
        <w:jc w:val="both"/>
        <w:rPr/>
      </w:pPr>
      <w:r>
        <w:rPr/>
      </w:r>
    </w:p>
    <w:p>
      <w:pPr>
        <w:pStyle w:val="Normal"/>
        <w:ind w:firstLine="225"/>
        <w:jc w:val="both"/>
        <w:rPr/>
      </w:pPr>
      <w:r>
        <w:rPr/>
        <w:t>6.120. Напорные крупнозернистые фильтры следует рассчитывать на предельную потерю напора в фильтрующей загрузке и дренаже до 15 м, открытые - 3-3,5 м. В открытых фильтрах необходимо предусматривать слой воды над уровнем загрузки 1,5 м.</w:t>
      </w:r>
    </w:p>
    <w:p>
      <w:pPr>
        <w:pStyle w:val="Normal"/>
        <w:ind w:firstLine="225"/>
        <w:jc w:val="both"/>
        <w:rPr/>
      </w:pPr>
      <w:r>
        <w:rPr/>
      </w:r>
    </w:p>
    <w:p>
      <w:pPr>
        <w:pStyle w:val="Normal"/>
        <w:ind w:firstLine="270"/>
        <w:jc w:val="both"/>
        <w:rPr/>
      </w:pPr>
      <w:r>
        <w:rPr/>
      </w:r>
    </w:p>
    <w:p>
      <w:pPr>
        <w:pStyle w:val="Normal"/>
        <w:jc w:val="end"/>
        <w:rPr/>
      </w:pPr>
      <w:r>
        <w:rPr/>
        <w:t xml:space="preserve">Таблица 24 </w:t>
      </w:r>
    </w:p>
    <w:p>
      <w:pPr>
        <w:pStyle w:val="Normal"/>
        <w:ind w:firstLine="270"/>
        <w:jc w:val="both"/>
        <w:rPr/>
      </w:pPr>
      <w:r>
        <w:rPr/>
      </w:r>
    </w:p>
    <w:p>
      <w:pPr>
        <w:pStyle w:val="Normal"/>
        <w:ind w:firstLine="270"/>
        <w:jc w:val="both"/>
        <w:rPr/>
      </w:pPr>
      <w:r>
        <w:rPr/>
      </w:r>
    </w:p>
    <w:tbl>
      <w:tblPr>
        <w:tblW w:w="6815" w:type="dxa"/>
        <w:jc w:val="start"/>
        <w:tblInd w:w="45" w:type="dxa"/>
        <w:tblBorders>
          <w:top w:val="single" w:sz="2" w:space="0" w:color="000000"/>
          <w:start w:val="single" w:sz="2" w:space="0" w:color="000000"/>
          <w:bottom w:val="single" w:sz="2" w:space="0" w:color="000000"/>
          <w:insideH w:val="single" w:sz="2" w:space="0" w:color="000000"/>
        </w:tblBorders>
        <w:tblCellMar>
          <w:top w:w="0" w:type="dxa"/>
          <w:start w:w="42" w:type="dxa"/>
          <w:bottom w:w="0" w:type="dxa"/>
          <w:end w:w="45" w:type="dxa"/>
        </w:tblCellMar>
      </w:tblPr>
      <w:tblGrid>
        <w:gridCol w:w="1290"/>
        <w:gridCol w:w="1290"/>
        <w:gridCol w:w="1560"/>
        <w:gridCol w:w="1290"/>
        <w:gridCol w:w="1385"/>
      </w:tblGrid>
      <w:tr>
        <w:trPr/>
        <w:tc>
          <w:tcPr>
            <w:tcW w:w="12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vanish/>
              </w:rPr>
              <w:t>#G0</w:t>
            </w:r>
            <w:r>
              <w:rPr/>
              <w:t xml:space="preserve">Материал загрузки </w:t>
            </w:r>
          </w:p>
          <w:p>
            <w:pPr>
              <w:pStyle w:val="Normal"/>
              <w:jc w:val="center"/>
              <w:rPr/>
            </w:pPr>
            <w:r>
              <w:rPr/>
            </w:r>
          </w:p>
        </w:tc>
        <w:tc>
          <w:tcPr>
            <w:tcW w:w="12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Крупность материала загрузки, мм </w:t>
            </w:r>
          </w:p>
          <w:p>
            <w:pPr>
              <w:pStyle w:val="Normal"/>
              <w:rPr/>
            </w:pPr>
            <w:r>
              <w:rPr/>
            </w:r>
          </w:p>
        </w:tc>
        <w:tc>
          <w:tcPr>
            <w:tcW w:w="156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Коэффициент неоднородности, не более </w:t>
            </w:r>
          </w:p>
          <w:p>
            <w:pPr>
              <w:pStyle w:val="Normal"/>
              <w:rPr/>
            </w:pPr>
            <w:r>
              <w:rPr/>
            </w:r>
          </w:p>
        </w:tc>
        <w:tc>
          <w:tcPr>
            <w:tcW w:w="12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Высота слоя загрузки, м </w:t>
            </w:r>
          </w:p>
          <w:p>
            <w:pPr>
              <w:pStyle w:val="Normal"/>
              <w:rPr/>
            </w:pPr>
            <w:r>
              <w:rPr/>
            </w:r>
          </w:p>
        </w:tc>
        <w:tc>
          <w:tcPr>
            <w:tcW w:w="138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Скорость фильтрования, м/ч </w:t>
            </w:r>
          </w:p>
          <w:p>
            <w:pPr>
              <w:pStyle w:val="Normal"/>
              <w:rPr/>
            </w:pPr>
            <w:r>
              <w:rPr/>
            </w:r>
          </w:p>
        </w:tc>
      </w:tr>
      <w:tr>
        <w:trPr/>
        <w:tc>
          <w:tcPr>
            <w:tcW w:w="1290" w:type="dxa"/>
            <w:tcBorders>
              <w:start w:val="single" w:sz="2" w:space="0" w:color="000000"/>
            </w:tcBorders>
            <w:shd w:fill="auto" w:val="clear"/>
            <w:tcMar>
              <w:start w:w="42" w:type="dxa"/>
            </w:tcMar>
          </w:tcPr>
          <w:p>
            <w:pPr>
              <w:pStyle w:val="Normal"/>
              <w:snapToGrid w:val="false"/>
              <w:jc w:val="both"/>
              <w:rPr/>
            </w:pPr>
            <w:r>
              <w:rPr/>
            </w:r>
          </w:p>
          <w:p>
            <w:pPr>
              <w:pStyle w:val="Normal"/>
              <w:jc w:val="both"/>
              <w:rPr/>
            </w:pPr>
            <w:r>
              <w:rPr/>
              <w:t xml:space="preserve">Кварцевый песок </w:t>
            </w:r>
          </w:p>
          <w:p>
            <w:pPr>
              <w:pStyle w:val="Normal"/>
              <w:jc w:val="both"/>
              <w:rPr/>
            </w:pPr>
            <w:r>
              <w:rPr/>
            </w:r>
          </w:p>
        </w:tc>
        <w:tc>
          <w:tcPr>
            <w:tcW w:w="1290" w:type="dxa"/>
            <w:tcBorders>
              <w:start w:val="single" w:sz="2" w:space="0" w:color="000000"/>
            </w:tcBorders>
            <w:shd w:fill="auto" w:val="clear"/>
            <w:tcMar>
              <w:start w:w="42" w:type="dxa"/>
            </w:tcMar>
          </w:tcPr>
          <w:p>
            <w:pPr>
              <w:pStyle w:val="Normal"/>
              <w:snapToGrid w:val="false"/>
              <w:jc w:val="center"/>
              <w:rPr/>
            </w:pPr>
            <w:r>
              <w:rPr/>
            </w:r>
          </w:p>
          <w:p>
            <w:pPr>
              <w:pStyle w:val="Normal"/>
              <w:jc w:val="center"/>
              <w:rPr/>
            </w:pPr>
            <w:r>
              <w:rPr/>
              <w:t xml:space="preserve">1 - 2 </w:t>
            </w:r>
          </w:p>
          <w:p>
            <w:pPr>
              <w:pStyle w:val="Normal"/>
              <w:jc w:val="center"/>
              <w:rPr/>
            </w:pPr>
            <w:r>
              <w:rPr/>
            </w:r>
          </w:p>
        </w:tc>
        <w:tc>
          <w:tcPr>
            <w:tcW w:w="156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1,8 </w:t>
            </w:r>
          </w:p>
          <w:p>
            <w:pPr>
              <w:pStyle w:val="Normal"/>
              <w:rPr/>
            </w:pPr>
            <w:r>
              <w:rPr/>
            </w:r>
          </w:p>
        </w:tc>
        <w:tc>
          <w:tcPr>
            <w:tcW w:w="129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1,5 - 2 </w:t>
            </w:r>
          </w:p>
          <w:p>
            <w:pPr>
              <w:pStyle w:val="Normal"/>
              <w:rPr/>
            </w:pPr>
            <w:r>
              <w:rPr/>
            </w:r>
          </w:p>
        </w:tc>
        <w:tc>
          <w:tcPr>
            <w:tcW w:w="1385" w:type="dxa"/>
            <w:tcBorders>
              <w:start w:val="single" w:sz="2" w:space="0" w:color="000000"/>
              <w:end w:val="single" w:sz="2" w:space="0" w:color="000000"/>
              <w:insideV w:val="single" w:sz="2" w:space="0" w:color="000000"/>
            </w:tcBorders>
            <w:shd w:fill="auto" w:val="clear"/>
            <w:tcMar>
              <w:start w:w="42" w:type="dxa"/>
            </w:tcMar>
          </w:tcPr>
          <w:p>
            <w:pPr>
              <w:pStyle w:val="Normal"/>
              <w:snapToGrid w:val="false"/>
              <w:rPr/>
            </w:pPr>
            <w:r>
              <w:rPr/>
            </w:r>
          </w:p>
          <w:p>
            <w:pPr>
              <w:pStyle w:val="Normal"/>
              <w:rPr/>
            </w:pPr>
            <w:r>
              <w:rPr/>
              <w:t xml:space="preserve">10  - 12 </w:t>
            </w:r>
          </w:p>
          <w:p>
            <w:pPr>
              <w:pStyle w:val="Normal"/>
              <w:rPr/>
            </w:pPr>
            <w:r>
              <w:rPr/>
            </w:r>
          </w:p>
        </w:tc>
      </w:tr>
      <w:tr>
        <w:trPr/>
        <w:tc>
          <w:tcPr>
            <w:tcW w:w="1290"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jc w:val="both"/>
              <w:rPr/>
            </w:pPr>
            <w:r>
              <w:rPr/>
            </w:r>
          </w:p>
          <w:p>
            <w:pPr>
              <w:pStyle w:val="Normal"/>
              <w:jc w:val="both"/>
              <w:rPr/>
            </w:pPr>
            <w:r>
              <w:rPr/>
              <w:t>То же</w:t>
            </w:r>
          </w:p>
          <w:p>
            <w:pPr>
              <w:pStyle w:val="Normal"/>
              <w:jc w:val="both"/>
              <w:rPr/>
            </w:pPr>
            <w:r>
              <w:rPr/>
            </w:r>
          </w:p>
          <w:p>
            <w:pPr>
              <w:pStyle w:val="Normal"/>
              <w:jc w:val="both"/>
              <w:rPr/>
            </w:pPr>
            <w:r>
              <w:rPr/>
            </w:r>
          </w:p>
        </w:tc>
        <w:tc>
          <w:tcPr>
            <w:tcW w:w="1290"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jc w:val="center"/>
              <w:rPr/>
            </w:pPr>
            <w:r>
              <w:rPr/>
            </w:r>
          </w:p>
          <w:p>
            <w:pPr>
              <w:pStyle w:val="Normal"/>
              <w:jc w:val="center"/>
              <w:rPr/>
            </w:pPr>
            <w:r>
              <w:rPr/>
              <w:t xml:space="preserve">1,6  - 2,5 </w:t>
            </w:r>
          </w:p>
          <w:p>
            <w:pPr>
              <w:pStyle w:val="Normal"/>
              <w:jc w:val="center"/>
              <w:rPr/>
            </w:pPr>
            <w:r>
              <w:rPr/>
            </w:r>
          </w:p>
        </w:tc>
        <w:tc>
          <w:tcPr>
            <w:tcW w:w="1560"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2 </w:t>
            </w:r>
          </w:p>
          <w:p>
            <w:pPr>
              <w:pStyle w:val="Normal"/>
              <w:rPr/>
            </w:pPr>
            <w:r>
              <w:rPr/>
            </w:r>
          </w:p>
        </w:tc>
        <w:tc>
          <w:tcPr>
            <w:tcW w:w="1290"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2,5 -  3 </w:t>
            </w:r>
          </w:p>
          <w:p>
            <w:pPr>
              <w:pStyle w:val="Normal"/>
              <w:rPr/>
            </w:pPr>
            <w:r>
              <w:rPr/>
            </w:r>
          </w:p>
        </w:tc>
        <w:tc>
          <w:tcPr>
            <w:tcW w:w="138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snapToGrid w:val="false"/>
              <w:rPr/>
            </w:pPr>
            <w:r>
              <w:rPr/>
            </w:r>
          </w:p>
          <w:p>
            <w:pPr>
              <w:pStyle w:val="Normal"/>
              <w:rPr/>
            </w:pPr>
            <w:r>
              <w:rPr/>
              <w:t xml:space="preserve">13 - 15 </w:t>
            </w:r>
          </w:p>
          <w:p>
            <w:pPr>
              <w:pStyle w:val="Normal"/>
              <w:rPr/>
            </w:pPr>
            <w:r>
              <w:rPr/>
            </w:r>
          </w:p>
        </w:tc>
      </w:tr>
    </w:tbl>
    <w:p>
      <w:pPr>
        <w:pStyle w:val="Normal"/>
        <w:jc w:val="both"/>
        <w:rPr/>
      </w:pPr>
      <w:r>
        <w:rPr/>
      </w:r>
    </w:p>
    <w:p>
      <w:pPr>
        <w:pStyle w:val="Normal"/>
        <w:ind w:firstLine="270"/>
        <w:jc w:val="both"/>
        <w:rPr/>
      </w:pPr>
      <w:r>
        <w:rPr/>
        <w:t>Примечание. Для частичного осветления воды допускается применение фильтров специальной конструкции с плавающей загрузкой из пенополистирола.</w:t>
      </w:r>
    </w:p>
    <w:p>
      <w:pPr>
        <w:pStyle w:val="Normal"/>
        <w:ind w:firstLine="270"/>
        <w:jc w:val="both"/>
        <w:rPr/>
      </w:pPr>
      <w:r>
        <w:rPr/>
      </w:r>
    </w:p>
    <w:p>
      <w:pPr>
        <w:pStyle w:val="Normal"/>
        <w:ind w:firstLine="270"/>
        <w:jc w:val="both"/>
        <w:rPr/>
      </w:pPr>
      <w:r>
        <w:rPr/>
      </w:r>
    </w:p>
    <w:p>
      <w:pPr>
        <w:pStyle w:val="Normal"/>
        <w:ind w:firstLine="225"/>
        <w:jc w:val="both"/>
        <w:rPr/>
      </w:pPr>
      <w:r>
        <w:rPr/>
        <w:t>6.121. Промывку крупнозернистых фильтров надлежит предусматривать с применением воды и воздуха. Водяную и воздушную распределительные системы или объединенную водовоздушную распределительную систему надлежит рассчитывать согласно пп. 6.108, 6.109, 6.115-6.117 на подачу воды и воздуха с интенсивностями, приведенными в п. 6.123.</w:t>
      </w:r>
    </w:p>
    <w:p>
      <w:pPr>
        <w:pStyle w:val="Normal"/>
        <w:ind w:firstLine="225"/>
        <w:jc w:val="both"/>
        <w:rPr/>
      </w:pPr>
      <w:r>
        <w:rPr/>
      </w:r>
    </w:p>
    <w:p>
      <w:pPr>
        <w:pStyle w:val="Normal"/>
        <w:ind w:firstLine="225"/>
        <w:jc w:val="both"/>
        <w:rPr/>
      </w:pPr>
      <w:r>
        <w:rPr/>
        <w:t>6.122. Проектирование устройств для отвода промывной воды из открытых фильтров надлежит производить согласно п. 6.116.</w:t>
      </w:r>
    </w:p>
    <w:p>
      <w:pPr>
        <w:pStyle w:val="Normal"/>
        <w:ind w:firstLine="225"/>
        <w:jc w:val="both"/>
        <w:rPr/>
      </w:pPr>
      <w:r>
        <w:rPr/>
      </w:r>
    </w:p>
    <w:p>
      <w:pPr>
        <w:pStyle w:val="Normal"/>
        <w:ind w:firstLine="225"/>
        <w:jc w:val="both"/>
        <w:rPr/>
      </w:pPr>
      <w:r>
        <w:rPr/>
        <w:t>6.123. При расчете крупнозернистых фильтров надлежит принимать следующий режим промывки: взрыхление фильтрующей загрузки воздухом интенсивностью 15-25 л/(с·кв.м) - 1 мин; водовоздушная промывка с интенсивностью 3,5-5 л/(с·кв.м) воды и 15-25 л/(с·кв.м) воздуха - 5 мин; отмывка водой с интенсивностью 7-9 л/(с·кв.м) - 3 мин. Большие значения интенсивности промывки относятся к более крупной загрузке.</w:t>
      </w:r>
    </w:p>
    <w:p>
      <w:pPr>
        <w:pStyle w:val="Normal"/>
        <w:ind w:firstLine="270"/>
        <w:jc w:val="both"/>
        <w:rPr/>
      </w:pPr>
      <w:r>
        <w:rPr/>
      </w:r>
    </w:p>
    <w:p>
      <w:pPr>
        <w:pStyle w:val="Normal"/>
        <w:ind w:firstLine="225"/>
        <w:jc w:val="both"/>
        <w:rPr/>
      </w:pPr>
      <w:r>
        <w:rPr/>
        <w:t>6.124. Площадь крупнозернистых фильтров следует определять согласно п. 6.98.</w:t>
      </w:r>
    </w:p>
    <w:p>
      <w:pPr>
        <w:pStyle w:val="Normal"/>
        <w:ind w:firstLine="225"/>
        <w:jc w:val="both"/>
        <w:rPr/>
      </w:pPr>
      <w:r>
        <w:rPr/>
      </w:r>
    </w:p>
    <w:p>
      <w:pPr>
        <w:pStyle w:val="Normal"/>
        <w:ind w:firstLine="225"/>
        <w:jc w:val="both"/>
        <w:rPr/>
      </w:pPr>
      <w:r>
        <w:rPr/>
        <w:t xml:space="preserve">6.125. При количестве фильтров до 10 следует предусматривать возможность выключения на ремонт одного фильтра, при большем количестве - двух фильтров. При этом скорость фильтрования на оставшихся в работе фильтрах не должна превышать наибольших значений, указанных в табл. 24.      </w:t>
      </w:r>
    </w:p>
    <w:p>
      <w:pPr>
        <w:pStyle w:val="Normal"/>
        <w:ind w:firstLine="225"/>
        <w:jc w:val="both"/>
        <w:rPr/>
      </w:pPr>
      <w:r>
        <w:rPr/>
      </w:r>
    </w:p>
    <w:p>
      <w:pPr>
        <w:pStyle w:val="Normal"/>
        <w:ind w:firstLine="225"/>
        <w:jc w:val="both"/>
        <w:rPr/>
      </w:pPr>
      <w:r>
        <w:rPr/>
      </w:r>
    </w:p>
    <w:p>
      <w:pPr>
        <w:pStyle w:val="Heading"/>
        <w:jc w:val="center"/>
        <w:rPr/>
      </w:pPr>
      <w:r>
        <w:rPr/>
        <w:t>Контактные осветлители</w:t>
      </w:r>
    </w:p>
    <w:p>
      <w:pPr>
        <w:pStyle w:val="Heading"/>
        <w:jc w:val="center"/>
        <w:rPr/>
      </w:pPr>
      <w:r>
        <w:rPr/>
      </w:r>
    </w:p>
    <w:p>
      <w:pPr>
        <w:pStyle w:val="Normal"/>
        <w:ind w:firstLine="270"/>
        <w:jc w:val="both"/>
        <w:rPr/>
      </w:pPr>
      <w:r>
        <w:rPr/>
      </w:r>
    </w:p>
    <w:p>
      <w:pPr>
        <w:pStyle w:val="Normal"/>
        <w:ind w:firstLine="270"/>
        <w:jc w:val="both"/>
        <w:rPr/>
      </w:pPr>
      <w:r>
        <w:rPr/>
        <w:t>6.126. На станциях контактного осветления воды надлежит предусматривать сетчатые барабанные фильтры и входную камеру, обеспечивающую требуемый напор воды, смешение и контакт воды с реагентами, а также выделение из воды воздуха.</w:t>
      </w:r>
    </w:p>
    <w:p>
      <w:pPr>
        <w:pStyle w:val="Normal"/>
        <w:ind w:firstLine="270"/>
        <w:jc w:val="both"/>
        <w:rPr/>
      </w:pPr>
      <w:r>
        <w:rPr/>
      </w:r>
    </w:p>
    <w:p>
      <w:pPr>
        <w:pStyle w:val="Normal"/>
        <w:ind w:firstLine="225"/>
        <w:jc w:val="both"/>
        <w:rPr/>
      </w:pPr>
      <w:r>
        <w:rPr/>
        <w:t>6.127. Объем входной камеры должен определяться из условия пребывания воды в ней не менее 5 мин. Камера должна быть секционирована не менее чем на 2 отделения, в каждом из которых надлежит предусматривать переливные и спускные трубы.</w:t>
      </w:r>
    </w:p>
    <w:p>
      <w:pPr>
        <w:pStyle w:val="Normal"/>
        <w:ind w:firstLine="270"/>
        <w:jc w:val="both"/>
        <w:rPr/>
      </w:pPr>
      <w:r>
        <w:rPr/>
      </w:r>
    </w:p>
    <w:p>
      <w:pPr>
        <w:pStyle w:val="Normal"/>
        <w:ind w:firstLine="270"/>
        <w:jc w:val="both"/>
        <w:rPr/>
      </w:pPr>
      <w:r>
        <w:rPr/>
        <w:t>Примечания: 1. Сетчатые барабанные фильтры надлежит располагать над входной камерой; установка их в отельно стоящем здании допускается при обосновании. Проектирование их следует выполнять согласно пп. 6.11-6.14.</w:t>
      </w:r>
    </w:p>
    <w:p>
      <w:pPr>
        <w:pStyle w:val="Normal"/>
        <w:ind w:firstLine="225"/>
        <w:jc w:val="both"/>
        <w:rPr/>
      </w:pPr>
      <w:r>
        <w:rPr/>
      </w:r>
    </w:p>
    <w:p>
      <w:pPr>
        <w:pStyle w:val="Normal"/>
        <w:ind w:firstLine="270"/>
        <w:jc w:val="both"/>
        <w:rPr/>
      </w:pPr>
      <w:r>
        <w:rPr/>
        <w:t>2. Смесительные устройства, последовательность и время разрыва между вводом реагентов надлежит принимать согласно пп. 6.40; 6.41; 6.17-6.19.</w:t>
      </w:r>
    </w:p>
    <w:p>
      <w:pPr>
        <w:pStyle w:val="Normal"/>
        <w:ind w:firstLine="270"/>
        <w:jc w:val="both"/>
        <w:rPr/>
      </w:pPr>
      <w:r>
        <w:rPr/>
      </w:r>
    </w:p>
    <w:p>
      <w:pPr>
        <w:pStyle w:val="Normal"/>
        <w:ind w:firstLine="225"/>
        <w:jc w:val="both"/>
        <w:rPr/>
      </w:pPr>
      <w:r>
        <w:rPr/>
        <w:t>При этом необходимо предусматривать возможность дополнительного ввода реагента после входной камеры.</w:t>
      </w:r>
    </w:p>
    <w:p>
      <w:pPr>
        <w:pStyle w:val="Normal"/>
        <w:ind w:firstLine="270"/>
        <w:jc w:val="both"/>
        <w:rPr/>
      </w:pPr>
      <w:r>
        <w:rPr/>
      </w:r>
    </w:p>
    <w:p>
      <w:pPr>
        <w:pStyle w:val="Normal"/>
        <w:ind w:firstLine="270"/>
        <w:jc w:val="both"/>
        <w:rPr/>
      </w:pPr>
      <w:r>
        <w:rPr/>
        <w:t xml:space="preserve">6.128. Превышение уровня воды во входных камерах над уровнем в контактных осветлителях </w:t>
      </w:r>
    </w:p>
    <w:tbl>
      <w:tblPr>
        <w:tblW w:w="8085" w:type="dxa"/>
        <w:jc w:val="start"/>
        <w:tblInd w:w="30" w:type="dxa"/>
        <w:tblBorders/>
        <w:tblCellMar>
          <w:top w:w="0" w:type="dxa"/>
          <w:start w:w="15" w:type="dxa"/>
          <w:bottom w:w="0" w:type="dxa"/>
          <w:end w:w="15" w:type="dxa"/>
        </w:tblCellMar>
      </w:tblPr>
      <w:tblGrid>
        <w:gridCol w:w="405"/>
        <w:gridCol w:w="7680"/>
      </w:tblGrid>
      <w:tr>
        <w:trPr/>
        <w:tc>
          <w:tcPr>
            <w:tcW w:w="405" w:type="dxa"/>
            <w:tcBorders/>
            <w:shd w:fill="auto" w:val="clear"/>
          </w:tcPr>
          <w:p>
            <w:pPr>
              <w:pStyle w:val="Normal"/>
              <w:rPr>
                <w:sz w:val="24"/>
              </w:rPr>
            </w:pPr>
            <w:r>
              <w:rPr/>
              <w:drawing>
                <wp:inline distT="0" distB="0" distL="0" distR="0">
                  <wp:extent cx="207645" cy="207645"/>
                  <wp:effectExtent l="0" t="0" r="0" b="0"/>
                  <wp:docPr id="126" name="Изображение1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126" descr="" title=""/>
                          <pic:cNvPicPr>
                            <a:picLocks noChangeAspect="1" noChangeArrowheads="1"/>
                          </pic:cNvPicPr>
                        </pic:nvPicPr>
                        <pic:blipFill>
                          <a:blip r:embed="rId127"/>
                          <a:stretch>
                            <a:fillRect/>
                          </a:stretch>
                        </pic:blipFill>
                        <pic:spPr bwMode="auto">
                          <a:xfrm>
                            <a:off x="0" y="0"/>
                            <a:ext cx="207645" cy="207645"/>
                          </a:xfrm>
                          <a:prstGeom prst="rect">
                            <a:avLst/>
                          </a:prstGeom>
                        </pic:spPr>
                      </pic:pic>
                    </a:graphicData>
                  </a:graphic>
                </wp:inline>
              </w:drawing>
            </w:r>
          </w:p>
        </w:tc>
        <w:tc>
          <w:tcPr>
            <w:tcW w:w="7680" w:type="dxa"/>
            <w:tcBorders/>
            <w:shd w:fill="auto" w:val="clear"/>
          </w:tcPr>
          <w:p>
            <w:pPr>
              <w:pStyle w:val="Normal"/>
              <w:jc w:val="both"/>
              <w:rPr/>
            </w:pPr>
            <w:r>
              <w:rPr>
                <w:vanish/>
              </w:rPr>
              <w:t>#G0</w:t>
            </w:r>
            <w:r>
              <w:rPr/>
              <w:t xml:space="preserve">, м, следует определять по формуле </w:t>
            </w:r>
          </w:p>
          <w:p>
            <w:pPr>
              <w:pStyle w:val="Normal"/>
              <w:jc w:val="both"/>
              <w:rPr/>
            </w:pPr>
            <w:r>
              <w:rPr/>
            </w:r>
          </w:p>
        </w:tc>
      </w:tr>
    </w:tbl>
    <w:p>
      <w:pPr>
        <w:pStyle w:val="Normal"/>
        <w:ind w:firstLine="225"/>
        <w:jc w:val="both"/>
        <w:rPr/>
      </w:pPr>
      <w:r>
        <w:rPr/>
      </w:r>
    </w:p>
    <w:tbl>
      <w:tblPr>
        <w:tblW w:w="4335" w:type="dxa"/>
        <w:jc w:val="start"/>
        <w:tblInd w:w="165" w:type="dxa"/>
        <w:tblBorders/>
        <w:tblCellMar>
          <w:top w:w="0" w:type="dxa"/>
          <w:start w:w="15" w:type="dxa"/>
          <w:bottom w:w="0" w:type="dxa"/>
          <w:end w:w="15" w:type="dxa"/>
        </w:tblCellMar>
      </w:tblPr>
      <w:tblGrid>
        <w:gridCol w:w="1935"/>
        <w:gridCol w:w="2400"/>
      </w:tblGrid>
      <w:tr>
        <w:trPr/>
        <w:tc>
          <w:tcPr>
            <w:tcW w:w="1935" w:type="dxa"/>
            <w:tcBorders/>
            <w:shd w:fill="auto" w:val="clear"/>
          </w:tcPr>
          <w:p>
            <w:pPr>
              <w:pStyle w:val="Normal"/>
              <w:rPr/>
            </w:pPr>
            <w:r>
              <w:rPr>
                <w:vanish/>
              </w:rPr>
              <w:t>#G0</w:t>
            </w:r>
            <w:r>
              <w:rPr/>
              <w:t xml:space="preserve">  </w:t>
            </w:r>
          </w:p>
          <w:p>
            <w:pPr>
              <w:pStyle w:val="Normal"/>
              <w:rPr/>
            </w:pPr>
            <w:r>
              <w:rPr/>
              <w:drawing>
                <wp:inline distT="0" distB="0" distL="0" distR="0">
                  <wp:extent cx="1048385" cy="241935"/>
                  <wp:effectExtent l="0" t="0" r="0" b="0"/>
                  <wp:docPr id="127" name="Изображение1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Изображение127" descr="" title=""/>
                          <pic:cNvPicPr>
                            <a:picLocks noChangeAspect="1" noChangeArrowheads="1"/>
                          </pic:cNvPicPr>
                        </pic:nvPicPr>
                        <pic:blipFill>
                          <a:blip r:embed="rId128"/>
                          <a:stretch>
                            <a:fillRect/>
                          </a:stretch>
                        </pic:blipFill>
                        <pic:spPr bwMode="auto">
                          <a:xfrm>
                            <a:off x="0" y="0"/>
                            <a:ext cx="1048385" cy="241935"/>
                          </a:xfrm>
                          <a:prstGeom prst="rect">
                            <a:avLst/>
                          </a:prstGeom>
                        </pic:spPr>
                      </pic:pic>
                    </a:graphicData>
                  </a:graphic>
                </wp:inline>
              </w:drawing>
            </w:r>
          </w:p>
        </w:tc>
        <w:tc>
          <w:tcPr>
            <w:tcW w:w="2400" w:type="dxa"/>
            <w:tcBorders/>
            <w:shd w:fill="auto" w:val="clear"/>
          </w:tcPr>
          <w:p>
            <w:pPr>
              <w:pStyle w:val="Normal"/>
              <w:rPr/>
            </w:pPr>
            <w:r>
              <w:rPr/>
              <w:t xml:space="preserve"> </w:t>
            </w:r>
          </w:p>
          <w:p>
            <w:pPr>
              <w:pStyle w:val="Normal"/>
              <w:rPr/>
            </w:pPr>
            <w:r>
              <w:rPr/>
              <w:t xml:space="preserve">                                           </w:t>
            </w:r>
            <w:r>
              <w:rPr/>
              <w:t>(26)</w:t>
            </w:r>
          </w:p>
          <w:p>
            <w:pPr>
              <w:pStyle w:val="Normal"/>
              <w:rPr/>
            </w:pPr>
            <w:r>
              <w:rPr/>
            </w:r>
          </w:p>
        </w:tc>
      </w:tr>
    </w:tbl>
    <w:p>
      <w:pPr>
        <w:pStyle w:val="Normal"/>
        <w:ind w:firstLine="270"/>
        <w:jc w:val="both"/>
        <w:rPr/>
      </w:pPr>
      <w:r>
        <w:rPr/>
        <w:tab/>
        <w:tab/>
        <w:tab/>
        <w:t xml:space="preserve">     </w:t>
        <w:tab/>
        <w:tab/>
        <w:tab/>
      </w:r>
    </w:p>
    <w:tbl>
      <w:tblPr>
        <w:tblW w:w="8115" w:type="dxa"/>
        <w:jc w:val="start"/>
        <w:tblInd w:w="165" w:type="dxa"/>
        <w:tblBorders/>
        <w:tblCellMar>
          <w:top w:w="0" w:type="dxa"/>
          <w:start w:w="15" w:type="dxa"/>
          <w:bottom w:w="0" w:type="dxa"/>
          <w:end w:w="15" w:type="dxa"/>
        </w:tblCellMar>
      </w:tblPr>
      <w:tblGrid>
        <w:gridCol w:w="450"/>
        <w:gridCol w:w="600"/>
        <w:gridCol w:w="7065"/>
      </w:tblGrid>
      <w:tr>
        <w:trPr/>
        <w:tc>
          <w:tcPr>
            <w:tcW w:w="450" w:type="dxa"/>
            <w:tcBorders/>
            <w:shd w:fill="auto" w:val="clear"/>
          </w:tcPr>
          <w:p>
            <w:pPr>
              <w:pStyle w:val="Normal"/>
              <w:rPr/>
            </w:pPr>
            <w:r>
              <w:rPr>
                <w:vanish/>
              </w:rPr>
              <w:t>#G0</w:t>
            </w:r>
            <w:r>
              <w:rPr/>
              <w:t xml:space="preserve">      где </w:t>
            </w:r>
          </w:p>
          <w:p>
            <w:pPr>
              <w:pStyle w:val="Normal"/>
              <w:rPr/>
            </w:pPr>
            <w:r>
              <w:rPr/>
            </w:r>
          </w:p>
        </w:tc>
        <w:tc>
          <w:tcPr>
            <w:tcW w:w="600" w:type="dxa"/>
            <w:tcBorders/>
            <w:shd w:fill="auto" w:val="clear"/>
          </w:tcPr>
          <w:p>
            <w:pPr>
              <w:pStyle w:val="Normal"/>
              <w:rPr/>
            </w:pPr>
            <w:r>
              <w:rPr/>
              <w:t xml:space="preserve">  </w:t>
            </w:r>
          </w:p>
          <w:p>
            <w:pPr>
              <w:pStyle w:val="Normal"/>
              <w:rPr/>
            </w:pPr>
            <w:r>
              <w:rPr/>
              <w:drawing>
                <wp:inline distT="0" distB="0" distL="0" distR="0">
                  <wp:extent cx="149860" cy="184150"/>
                  <wp:effectExtent l="0" t="0" r="0" b="0"/>
                  <wp:docPr id="128" name="Изображение1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Изображение128" descr="" title=""/>
                          <pic:cNvPicPr>
                            <a:picLocks noChangeAspect="1" noChangeArrowheads="1"/>
                          </pic:cNvPicPr>
                        </pic:nvPicPr>
                        <pic:blipFill>
                          <a:blip r:embed="rId129"/>
                          <a:stretch>
                            <a:fillRect/>
                          </a:stretch>
                        </pic:blipFill>
                        <pic:spPr bwMode="auto">
                          <a:xfrm>
                            <a:off x="0" y="0"/>
                            <a:ext cx="149860" cy="184150"/>
                          </a:xfrm>
                          <a:prstGeom prst="rect">
                            <a:avLst/>
                          </a:prstGeom>
                        </pic:spPr>
                      </pic:pic>
                    </a:graphicData>
                  </a:graphic>
                </wp:inline>
              </w:drawing>
            </w:r>
          </w:p>
        </w:tc>
        <w:tc>
          <w:tcPr>
            <w:tcW w:w="7065" w:type="dxa"/>
            <w:tcBorders/>
            <w:shd w:fill="auto" w:val="clear"/>
          </w:tcPr>
          <w:p>
            <w:pPr>
              <w:pStyle w:val="Normal"/>
              <w:rPr/>
            </w:pPr>
            <w:r>
              <w:rPr/>
              <w:t xml:space="preserve">  </w:t>
            </w:r>
          </w:p>
          <w:p>
            <w:pPr>
              <w:pStyle w:val="Normal"/>
              <w:jc w:val="both"/>
              <w:rPr/>
            </w:pPr>
            <w:r>
              <w:rPr/>
              <w:t xml:space="preserve">- предельно допустимая потеря напора в песчаном слое загрузки, принимаемая равной высоте его слоя, м; </w:t>
            </w:r>
          </w:p>
          <w:p>
            <w:pPr>
              <w:pStyle w:val="Normal"/>
              <w:jc w:val="both"/>
              <w:rPr/>
            </w:pPr>
            <w:r>
              <w:rPr/>
            </w:r>
          </w:p>
        </w:tc>
      </w:tr>
      <w:tr>
        <w:trPr/>
        <w:tc>
          <w:tcPr>
            <w:tcW w:w="450" w:type="dxa"/>
            <w:tcBorders/>
            <w:shd w:fill="auto" w:val="clear"/>
          </w:tcPr>
          <w:p>
            <w:pPr>
              <w:pStyle w:val="Normal"/>
              <w:rPr/>
            </w:pPr>
            <w:r>
              <w:rPr/>
              <w:t xml:space="preserve">  </w:t>
            </w:r>
          </w:p>
          <w:p>
            <w:pPr>
              <w:pStyle w:val="Normal"/>
              <w:rPr/>
            </w:pPr>
            <w:r>
              <w:rPr/>
            </w:r>
          </w:p>
        </w:tc>
        <w:tc>
          <w:tcPr>
            <w:tcW w:w="600" w:type="dxa"/>
            <w:tcBorders/>
            <w:shd w:fill="auto" w:val="clear"/>
          </w:tcPr>
          <w:p>
            <w:pPr>
              <w:pStyle w:val="Normal"/>
              <w:rPr/>
            </w:pPr>
            <w:r>
              <w:rPr/>
              <w:t xml:space="preserve">  </w:t>
            </w:r>
          </w:p>
          <w:p>
            <w:pPr>
              <w:pStyle w:val="Normal"/>
              <w:rPr/>
            </w:pPr>
            <w:r>
              <w:rPr/>
              <w:drawing>
                <wp:inline distT="0" distB="0" distL="0" distR="0">
                  <wp:extent cx="149860" cy="184150"/>
                  <wp:effectExtent l="0" t="0" r="0" b="0"/>
                  <wp:docPr id="129" name="Изображение1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129" descr="" title=""/>
                          <pic:cNvPicPr>
                            <a:picLocks noChangeAspect="1" noChangeArrowheads="1"/>
                          </pic:cNvPicPr>
                        </pic:nvPicPr>
                        <pic:blipFill>
                          <a:blip r:embed="rId130"/>
                          <a:stretch>
                            <a:fillRect/>
                          </a:stretch>
                        </pic:blipFill>
                        <pic:spPr bwMode="auto">
                          <a:xfrm>
                            <a:off x="0" y="0"/>
                            <a:ext cx="149860" cy="184150"/>
                          </a:xfrm>
                          <a:prstGeom prst="rect">
                            <a:avLst/>
                          </a:prstGeom>
                        </pic:spPr>
                      </pic:pic>
                    </a:graphicData>
                  </a:graphic>
                </wp:inline>
              </w:drawing>
            </w:r>
          </w:p>
        </w:tc>
        <w:tc>
          <w:tcPr>
            <w:tcW w:w="7065" w:type="dxa"/>
            <w:tcBorders/>
            <w:shd w:fill="auto" w:val="clear"/>
          </w:tcPr>
          <w:p>
            <w:pPr>
              <w:pStyle w:val="Normal"/>
              <w:rPr/>
            </w:pPr>
            <w:r>
              <w:rPr/>
              <w:t xml:space="preserve">  </w:t>
            </w:r>
          </w:p>
          <w:p>
            <w:pPr>
              <w:pStyle w:val="Normal"/>
              <w:jc w:val="both"/>
              <w:rPr/>
            </w:pPr>
            <w:r>
              <w:rPr/>
              <w:t xml:space="preserve">- сумма всех потерь напора на пути движения воды от начала входной камеры до загрузки осветлителей, м. </w:t>
            </w:r>
          </w:p>
          <w:p>
            <w:pPr>
              <w:pStyle w:val="Normal"/>
              <w:jc w:val="both"/>
              <w:rPr/>
            </w:pPr>
            <w:r>
              <w:rPr/>
            </w:r>
          </w:p>
        </w:tc>
      </w:tr>
    </w:tbl>
    <w:p>
      <w:pPr>
        <w:pStyle w:val="Normal"/>
        <w:ind w:firstLine="180"/>
        <w:jc w:val="both"/>
        <w:rPr/>
      </w:pPr>
      <w:r>
        <w:rPr/>
      </w:r>
    </w:p>
    <w:p>
      <w:pPr>
        <w:pStyle w:val="Normal"/>
        <w:ind w:firstLine="270"/>
        <w:jc w:val="both"/>
        <w:rPr/>
      </w:pPr>
      <w:r>
        <w:rPr/>
        <w:t>Отвод воды из входных камер на контактные осветлители должен предусматриваться на отметке не менее чем на 2 м ниже уровня воды в осветлителях. В камерах и трубопроводах должна быть исключена возможность насыщения воды воздухом.</w:t>
      </w:r>
    </w:p>
    <w:p>
      <w:pPr>
        <w:pStyle w:val="Normal"/>
        <w:ind w:firstLine="270"/>
        <w:jc w:val="both"/>
        <w:rPr/>
      </w:pPr>
      <w:r>
        <w:rPr/>
      </w:r>
    </w:p>
    <w:p>
      <w:pPr>
        <w:pStyle w:val="Normal"/>
        <w:ind w:firstLine="315"/>
        <w:jc w:val="both"/>
        <w:rPr/>
      </w:pPr>
      <w:r>
        <w:rPr/>
        <w:t>6.129. Контактные осветлители при промывке водой надлежит предусматривать без поддерживающих слоев, при промывке водой и воздухом -  с поддерживающими слоями.</w:t>
      </w:r>
    </w:p>
    <w:p>
      <w:pPr>
        <w:pStyle w:val="Normal"/>
        <w:ind w:firstLine="225"/>
        <w:jc w:val="both"/>
        <w:rPr/>
      </w:pPr>
      <w:r>
        <w:rPr/>
      </w:r>
    </w:p>
    <w:p>
      <w:pPr>
        <w:pStyle w:val="Normal"/>
        <w:ind w:firstLine="270"/>
        <w:jc w:val="both"/>
        <w:rPr/>
      </w:pPr>
      <w:r>
        <w:rPr/>
        <w:t>Загрузку контактных осветлителей надлежит принимать по табл. 25.</w:t>
      </w:r>
    </w:p>
    <w:p>
      <w:pPr>
        <w:pStyle w:val="Normal"/>
        <w:ind w:firstLine="270"/>
        <w:jc w:val="both"/>
        <w:rPr/>
      </w:pPr>
      <w:r>
        <w:rPr/>
      </w:r>
    </w:p>
    <w:p>
      <w:pPr>
        <w:pStyle w:val="Normal"/>
        <w:jc w:val="end"/>
        <w:rPr/>
      </w:pPr>
      <w:r>
        <w:rPr/>
        <w:t xml:space="preserve">Таблица 25 </w:t>
      </w:r>
    </w:p>
    <w:p>
      <w:pPr>
        <w:pStyle w:val="Normal"/>
        <w:ind w:firstLine="270"/>
        <w:jc w:val="both"/>
        <w:rPr/>
      </w:pPr>
      <w:r>
        <w:rPr/>
      </w:r>
    </w:p>
    <w:p>
      <w:pPr>
        <w:pStyle w:val="Normal"/>
        <w:ind w:firstLine="270"/>
        <w:jc w:val="both"/>
        <w:rPr/>
      </w:pPr>
      <w:r>
        <w:rPr/>
      </w:r>
    </w:p>
    <w:tbl>
      <w:tblPr>
        <w:tblW w:w="6485"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2655"/>
        <w:gridCol w:w="1890"/>
        <w:gridCol w:w="1940"/>
      </w:tblGrid>
      <w:tr>
        <w:trPr/>
        <w:tc>
          <w:tcPr>
            <w:tcW w:w="2655" w:type="dxa"/>
            <w:tcBorders>
              <w:top w:val="single" w:sz="2" w:space="0" w:color="000000"/>
              <w:start w:val="single" w:sz="2" w:space="0" w:color="000000"/>
            </w:tcBorders>
            <w:shd w:fill="auto" w:val="clear"/>
            <w:tcMar>
              <w:start w:w="102" w:type="dxa"/>
            </w:tcMar>
          </w:tcPr>
          <w:p>
            <w:pPr>
              <w:pStyle w:val="Normal"/>
              <w:jc w:val="center"/>
              <w:rPr>
                <w:vanish/>
              </w:rPr>
            </w:pPr>
            <w:r>
              <w:rPr>
                <w:vanish/>
              </w:rPr>
              <w:t>#G0</w:t>
            </w:r>
          </w:p>
          <w:p>
            <w:pPr>
              <w:pStyle w:val="Normal"/>
              <w:jc w:val="center"/>
              <w:rPr/>
            </w:pPr>
            <w:r>
              <w:rPr/>
              <w:t xml:space="preserve">Показатель </w:t>
            </w:r>
          </w:p>
          <w:p>
            <w:pPr>
              <w:pStyle w:val="Normal"/>
              <w:jc w:val="center"/>
              <w:rPr/>
            </w:pPr>
            <w:r>
              <w:rPr/>
            </w:r>
          </w:p>
        </w:tc>
        <w:tc>
          <w:tcPr>
            <w:tcW w:w="3830" w:type="dxa"/>
            <w:gridSpan w:val="2"/>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Высота гравийных и песчаных слоев, м, </w:t>
            </w:r>
          </w:p>
          <w:p>
            <w:pPr>
              <w:pStyle w:val="Normal"/>
              <w:rPr/>
            </w:pPr>
            <w:r>
              <w:rPr/>
              <w:t xml:space="preserve">для осветлителя </w:t>
            </w:r>
          </w:p>
          <w:p>
            <w:pPr>
              <w:pStyle w:val="Normal"/>
              <w:rPr/>
            </w:pPr>
            <w:r>
              <w:rPr/>
            </w:r>
          </w:p>
        </w:tc>
      </w:tr>
      <w:tr>
        <w:trPr/>
        <w:tc>
          <w:tcPr>
            <w:tcW w:w="265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189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без поддерживающих слоев </w:t>
            </w:r>
          </w:p>
          <w:p>
            <w:pPr>
              <w:pStyle w:val="Normal"/>
              <w:jc w:val="center"/>
              <w:rPr/>
            </w:pPr>
            <w:r>
              <w:rPr/>
            </w:r>
          </w:p>
        </w:tc>
        <w:tc>
          <w:tcPr>
            <w:tcW w:w="194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с поддерживающими слоями </w:t>
            </w:r>
          </w:p>
          <w:p>
            <w:pPr>
              <w:pStyle w:val="Normal"/>
              <w:rPr/>
            </w:pPr>
            <w:r>
              <w:rPr/>
            </w:r>
          </w:p>
        </w:tc>
      </w:tr>
      <w:tr>
        <w:trPr/>
        <w:tc>
          <w:tcPr>
            <w:tcW w:w="2655" w:type="dxa"/>
            <w:tcBorders>
              <w:start w:val="single" w:sz="2" w:space="0" w:color="000000"/>
            </w:tcBorders>
            <w:shd w:fill="auto" w:val="clear"/>
            <w:tcMar>
              <w:start w:w="102" w:type="dxa"/>
            </w:tcMar>
          </w:tcPr>
          <w:p>
            <w:pPr>
              <w:pStyle w:val="Normal"/>
              <w:jc w:val="both"/>
              <w:rPr/>
            </w:pPr>
            <w:r>
              <w:rPr/>
              <w:t>Крупность зерен гравия и песка, мм:</w:t>
            </w:r>
          </w:p>
          <w:p>
            <w:pPr>
              <w:pStyle w:val="Normal"/>
              <w:jc w:val="both"/>
              <w:rPr/>
            </w:pPr>
            <w:r>
              <w:rPr/>
            </w:r>
          </w:p>
          <w:p>
            <w:pPr>
              <w:pStyle w:val="Normal"/>
              <w:ind w:firstLine="270"/>
              <w:jc w:val="both"/>
              <w:rPr/>
            </w:pPr>
            <w:r>
              <w:rPr/>
              <w:t xml:space="preserve">40 -  20 </w:t>
            </w:r>
          </w:p>
          <w:p>
            <w:pPr>
              <w:pStyle w:val="Normal"/>
              <w:ind w:firstLine="270"/>
              <w:jc w:val="both"/>
              <w:rPr/>
            </w:pPr>
            <w:r>
              <w:rPr/>
            </w:r>
          </w:p>
        </w:tc>
        <w:tc>
          <w:tcPr>
            <w:tcW w:w="1890" w:type="dxa"/>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t>-</w:t>
            </w:r>
          </w:p>
          <w:p>
            <w:pPr>
              <w:pStyle w:val="Normal"/>
              <w:jc w:val="center"/>
              <w:rPr/>
            </w:pPr>
            <w:r>
              <w:rPr/>
            </w:r>
          </w:p>
        </w:tc>
        <w:tc>
          <w:tcPr>
            <w:tcW w:w="1940" w:type="dxa"/>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t xml:space="preserve">0,2 -  0,25 </w:t>
            </w:r>
          </w:p>
          <w:p>
            <w:pPr>
              <w:pStyle w:val="Normal"/>
              <w:rPr/>
            </w:pPr>
            <w:r>
              <w:rPr/>
            </w:r>
          </w:p>
        </w:tc>
      </w:tr>
      <w:tr>
        <w:trPr/>
        <w:tc>
          <w:tcPr>
            <w:tcW w:w="2655" w:type="dxa"/>
            <w:tcBorders>
              <w:start w:val="single" w:sz="2" w:space="0" w:color="000000"/>
            </w:tcBorders>
            <w:shd w:fill="auto" w:val="clear"/>
            <w:tcMar>
              <w:start w:w="102" w:type="dxa"/>
            </w:tcMar>
          </w:tcPr>
          <w:p>
            <w:pPr>
              <w:pStyle w:val="Normal"/>
              <w:ind w:firstLine="270"/>
              <w:jc w:val="both"/>
              <w:rPr/>
            </w:pPr>
            <w:r>
              <w:rPr/>
              <w:t xml:space="preserve">20 - 10 </w:t>
            </w:r>
          </w:p>
          <w:p>
            <w:pPr>
              <w:pStyle w:val="Normal"/>
              <w:ind w:firstLine="270"/>
              <w:jc w:val="both"/>
              <w:rPr/>
            </w:pPr>
            <w:r>
              <w:rPr/>
            </w:r>
          </w:p>
        </w:tc>
        <w:tc>
          <w:tcPr>
            <w:tcW w:w="189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940"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t xml:space="preserve">0,1 -  0,15 </w:t>
            </w:r>
          </w:p>
          <w:p>
            <w:pPr>
              <w:pStyle w:val="Normal"/>
              <w:jc w:val="center"/>
              <w:rPr/>
            </w:pPr>
            <w:r>
              <w:rPr/>
            </w:r>
          </w:p>
        </w:tc>
      </w:tr>
      <w:tr>
        <w:trPr/>
        <w:tc>
          <w:tcPr>
            <w:tcW w:w="2655" w:type="dxa"/>
            <w:tcBorders>
              <w:start w:val="single" w:sz="2" w:space="0" w:color="000000"/>
            </w:tcBorders>
            <w:shd w:fill="auto" w:val="clear"/>
            <w:tcMar>
              <w:start w:w="102" w:type="dxa"/>
            </w:tcMar>
          </w:tcPr>
          <w:p>
            <w:pPr>
              <w:pStyle w:val="Normal"/>
              <w:ind w:firstLine="270"/>
              <w:jc w:val="both"/>
              <w:rPr/>
            </w:pPr>
            <w:r>
              <w:rPr/>
              <w:t xml:space="preserve">10 - 5 </w:t>
            </w:r>
          </w:p>
          <w:p>
            <w:pPr>
              <w:pStyle w:val="Normal"/>
              <w:ind w:firstLine="270"/>
              <w:jc w:val="both"/>
              <w:rPr/>
            </w:pPr>
            <w:r>
              <w:rPr/>
            </w:r>
          </w:p>
        </w:tc>
        <w:tc>
          <w:tcPr>
            <w:tcW w:w="189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940"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t xml:space="preserve">0,15 -  0,2 </w:t>
            </w:r>
          </w:p>
          <w:p>
            <w:pPr>
              <w:pStyle w:val="Normal"/>
              <w:jc w:val="center"/>
              <w:rPr/>
            </w:pPr>
            <w:r>
              <w:rPr/>
            </w:r>
          </w:p>
        </w:tc>
      </w:tr>
      <w:tr>
        <w:trPr/>
        <w:tc>
          <w:tcPr>
            <w:tcW w:w="2655" w:type="dxa"/>
            <w:tcBorders>
              <w:start w:val="single" w:sz="2" w:space="0" w:color="000000"/>
            </w:tcBorders>
            <w:shd w:fill="auto" w:val="clear"/>
            <w:tcMar>
              <w:start w:w="102" w:type="dxa"/>
            </w:tcMar>
          </w:tcPr>
          <w:p>
            <w:pPr>
              <w:pStyle w:val="Normal"/>
              <w:ind w:firstLine="270"/>
              <w:jc w:val="both"/>
              <w:rPr/>
            </w:pPr>
            <w:r>
              <w:rPr/>
              <w:t xml:space="preserve">5 - 2 </w:t>
            </w:r>
          </w:p>
          <w:p>
            <w:pPr>
              <w:pStyle w:val="Normal"/>
              <w:ind w:firstLine="270"/>
              <w:jc w:val="both"/>
              <w:rPr/>
            </w:pPr>
            <w:r>
              <w:rPr/>
            </w:r>
          </w:p>
        </w:tc>
        <w:tc>
          <w:tcPr>
            <w:tcW w:w="1890" w:type="dxa"/>
            <w:tcBorders>
              <w:start w:val="single" w:sz="2" w:space="0" w:color="000000"/>
            </w:tcBorders>
            <w:shd w:fill="auto" w:val="clear"/>
            <w:tcMar>
              <w:start w:w="102" w:type="dxa"/>
            </w:tcMar>
          </w:tcPr>
          <w:p>
            <w:pPr>
              <w:pStyle w:val="Normal"/>
              <w:jc w:val="center"/>
              <w:rPr/>
            </w:pPr>
            <w:r>
              <w:rPr/>
              <w:t xml:space="preserve">0,5 - 0,6 </w:t>
            </w:r>
          </w:p>
          <w:p>
            <w:pPr>
              <w:pStyle w:val="Normal"/>
              <w:jc w:val="center"/>
              <w:rPr/>
            </w:pPr>
            <w:r>
              <w:rPr/>
            </w:r>
          </w:p>
        </w:tc>
        <w:tc>
          <w:tcPr>
            <w:tcW w:w="194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0,3 - 0,4 </w:t>
            </w:r>
          </w:p>
          <w:p>
            <w:pPr>
              <w:pStyle w:val="Normal"/>
              <w:rPr/>
            </w:pPr>
            <w:r>
              <w:rPr/>
            </w:r>
          </w:p>
        </w:tc>
      </w:tr>
      <w:tr>
        <w:trPr/>
        <w:tc>
          <w:tcPr>
            <w:tcW w:w="2655" w:type="dxa"/>
            <w:tcBorders>
              <w:start w:val="single" w:sz="2" w:space="0" w:color="000000"/>
            </w:tcBorders>
            <w:shd w:fill="auto" w:val="clear"/>
            <w:tcMar>
              <w:start w:w="102" w:type="dxa"/>
            </w:tcMar>
          </w:tcPr>
          <w:p>
            <w:pPr>
              <w:pStyle w:val="Normal"/>
              <w:ind w:firstLine="270"/>
              <w:jc w:val="both"/>
              <w:rPr/>
            </w:pPr>
            <w:r>
              <w:rPr/>
              <w:t xml:space="preserve">2 -  1,2 </w:t>
            </w:r>
          </w:p>
          <w:p>
            <w:pPr>
              <w:pStyle w:val="Normal"/>
              <w:ind w:firstLine="270"/>
              <w:jc w:val="both"/>
              <w:rPr/>
            </w:pPr>
            <w:r>
              <w:rPr/>
            </w:r>
          </w:p>
        </w:tc>
        <w:tc>
          <w:tcPr>
            <w:tcW w:w="1890" w:type="dxa"/>
            <w:tcBorders>
              <w:start w:val="single" w:sz="2" w:space="0" w:color="000000"/>
            </w:tcBorders>
            <w:shd w:fill="auto" w:val="clear"/>
            <w:tcMar>
              <w:start w:w="102" w:type="dxa"/>
            </w:tcMar>
          </w:tcPr>
          <w:p>
            <w:pPr>
              <w:pStyle w:val="Normal"/>
              <w:jc w:val="center"/>
              <w:rPr/>
            </w:pPr>
            <w:r>
              <w:rPr/>
              <w:t xml:space="preserve">1 - 1,2 </w:t>
            </w:r>
          </w:p>
          <w:p>
            <w:pPr>
              <w:pStyle w:val="Normal"/>
              <w:jc w:val="center"/>
              <w:rPr/>
            </w:pPr>
            <w:r>
              <w:rPr/>
            </w:r>
          </w:p>
        </w:tc>
        <w:tc>
          <w:tcPr>
            <w:tcW w:w="194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1,2 - 1,3 </w:t>
            </w:r>
          </w:p>
          <w:p>
            <w:pPr>
              <w:pStyle w:val="Normal"/>
              <w:rPr/>
            </w:pPr>
            <w:r>
              <w:rPr/>
            </w:r>
          </w:p>
        </w:tc>
      </w:tr>
      <w:tr>
        <w:trPr/>
        <w:tc>
          <w:tcPr>
            <w:tcW w:w="2655" w:type="dxa"/>
            <w:tcBorders>
              <w:start w:val="single" w:sz="2" w:space="0" w:color="000000"/>
            </w:tcBorders>
            <w:shd w:fill="auto" w:val="clear"/>
            <w:tcMar>
              <w:start w:w="102" w:type="dxa"/>
            </w:tcMar>
          </w:tcPr>
          <w:p>
            <w:pPr>
              <w:pStyle w:val="Normal"/>
              <w:ind w:firstLine="270"/>
              <w:jc w:val="both"/>
              <w:rPr/>
            </w:pPr>
            <w:r>
              <w:rPr/>
              <w:t xml:space="preserve">1,2 - 0,7 </w:t>
            </w:r>
          </w:p>
          <w:p>
            <w:pPr>
              <w:pStyle w:val="Normal"/>
              <w:ind w:firstLine="270"/>
              <w:jc w:val="both"/>
              <w:rPr/>
            </w:pPr>
            <w:r>
              <w:rPr/>
            </w:r>
          </w:p>
        </w:tc>
        <w:tc>
          <w:tcPr>
            <w:tcW w:w="1890" w:type="dxa"/>
            <w:tcBorders>
              <w:start w:val="single" w:sz="2" w:space="0" w:color="000000"/>
            </w:tcBorders>
            <w:shd w:fill="auto" w:val="clear"/>
            <w:tcMar>
              <w:start w:w="102" w:type="dxa"/>
            </w:tcMar>
          </w:tcPr>
          <w:p>
            <w:pPr>
              <w:pStyle w:val="Normal"/>
              <w:jc w:val="center"/>
              <w:rPr/>
            </w:pPr>
            <w:r>
              <w:rPr/>
              <w:t xml:space="preserve">0,8 - 1 </w:t>
            </w:r>
          </w:p>
          <w:p>
            <w:pPr>
              <w:pStyle w:val="Normal"/>
              <w:jc w:val="center"/>
              <w:rPr/>
            </w:pPr>
            <w:r>
              <w:rPr/>
            </w:r>
          </w:p>
        </w:tc>
        <w:tc>
          <w:tcPr>
            <w:tcW w:w="194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0,8 - 1 </w:t>
            </w:r>
          </w:p>
          <w:p>
            <w:pPr>
              <w:pStyle w:val="Normal"/>
              <w:rPr/>
            </w:pPr>
            <w:r>
              <w:rPr/>
            </w:r>
          </w:p>
        </w:tc>
      </w:tr>
      <w:tr>
        <w:trPr/>
        <w:tc>
          <w:tcPr>
            <w:tcW w:w="2655" w:type="dxa"/>
            <w:tcBorders>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Эквивалентный диаметр зерен песка, мм </w:t>
            </w:r>
          </w:p>
          <w:p>
            <w:pPr>
              <w:pStyle w:val="Normal"/>
              <w:jc w:val="both"/>
              <w:rPr/>
            </w:pPr>
            <w:r>
              <w:rPr/>
            </w:r>
          </w:p>
        </w:tc>
        <w:tc>
          <w:tcPr>
            <w:tcW w:w="189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1  - 1,3 </w:t>
            </w:r>
          </w:p>
          <w:p>
            <w:pPr>
              <w:pStyle w:val="Normal"/>
              <w:jc w:val="center"/>
              <w:rPr/>
            </w:pPr>
            <w:r>
              <w:rPr/>
            </w:r>
          </w:p>
        </w:tc>
        <w:tc>
          <w:tcPr>
            <w:tcW w:w="194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1  - 1,3 </w:t>
            </w:r>
          </w:p>
          <w:p>
            <w:pPr>
              <w:pStyle w:val="Normal"/>
              <w:rPr/>
            </w:pPr>
            <w:r>
              <w:rPr/>
            </w:r>
          </w:p>
        </w:tc>
      </w:tr>
    </w:tbl>
    <w:p>
      <w:pPr>
        <w:pStyle w:val="Normal"/>
        <w:jc w:val="both"/>
        <w:rPr/>
      </w:pPr>
      <w:r>
        <w:rPr/>
      </w:r>
    </w:p>
    <w:p>
      <w:pPr>
        <w:pStyle w:val="Normal"/>
        <w:ind w:firstLine="270"/>
        <w:jc w:val="both"/>
        <w:rPr/>
      </w:pPr>
      <w:r>
        <w:rPr/>
        <w:t>Примечания: 1. Для контактных осветлителей с поддерживающими слоями верхняя граница гравия крупностью 40-20 мм должна быть на уровне верха труб распределительной системы. Общая высота загрузки должна быть не св. 3 м.</w:t>
      </w:r>
    </w:p>
    <w:p>
      <w:pPr>
        <w:pStyle w:val="Normal"/>
        <w:ind w:firstLine="90"/>
        <w:jc w:val="both"/>
        <w:rPr/>
      </w:pPr>
      <w:r>
        <w:rPr/>
      </w:r>
    </w:p>
    <w:p>
      <w:pPr>
        <w:pStyle w:val="Normal"/>
        <w:ind w:firstLine="225"/>
        <w:jc w:val="both"/>
        <w:rPr/>
      </w:pPr>
      <w:r>
        <w:rPr/>
        <w:t>2. Для загрузки контактных осветлителей следует применять гравий и кварцевый песок, а также другие материалы, отвечающие требованиям п. 6.96 с плотностью 2,5 - 3,5 г/куб.м.</w:t>
      </w:r>
    </w:p>
    <w:p>
      <w:pPr>
        <w:pStyle w:val="Normal"/>
        <w:ind w:firstLine="225"/>
        <w:jc w:val="both"/>
        <w:rPr/>
      </w:pPr>
      <w:r>
        <w:rPr/>
      </w:r>
    </w:p>
    <w:p>
      <w:pPr>
        <w:pStyle w:val="Normal"/>
        <w:ind w:firstLine="270"/>
        <w:jc w:val="both"/>
        <w:rPr/>
      </w:pPr>
      <w:r>
        <w:rPr/>
      </w:r>
    </w:p>
    <w:p>
      <w:pPr>
        <w:pStyle w:val="Normal"/>
        <w:ind w:firstLine="225"/>
        <w:jc w:val="both"/>
        <w:rPr/>
      </w:pPr>
      <w:r>
        <w:rPr/>
        <w:t>6.130. Скорости фильтрования в контактных осветлителях следует принимать:</w:t>
      </w:r>
    </w:p>
    <w:p>
      <w:pPr>
        <w:pStyle w:val="Normal"/>
        <w:ind w:firstLine="225"/>
        <w:jc w:val="both"/>
        <w:rPr/>
      </w:pPr>
      <w:r>
        <w:rPr/>
      </w:r>
    </w:p>
    <w:p>
      <w:pPr>
        <w:pStyle w:val="Normal"/>
        <w:ind w:firstLine="225"/>
        <w:jc w:val="both"/>
        <w:rPr/>
      </w:pPr>
      <w:r>
        <w:rPr/>
        <w:t>без поддерживающих слоев при нормальном режиме - 4-5 м/ч, при форсированном - 5-5,5 м/ч; с поддерживающими слоями при нормальном режиме - 5-5,5 м/ч, при форсированном - 5,5-6 м/ч.</w:t>
      </w:r>
    </w:p>
    <w:p>
      <w:pPr>
        <w:pStyle w:val="Normal"/>
        <w:ind w:firstLine="225"/>
        <w:jc w:val="both"/>
        <w:rPr/>
      </w:pPr>
      <w:r>
        <w:rPr/>
      </w:r>
    </w:p>
    <w:p>
      <w:pPr>
        <w:pStyle w:val="Normal"/>
        <w:ind w:firstLine="225"/>
        <w:jc w:val="both"/>
        <w:rPr/>
      </w:pPr>
      <w:r>
        <w:rPr/>
        <w:t>При очистке воды для хозяйственно-питьевых нужд надлежит принимать меньшие значения скоростей фильтрования.</w:t>
      </w:r>
    </w:p>
    <w:p>
      <w:pPr>
        <w:pStyle w:val="Normal"/>
        <w:ind w:firstLine="225"/>
        <w:jc w:val="both"/>
        <w:rPr/>
      </w:pPr>
      <w:r>
        <w:rPr/>
      </w:r>
    </w:p>
    <w:p>
      <w:pPr>
        <w:pStyle w:val="Normal"/>
        <w:ind w:firstLine="225"/>
        <w:jc w:val="both"/>
        <w:rPr/>
      </w:pPr>
      <w:r>
        <w:rPr/>
        <w:t>Допускается предусматривать работу контактных осветлителей с переменной, убывающей к концу цикла скоростью фильтрования при условии, чтобы средняя скорость равнялась расчетной.</w:t>
      </w:r>
    </w:p>
    <w:p>
      <w:pPr>
        <w:pStyle w:val="Normal"/>
        <w:ind w:firstLine="225"/>
        <w:jc w:val="both"/>
        <w:rPr/>
      </w:pPr>
      <w:r>
        <w:rPr/>
      </w:r>
    </w:p>
    <w:p>
      <w:pPr>
        <w:pStyle w:val="Normal"/>
        <w:ind w:firstLine="225"/>
        <w:jc w:val="both"/>
        <w:rPr/>
      </w:pPr>
      <w:r>
        <w:rPr/>
        <w:t>6.131. Общую площадь контактных осветлителей Fк.о, кв.м, надлежит определять с учетом сброса первого фильтрата по формуле</w:t>
      </w:r>
    </w:p>
    <w:p>
      <w:pPr>
        <w:pStyle w:val="Normal"/>
        <w:ind w:firstLine="270"/>
        <w:jc w:val="both"/>
        <w:rPr/>
      </w:pPr>
      <w:r>
        <w:rPr/>
      </w:r>
    </w:p>
    <w:p>
      <w:pPr>
        <w:pStyle w:val="Normal"/>
        <w:ind w:firstLine="225"/>
        <w:jc w:val="both"/>
        <w:rPr/>
      </w:pPr>
      <w:r>
        <w:rPr/>
      </w:r>
    </w:p>
    <w:p>
      <w:pPr>
        <w:pStyle w:val="Normal"/>
        <w:ind w:firstLine="495"/>
        <w:jc w:val="both"/>
        <w:rPr/>
      </w:pPr>
      <w:r>
        <w:rPr/>
        <w:drawing>
          <wp:inline distT="0" distB="0" distL="0" distR="0">
            <wp:extent cx="4642485" cy="207645"/>
            <wp:effectExtent l="0" t="0" r="0" b="0"/>
            <wp:docPr id="130" name="Изображение1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130" descr="" title=""/>
                    <pic:cNvPicPr>
                      <a:picLocks noChangeAspect="1" noChangeArrowheads="1"/>
                    </pic:cNvPicPr>
                  </pic:nvPicPr>
                  <pic:blipFill>
                    <a:blip r:embed="rId131"/>
                    <a:stretch>
                      <a:fillRect/>
                    </a:stretch>
                  </pic:blipFill>
                  <pic:spPr bwMode="auto">
                    <a:xfrm>
                      <a:off x="0" y="0"/>
                      <a:ext cx="4642485" cy="207645"/>
                    </a:xfrm>
                    <a:prstGeom prst="rect">
                      <a:avLst/>
                    </a:prstGeom>
                  </pic:spPr>
                </pic:pic>
              </a:graphicData>
            </a:graphic>
          </wp:inline>
        </w:drawing>
      </w:r>
      <w:r>
        <w:rPr/>
        <w:tab/>
        <w:t xml:space="preserve">          </w:t>
      </w:r>
    </w:p>
    <w:tbl>
      <w:tblPr>
        <w:tblW w:w="7950" w:type="dxa"/>
        <w:jc w:val="start"/>
        <w:tblInd w:w="165" w:type="dxa"/>
        <w:tblBorders/>
        <w:tblCellMar>
          <w:top w:w="0" w:type="dxa"/>
          <w:start w:w="15" w:type="dxa"/>
          <w:bottom w:w="0" w:type="dxa"/>
          <w:end w:w="15" w:type="dxa"/>
        </w:tblCellMar>
      </w:tblPr>
      <w:tblGrid>
        <w:gridCol w:w="450"/>
        <w:gridCol w:w="465"/>
        <w:gridCol w:w="7035"/>
      </w:tblGrid>
      <w:tr>
        <w:trPr/>
        <w:tc>
          <w:tcPr>
            <w:tcW w:w="450" w:type="dxa"/>
            <w:tcBorders/>
            <w:shd w:fill="auto" w:val="clear"/>
          </w:tcPr>
          <w:p>
            <w:pPr>
              <w:pStyle w:val="Normal"/>
              <w:rPr/>
            </w:pPr>
            <w:r>
              <w:rPr>
                <w:vanish/>
              </w:rPr>
              <w:t>#G0</w:t>
            </w:r>
            <w:r>
              <w:rPr/>
              <w:t xml:space="preserve"> где </w:t>
            </w:r>
          </w:p>
          <w:p>
            <w:pPr>
              <w:pStyle w:val="Normal"/>
              <w:rPr/>
            </w:pPr>
            <w:r>
              <w:rPr/>
            </w:r>
          </w:p>
        </w:tc>
        <w:tc>
          <w:tcPr>
            <w:tcW w:w="465" w:type="dxa"/>
            <w:tcBorders/>
            <w:shd w:fill="auto" w:val="clear"/>
          </w:tcPr>
          <w:p>
            <w:pPr>
              <w:pStyle w:val="Normal"/>
              <w:rPr/>
            </w:pPr>
            <w:r>
              <w:rPr/>
              <w:drawing>
                <wp:inline distT="0" distB="0" distL="0" distR="0">
                  <wp:extent cx="184150" cy="184150"/>
                  <wp:effectExtent l="0" t="0" r="0" b="0"/>
                  <wp:docPr id="131" name="Изображение1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Изображение131" descr="" title=""/>
                          <pic:cNvPicPr>
                            <a:picLocks noChangeAspect="1" noChangeArrowheads="1"/>
                          </pic:cNvPicPr>
                        </pic:nvPicPr>
                        <pic:blipFill>
                          <a:blip r:embed="rId132"/>
                          <a:stretch>
                            <a:fillRect/>
                          </a:stretch>
                        </pic:blipFill>
                        <pic:spPr bwMode="auto">
                          <a:xfrm>
                            <a:off x="0" y="0"/>
                            <a:ext cx="184150" cy="184150"/>
                          </a:xfrm>
                          <a:prstGeom prst="rect">
                            <a:avLst/>
                          </a:prstGeom>
                        </pic:spPr>
                      </pic:pic>
                    </a:graphicData>
                  </a:graphic>
                </wp:inline>
              </w:drawing>
            </w:r>
            <w:r>
              <w:rPr/>
              <w:t xml:space="preserve">  </w:t>
            </w:r>
          </w:p>
          <w:p>
            <w:pPr>
              <w:pStyle w:val="Normal"/>
              <w:rPr/>
            </w:pPr>
            <w:r>
              <w:rPr/>
            </w:r>
          </w:p>
        </w:tc>
        <w:tc>
          <w:tcPr>
            <w:tcW w:w="7035" w:type="dxa"/>
            <w:tcBorders/>
            <w:shd w:fill="auto" w:val="clear"/>
          </w:tcPr>
          <w:p>
            <w:pPr>
              <w:pStyle w:val="Normal"/>
              <w:rPr/>
            </w:pPr>
            <w:r>
              <w:rPr/>
              <w:t xml:space="preserve">  </w:t>
            </w:r>
            <w:r>
              <w:rPr/>
              <w:t>- продолжительность сброса первого фильтрата, мин, принимаемая согласно</w:t>
            </w:r>
          </w:p>
          <w:p>
            <w:pPr>
              <w:pStyle w:val="Normal"/>
              <w:rPr/>
            </w:pPr>
            <w:r>
              <w:rPr/>
              <w:t xml:space="preserve">     </w:t>
            </w:r>
            <w:r>
              <w:rPr/>
              <w:t>п. 6.133, остальные обозначения -  по формуле (18).</w:t>
            </w:r>
          </w:p>
          <w:p>
            <w:pPr>
              <w:pStyle w:val="Normal"/>
              <w:rPr/>
            </w:pPr>
            <w:r>
              <w:rPr/>
            </w:r>
          </w:p>
        </w:tc>
      </w:tr>
      <w:tr>
        <w:trPr/>
        <w:tc>
          <w:tcPr>
            <w:tcW w:w="7950" w:type="dxa"/>
            <w:gridSpan w:val="3"/>
            <w:tcBorders/>
            <w:shd w:fill="auto" w:val="clear"/>
          </w:tcPr>
          <w:p>
            <w:pPr>
              <w:pStyle w:val="Normal"/>
              <w:rPr/>
            </w:pPr>
            <w:r>
              <w:rPr/>
              <w:t xml:space="preserve">  </w:t>
            </w:r>
          </w:p>
          <w:p>
            <w:pPr>
              <w:pStyle w:val="Normal"/>
              <w:rPr/>
            </w:pPr>
            <w:r>
              <w:rPr/>
            </w:r>
          </w:p>
        </w:tc>
      </w:tr>
    </w:tbl>
    <w:p>
      <w:pPr>
        <w:pStyle w:val="Normal"/>
        <w:ind w:firstLine="270"/>
        <w:jc w:val="both"/>
        <w:rPr/>
      </w:pPr>
      <w:r>
        <w:rPr/>
        <w:t>Количество осветлителей на станции следует определять согласно п. 6.99.</w:t>
      </w:r>
    </w:p>
    <w:p>
      <w:pPr>
        <w:pStyle w:val="Normal"/>
        <w:ind w:firstLine="225"/>
        <w:jc w:val="both"/>
        <w:rPr/>
      </w:pPr>
      <w:r>
        <w:rPr/>
      </w:r>
    </w:p>
    <w:p>
      <w:pPr>
        <w:pStyle w:val="Normal"/>
        <w:ind w:firstLine="270"/>
        <w:jc w:val="both"/>
        <w:rPr/>
      </w:pPr>
      <w:r>
        <w:rPr/>
        <w:t>6.132. Для промывки следует использовать очищенную воду. Допускается использование неочищенной воды при условиях: мутности ее не более 10 мг/л, коли-индекса - 1000 ед/л, предварительной обработки воды на барабанных сетках (или микрофильтрах) и обеззараживания. При использовании очищенной воды должен быть предусмотрен разрыв струи перед подачей воды в емкость для хранения промывной воды. Непосредственная подача воды на промывку из трубопроводов и резервуаров фильтрованной воды не допускается.</w:t>
      </w:r>
    </w:p>
    <w:p>
      <w:pPr>
        <w:pStyle w:val="Normal"/>
        <w:ind w:firstLine="225"/>
        <w:jc w:val="both"/>
        <w:rPr/>
      </w:pPr>
      <w:r>
        <w:rPr/>
      </w:r>
    </w:p>
    <w:p>
      <w:pPr>
        <w:pStyle w:val="Normal"/>
        <w:ind w:firstLine="270"/>
        <w:jc w:val="both"/>
        <w:rPr/>
      </w:pPr>
      <w:r>
        <w:rPr/>
        <w:t xml:space="preserve">6.133. Режим промывки контактных осветлителей водой надлежит принимать по табл. 26. </w:t>
      </w:r>
    </w:p>
    <w:p>
      <w:pPr>
        <w:pStyle w:val="Normal"/>
        <w:ind w:firstLine="225"/>
        <w:jc w:val="both"/>
        <w:rPr/>
      </w:pPr>
      <w:r>
        <w:rPr/>
      </w:r>
    </w:p>
    <w:p>
      <w:pPr>
        <w:pStyle w:val="Normal"/>
        <w:ind w:firstLine="270"/>
        <w:jc w:val="both"/>
        <w:rPr/>
      </w:pPr>
      <w:r>
        <w:rPr/>
        <w:t>Водовоздушную промывку контактных осветлителей надлежит предусматривать со следующим режимом: взрыхление загрузки воздухом с интенсивностью 18-20 л/(с·кв.см) в течение 1-2 мин; совместная водовоздушная промывка при подаче воздуха 18-20 л/(с·кв.см) и воды 3-3,5 л/(с·кв.см) при продолжительности 6-7 мин; дополнительная промывка водой с интенсивностью 6-7 л/(с·кв.см) продолжительностью 5-7 мин.</w:t>
      </w:r>
    </w:p>
    <w:p>
      <w:pPr>
        <w:pStyle w:val="Normal"/>
        <w:ind w:firstLine="225"/>
        <w:jc w:val="both"/>
        <w:rPr/>
      </w:pPr>
      <w:r>
        <w:rPr/>
      </w:r>
    </w:p>
    <w:p>
      <w:pPr>
        <w:pStyle w:val="Normal"/>
        <w:ind w:firstLine="225"/>
        <w:jc w:val="both"/>
        <w:rPr/>
      </w:pPr>
      <w:r>
        <w:rPr/>
        <w:t xml:space="preserve">Продолжительность сброса первого фильтрата при промывке водой, мин: </w:t>
      </w:r>
    </w:p>
    <w:p>
      <w:pPr>
        <w:pStyle w:val="Normal"/>
        <w:ind w:firstLine="225"/>
        <w:jc w:val="both"/>
        <w:rPr/>
      </w:pPr>
      <w:r>
        <w:rPr/>
      </w:r>
    </w:p>
    <w:p>
      <w:pPr>
        <w:pStyle w:val="Normal"/>
        <w:ind w:firstLine="225"/>
        <w:jc w:val="both"/>
        <w:rPr/>
      </w:pPr>
      <w:r>
        <w:rPr/>
        <w:t xml:space="preserve">очищенной - 5-10; </w:t>
      </w:r>
    </w:p>
    <w:p>
      <w:pPr>
        <w:pStyle w:val="Normal"/>
        <w:ind w:firstLine="225"/>
        <w:jc w:val="both"/>
        <w:rPr/>
      </w:pPr>
      <w:r>
        <w:rPr/>
      </w:r>
    </w:p>
    <w:p>
      <w:pPr>
        <w:pStyle w:val="Normal"/>
        <w:ind w:firstLine="225"/>
        <w:jc w:val="both"/>
        <w:rPr/>
      </w:pPr>
      <w:r>
        <w:rPr/>
        <w:t xml:space="preserve">неочищенной -  10-15. </w:t>
      </w:r>
    </w:p>
    <w:p>
      <w:pPr>
        <w:pStyle w:val="Normal"/>
        <w:ind w:firstLine="225"/>
        <w:jc w:val="both"/>
        <w:rPr/>
      </w:pPr>
      <w:r>
        <w:rPr/>
      </w:r>
    </w:p>
    <w:p>
      <w:pPr>
        <w:pStyle w:val="Normal"/>
        <w:ind w:firstLine="225"/>
        <w:jc w:val="both"/>
        <w:rPr/>
      </w:pPr>
      <w:r>
        <w:rPr/>
        <w:t>6.134. В контактных осветлителях с поддерживающими слоями и водовоздушной промывкой надлежит применять трубчатые распределительные системы для подачи воды и воздуха и систему горизонтального отвода промывной воды.</w:t>
      </w:r>
    </w:p>
    <w:p>
      <w:pPr>
        <w:pStyle w:val="Normal"/>
        <w:ind w:firstLine="225"/>
        <w:jc w:val="both"/>
        <w:rPr/>
      </w:pPr>
      <w:r>
        <w:rPr/>
      </w:r>
    </w:p>
    <w:p>
      <w:pPr>
        <w:pStyle w:val="Normal"/>
        <w:ind w:firstLine="225"/>
        <w:jc w:val="both"/>
        <w:rPr/>
      </w:pPr>
      <w:r>
        <w:rPr/>
        <w:t>В контактных осветлителях без поддерживающих слоев должна предусматриваться распределительная система с приваренными вдоль дырчатых труб боковыми шторками, между которыми привариваются поперечные перегородки, разделяющие подтрубное пространство на ячейки. Отверстия в дырчатых трубах следует располагать в два ряда в шахматном порядке, они должны быть направлены вниз под углом 30 град. к вертикальной оси трубы. Диаметр отверстий -  10-12 мм, расстояние между осями в ряду - 150-200 мм. Распределительную систему надлежит проектировать в соответствии с табл. 27.</w:t>
      </w:r>
    </w:p>
    <w:p>
      <w:pPr>
        <w:pStyle w:val="Normal"/>
        <w:ind w:firstLine="225"/>
        <w:jc w:val="both"/>
        <w:rPr/>
      </w:pPr>
      <w:r>
        <w:rPr/>
      </w:r>
    </w:p>
    <w:p>
      <w:pPr>
        <w:pStyle w:val="Normal"/>
        <w:ind w:firstLine="225"/>
        <w:jc w:val="both"/>
        <w:rPr/>
      </w:pPr>
      <w:r>
        <w:rPr/>
        <w:t>6.135. В контактных осветлителях без поддерживающих слоев сбор промывной воды надлежит принимать желобами согласно пл. 6.111 - 6.113. Над кромками желобов следует предусматривать пластины с треугольными вырезами высотой и шириной по 50-60 мм, с расстояниями между их осями 100-150 мм.</w:t>
      </w:r>
    </w:p>
    <w:p>
      <w:pPr>
        <w:pStyle w:val="Normal"/>
        <w:ind w:firstLine="495"/>
        <w:jc w:val="both"/>
        <w:rPr/>
      </w:pPr>
      <w:r>
        <w:rPr/>
      </w:r>
    </w:p>
    <w:p>
      <w:pPr>
        <w:pStyle w:val="Normal"/>
        <w:jc w:val="end"/>
        <w:rPr/>
      </w:pPr>
      <w:r>
        <w:rPr/>
        <w:t xml:space="preserve">Таблица 26 </w:t>
      </w:r>
    </w:p>
    <w:p>
      <w:pPr>
        <w:pStyle w:val="Normal"/>
        <w:ind w:firstLine="270"/>
        <w:jc w:val="both"/>
        <w:rPr/>
      </w:pPr>
      <w:r>
        <w:rPr/>
      </w:r>
    </w:p>
    <w:p>
      <w:pPr>
        <w:pStyle w:val="Normal"/>
        <w:ind w:firstLine="270"/>
        <w:jc w:val="both"/>
        <w:rPr/>
      </w:pPr>
      <w:r>
        <w:rPr/>
      </w:r>
    </w:p>
    <w:tbl>
      <w:tblPr>
        <w:tblW w:w="6335" w:type="dxa"/>
        <w:jc w:val="start"/>
        <w:tblInd w:w="105" w:type="dxa"/>
        <w:tblBorders>
          <w:top w:val="single" w:sz="2" w:space="0" w:color="000000"/>
          <w:start w:val="single" w:sz="2" w:space="0" w:color="000000"/>
          <w:bottom w:val="single" w:sz="2" w:space="0" w:color="000000"/>
          <w:insideH w:val="single" w:sz="2" w:space="0" w:color="000000"/>
        </w:tblBorders>
        <w:tblCellMar>
          <w:top w:w="0" w:type="dxa"/>
          <w:start w:w="102" w:type="dxa"/>
          <w:bottom w:w="0" w:type="dxa"/>
          <w:end w:w="105" w:type="dxa"/>
        </w:tblCellMar>
      </w:tblPr>
      <w:tblGrid>
        <w:gridCol w:w="2940"/>
        <w:gridCol w:w="1740"/>
        <w:gridCol w:w="1655"/>
      </w:tblGrid>
      <w:tr>
        <w:trPr/>
        <w:tc>
          <w:tcPr>
            <w:tcW w:w="294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vanish/>
              </w:rPr>
              <w:t>#G0</w:t>
            </w:r>
            <w:r>
              <w:rPr/>
              <w:t xml:space="preserve">Показатель </w:t>
            </w:r>
          </w:p>
          <w:p>
            <w:pPr>
              <w:pStyle w:val="Normal"/>
              <w:jc w:val="center"/>
              <w:rPr/>
            </w:pPr>
            <w:r>
              <w:rPr/>
            </w:r>
          </w:p>
        </w:tc>
        <w:tc>
          <w:tcPr>
            <w:tcW w:w="174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Единица измерения </w:t>
            </w:r>
          </w:p>
          <w:p>
            <w:pPr>
              <w:pStyle w:val="Normal"/>
              <w:rPr/>
            </w:pPr>
            <w:r>
              <w:rPr/>
            </w:r>
          </w:p>
        </w:tc>
        <w:tc>
          <w:tcPr>
            <w:tcW w:w="165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Количество </w:t>
            </w:r>
          </w:p>
          <w:p>
            <w:pPr>
              <w:pStyle w:val="Normal"/>
              <w:rPr/>
            </w:pPr>
            <w:r>
              <w:rPr/>
            </w:r>
          </w:p>
        </w:tc>
      </w:tr>
      <w:tr>
        <w:trPr/>
        <w:tc>
          <w:tcPr>
            <w:tcW w:w="2940" w:type="dxa"/>
            <w:tcBorders>
              <w:start w:val="single" w:sz="2" w:space="0" w:color="000000"/>
            </w:tcBorders>
            <w:shd w:fill="auto" w:val="clear"/>
            <w:tcMar>
              <w:start w:w="102" w:type="dxa"/>
            </w:tcMar>
          </w:tcPr>
          <w:p>
            <w:pPr>
              <w:pStyle w:val="Normal"/>
              <w:jc w:val="both"/>
              <w:rPr/>
            </w:pPr>
            <w:r>
              <w:rPr/>
              <w:t xml:space="preserve">Продолжительность промывки </w:t>
            </w:r>
          </w:p>
          <w:p>
            <w:pPr>
              <w:pStyle w:val="Normal"/>
              <w:jc w:val="both"/>
              <w:rPr/>
            </w:pPr>
            <w:r>
              <w:rPr/>
            </w:r>
          </w:p>
        </w:tc>
        <w:tc>
          <w:tcPr>
            <w:tcW w:w="1740" w:type="dxa"/>
            <w:tcBorders>
              <w:start w:val="single" w:sz="2" w:space="0" w:color="000000"/>
            </w:tcBorders>
            <w:shd w:fill="auto" w:val="clear"/>
            <w:tcMar>
              <w:start w:w="102" w:type="dxa"/>
            </w:tcMar>
          </w:tcPr>
          <w:p>
            <w:pPr>
              <w:pStyle w:val="Normal"/>
              <w:jc w:val="center"/>
              <w:rPr/>
            </w:pPr>
            <w:r>
              <w:rPr/>
              <w:t xml:space="preserve">мин </w:t>
            </w:r>
          </w:p>
          <w:p>
            <w:pPr>
              <w:pStyle w:val="Normal"/>
              <w:jc w:val="center"/>
              <w:rPr/>
            </w:pPr>
            <w:r>
              <w:rPr/>
            </w:r>
          </w:p>
        </w:tc>
        <w:tc>
          <w:tcPr>
            <w:tcW w:w="165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7  - 8 </w:t>
            </w:r>
          </w:p>
          <w:p>
            <w:pPr>
              <w:pStyle w:val="Normal"/>
              <w:rPr/>
            </w:pPr>
            <w:r>
              <w:rPr/>
            </w:r>
          </w:p>
        </w:tc>
      </w:tr>
      <w:tr>
        <w:trPr/>
        <w:tc>
          <w:tcPr>
            <w:tcW w:w="2940" w:type="dxa"/>
            <w:tcBorders>
              <w:start w:val="single" w:sz="2" w:space="0" w:color="000000"/>
            </w:tcBorders>
            <w:shd w:fill="auto" w:val="clear"/>
            <w:tcMar>
              <w:start w:w="102" w:type="dxa"/>
            </w:tcMar>
          </w:tcPr>
          <w:p>
            <w:pPr>
              <w:pStyle w:val="Normal"/>
              <w:jc w:val="both"/>
              <w:rPr/>
            </w:pPr>
            <w:r>
              <w:rPr/>
              <w:t xml:space="preserve">Интенсивность подачи воды </w:t>
            </w:r>
          </w:p>
          <w:p>
            <w:pPr>
              <w:pStyle w:val="Normal"/>
              <w:jc w:val="both"/>
              <w:rPr/>
            </w:pPr>
            <w:r>
              <w:rPr/>
            </w:r>
          </w:p>
        </w:tc>
        <w:tc>
          <w:tcPr>
            <w:tcW w:w="1740" w:type="dxa"/>
            <w:tcBorders>
              <w:start w:val="single" w:sz="2" w:space="0" w:color="000000"/>
            </w:tcBorders>
            <w:shd w:fill="auto" w:val="clear"/>
            <w:tcMar>
              <w:start w:w="102" w:type="dxa"/>
            </w:tcMar>
          </w:tcPr>
          <w:p>
            <w:pPr>
              <w:pStyle w:val="Normal"/>
              <w:jc w:val="center"/>
              <w:rPr/>
            </w:pPr>
            <w:r>
              <w:rPr/>
              <w:t>л/(с х кв.м)</w:t>
            </w:r>
          </w:p>
          <w:p>
            <w:pPr>
              <w:pStyle w:val="Normal"/>
              <w:jc w:val="center"/>
              <w:rPr/>
            </w:pPr>
            <w:r>
              <w:rPr/>
            </w:r>
          </w:p>
        </w:tc>
        <w:tc>
          <w:tcPr>
            <w:tcW w:w="165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15  - 18 </w:t>
            </w:r>
          </w:p>
          <w:p>
            <w:pPr>
              <w:pStyle w:val="Normal"/>
              <w:rPr/>
            </w:pPr>
            <w:r>
              <w:rPr/>
            </w:r>
          </w:p>
        </w:tc>
      </w:tr>
      <w:tr>
        <w:trPr/>
        <w:tc>
          <w:tcPr>
            <w:tcW w:w="2940" w:type="dxa"/>
            <w:tcBorders>
              <w:start w:val="single" w:sz="2" w:space="0" w:color="000000"/>
            </w:tcBorders>
            <w:shd w:fill="auto" w:val="clear"/>
            <w:tcMar>
              <w:start w:w="102" w:type="dxa"/>
            </w:tcMar>
          </w:tcPr>
          <w:p>
            <w:pPr>
              <w:pStyle w:val="Normal"/>
              <w:jc w:val="both"/>
              <w:rPr/>
            </w:pPr>
            <w:r>
              <w:rPr/>
              <w:t>Продолжительность сброса первого фильтрата при промывке водой:</w:t>
            </w:r>
          </w:p>
          <w:p>
            <w:pPr>
              <w:pStyle w:val="Normal"/>
              <w:jc w:val="both"/>
              <w:rPr/>
            </w:pPr>
            <w:r>
              <w:rPr/>
            </w:r>
          </w:p>
        </w:tc>
        <w:tc>
          <w:tcPr>
            <w:tcW w:w="1740" w:type="dxa"/>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r>
          </w:p>
        </w:tc>
        <w:tc>
          <w:tcPr>
            <w:tcW w:w="1655" w:type="dxa"/>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tc>
      </w:tr>
      <w:tr>
        <w:trPr/>
        <w:tc>
          <w:tcPr>
            <w:tcW w:w="2940" w:type="dxa"/>
            <w:tcBorders>
              <w:start w:val="single" w:sz="2" w:space="0" w:color="000000"/>
            </w:tcBorders>
            <w:shd w:fill="auto" w:val="clear"/>
            <w:tcMar>
              <w:start w:w="102" w:type="dxa"/>
            </w:tcMar>
          </w:tcPr>
          <w:p>
            <w:pPr>
              <w:pStyle w:val="Normal"/>
              <w:ind w:firstLine="225"/>
              <w:jc w:val="both"/>
              <w:rPr/>
            </w:pPr>
            <w:r>
              <w:rPr/>
              <w:t xml:space="preserve">очищенной </w:t>
            </w:r>
          </w:p>
          <w:p>
            <w:pPr>
              <w:pStyle w:val="Normal"/>
              <w:rPr/>
            </w:pPr>
            <w:r>
              <w:rPr/>
              <w:t xml:space="preserve">  </w:t>
            </w:r>
          </w:p>
          <w:p>
            <w:pPr>
              <w:pStyle w:val="Normal"/>
              <w:rPr/>
            </w:pPr>
            <w:r>
              <w:rPr/>
            </w:r>
          </w:p>
        </w:tc>
        <w:tc>
          <w:tcPr>
            <w:tcW w:w="1740" w:type="dxa"/>
            <w:tcBorders>
              <w:start w:val="single" w:sz="2" w:space="0" w:color="000000"/>
            </w:tcBorders>
            <w:shd w:fill="auto" w:val="clear"/>
            <w:tcMar>
              <w:start w:w="102" w:type="dxa"/>
            </w:tcMar>
          </w:tcPr>
          <w:p>
            <w:pPr>
              <w:pStyle w:val="Normal"/>
              <w:jc w:val="center"/>
              <w:rPr/>
            </w:pPr>
            <w:r>
              <w:rPr/>
              <w:t xml:space="preserve">мин </w:t>
            </w:r>
          </w:p>
          <w:p>
            <w:pPr>
              <w:pStyle w:val="Normal"/>
              <w:rPr/>
            </w:pPr>
            <w:r>
              <w:rPr/>
              <w:t xml:space="preserve">  </w:t>
            </w:r>
          </w:p>
          <w:p>
            <w:pPr>
              <w:pStyle w:val="Normal"/>
              <w:rPr/>
            </w:pPr>
            <w:r>
              <w:rPr/>
            </w:r>
          </w:p>
        </w:tc>
        <w:tc>
          <w:tcPr>
            <w:tcW w:w="1655" w:type="dxa"/>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t xml:space="preserve">10  - 12 </w:t>
            </w:r>
          </w:p>
          <w:p>
            <w:pPr>
              <w:pStyle w:val="Normal"/>
              <w:rPr/>
            </w:pPr>
            <w:r>
              <w:rPr/>
              <w:t xml:space="preserve">  </w:t>
            </w:r>
          </w:p>
          <w:p>
            <w:pPr>
              <w:pStyle w:val="Normal"/>
              <w:rPr/>
            </w:pPr>
            <w:r>
              <w:rPr/>
            </w:r>
          </w:p>
        </w:tc>
      </w:tr>
      <w:tr>
        <w:trPr/>
        <w:tc>
          <w:tcPr>
            <w:tcW w:w="2940" w:type="dxa"/>
            <w:tcBorders>
              <w:start w:val="single" w:sz="2" w:space="0" w:color="000000"/>
              <w:bottom w:val="single" w:sz="2" w:space="0" w:color="000000"/>
              <w:insideH w:val="single" w:sz="2" w:space="0" w:color="000000"/>
            </w:tcBorders>
            <w:shd w:fill="auto" w:val="clear"/>
            <w:tcMar>
              <w:start w:w="102" w:type="dxa"/>
            </w:tcMar>
          </w:tcPr>
          <w:p>
            <w:pPr>
              <w:pStyle w:val="Normal"/>
              <w:ind w:firstLine="225"/>
              <w:jc w:val="both"/>
              <w:rPr/>
            </w:pPr>
            <w:r>
              <w:rPr/>
              <w:t>неочищенной (см. п. 6.132)</w:t>
            </w:r>
          </w:p>
          <w:p>
            <w:pPr>
              <w:pStyle w:val="Normal"/>
              <w:ind w:firstLine="225"/>
              <w:jc w:val="both"/>
              <w:rPr/>
            </w:pPr>
            <w:r>
              <w:rPr/>
            </w:r>
          </w:p>
        </w:tc>
        <w:tc>
          <w:tcPr>
            <w:tcW w:w="174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w:t>
            </w:r>
          </w:p>
          <w:p>
            <w:pPr>
              <w:pStyle w:val="Normal"/>
              <w:jc w:val="center"/>
              <w:rPr/>
            </w:pPr>
            <w:r>
              <w:rPr/>
            </w:r>
          </w:p>
        </w:tc>
        <w:tc>
          <w:tcPr>
            <w:tcW w:w="165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12  - 15 </w:t>
            </w:r>
          </w:p>
          <w:p>
            <w:pPr>
              <w:pStyle w:val="Normal"/>
              <w:rPr/>
            </w:pPr>
            <w:r>
              <w:rPr/>
            </w:r>
          </w:p>
        </w:tc>
      </w:tr>
    </w:tbl>
    <w:p>
      <w:pPr>
        <w:pStyle w:val="Normal"/>
        <w:jc w:val="end"/>
        <w:rPr/>
      </w:pPr>
      <w:r>
        <w:rPr/>
      </w:r>
    </w:p>
    <w:p>
      <w:pPr>
        <w:pStyle w:val="Normal"/>
        <w:jc w:val="end"/>
        <w:rPr/>
      </w:pPr>
      <w:r>
        <w:rPr/>
        <w:t>Таблица 27</w:t>
      </w:r>
    </w:p>
    <w:p>
      <w:pPr>
        <w:pStyle w:val="Normal"/>
        <w:jc w:val="end"/>
        <w:rPr/>
      </w:pPr>
      <w:r>
        <w:rPr/>
      </w:r>
    </w:p>
    <w:p>
      <w:pPr>
        <w:pStyle w:val="Normal"/>
        <w:jc w:val="end"/>
        <w:rPr/>
      </w:pPr>
      <w:r>
        <w:rPr/>
      </w:r>
    </w:p>
    <w:tbl>
      <w:tblPr>
        <w:tblW w:w="9485"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1320"/>
        <w:gridCol w:w="1935"/>
        <w:gridCol w:w="1365"/>
        <w:gridCol w:w="1500"/>
        <w:gridCol w:w="1815"/>
        <w:gridCol w:w="1550"/>
      </w:tblGrid>
      <w:tr>
        <w:trPr/>
        <w:tc>
          <w:tcPr>
            <w:tcW w:w="1320" w:type="dxa"/>
            <w:tcBorders>
              <w:top w:val="single" w:sz="2" w:space="0" w:color="000000"/>
              <w:start w:val="single" w:sz="2" w:space="0" w:color="000000"/>
            </w:tcBorders>
            <w:shd w:fill="auto" w:val="clear"/>
            <w:tcMar>
              <w:start w:w="102" w:type="dxa"/>
            </w:tcMar>
          </w:tcPr>
          <w:p>
            <w:pPr>
              <w:pStyle w:val="Normal"/>
              <w:rPr/>
            </w:pPr>
            <w:r>
              <w:rPr>
                <w:vanish/>
              </w:rPr>
              <w:t>#G0</w:t>
            </w:r>
            <w:r>
              <w:rPr/>
              <w:t xml:space="preserve">  </w:t>
            </w:r>
          </w:p>
          <w:p>
            <w:pPr>
              <w:pStyle w:val="Normal"/>
              <w:rPr/>
            </w:pPr>
            <w:r>
              <w:rPr/>
            </w:r>
          </w:p>
        </w:tc>
        <w:tc>
          <w:tcPr>
            <w:tcW w:w="1935" w:type="dxa"/>
            <w:tcBorders>
              <w:top w:val="single" w:sz="2" w:space="0" w:color="000000"/>
              <w:start w:val="single" w:sz="2" w:space="0" w:color="000000"/>
            </w:tcBorders>
            <w:shd w:fill="auto" w:val="clear"/>
            <w:tcMar>
              <w:start w:w="102" w:type="dxa"/>
            </w:tcMar>
          </w:tcPr>
          <w:p>
            <w:pPr>
              <w:pStyle w:val="Normal"/>
              <w:jc w:val="center"/>
              <w:rPr/>
            </w:pPr>
            <w:r>
              <w:rPr/>
              <w:t xml:space="preserve">Отношение суммарной </w:t>
            </w:r>
          </w:p>
          <w:p>
            <w:pPr>
              <w:pStyle w:val="Normal"/>
              <w:jc w:val="center"/>
              <w:rPr/>
            </w:pPr>
            <w:r>
              <w:rPr/>
            </w:r>
          </w:p>
        </w:tc>
        <w:tc>
          <w:tcPr>
            <w:tcW w:w="6230" w:type="dxa"/>
            <w:gridSpan w:val="4"/>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Расстояния, мм </w:t>
            </w:r>
          </w:p>
          <w:p>
            <w:pPr>
              <w:pStyle w:val="Normal"/>
              <w:rPr/>
            </w:pPr>
            <w:r>
              <w:rPr/>
            </w:r>
          </w:p>
        </w:tc>
      </w:tr>
      <w:tr>
        <w:trPr/>
        <w:tc>
          <w:tcPr>
            <w:tcW w:w="132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Диаметр труб ответвлений, мм </w:t>
            </w:r>
          </w:p>
          <w:p>
            <w:pPr>
              <w:pStyle w:val="Normal"/>
              <w:rPr/>
            </w:pPr>
            <w:r>
              <w:rPr/>
            </w:r>
          </w:p>
        </w:tc>
        <w:tc>
          <w:tcPr>
            <w:tcW w:w="193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площади отверстий </w:t>
            </w:r>
          </w:p>
          <w:p>
            <w:pPr>
              <w:pStyle w:val="Normal"/>
              <w:rPr/>
            </w:pPr>
            <w:r>
              <w:rPr/>
              <w:t>к площади осветлителя, %</w:t>
            </w:r>
          </w:p>
          <w:p>
            <w:pPr>
              <w:pStyle w:val="Normal"/>
              <w:rPr/>
            </w:pPr>
            <w:r>
              <w:rPr/>
            </w:r>
          </w:p>
        </w:tc>
        <w:tc>
          <w:tcPr>
            <w:tcW w:w="136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между осями труб ответвлений </w:t>
            </w:r>
          </w:p>
          <w:p>
            <w:pPr>
              <w:pStyle w:val="Normal"/>
              <w:rPr/>
            </w:pPr>
            <w:r>
              <w:rPr/>
            </w:r>
          </w:p>
        </w:tc>
        <w:tc>
          <w:tcPr>
            <w:tcW w:w="15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от дна осветлителя</w:t>
            </w:r>
          </w:p>
          <w:p>
            <w:pPr>
              <w:pStyle w:val="Normal"/>
              <w:rPr/>
            </w:pPr>
            <w:r>
              <w:rPr/>
              <w:t xml:space="preserve">до низа шторок </w:t>
            </w:r>
          </w:p>
          <w:p>
            <w:pPr>
              <w:pStyle w:val="Normal"/>
              <w:rPr/>
            </w:pPr>
            <w:r>
              <w:rPr/>
            </w:r>
          </w:p>
        </w:tc>
        <w:tc>
          <w:tcPr>
            <w:tcW w:w="181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от низа шторок до</w:t>
            </w:r>
          </w:p>
          <w:p>
            <w:pPr>
              <w:pStyle w:val="Normal"/>
              <w:rPr/>
            </w:pPr>
            <w:r>
              <w:rPr/>
              <w:t xml:space="preserve">оси труб ответвлений </w:t>
            </w:r>
          </w:p>
          <w:p>
            <w:pPr>
              <w:pStyle w:val="Normal"/>
              <w:rPr/>
            </w:pPr>
            <w:r>
              <w:rPr/>
            </w:r>
          </w:p>
        </w:tc>
        <w:tc>
          <w:tcPr>
            <w:tcW w:w="155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между поперечными перегородками </w:t>
            </w:r>
          </w:p>
          <w:p>
            <w:pPr>
              <w:pStyle w:val="Normal"/>
              <w:rPr/>
            </w:pPr>
            <w:r>
              <w:rPr/>
            </w:r>
          </w:p>
        </w:tc>
      </w:tr>
      <w:tr>
        <w:trPr/>
        <w:tc>
          <w:tcPr>
            <w:tcW w:w="1320" w:type="dxa"/>
            <w:tcBorders>
              <w:start w:val="single" w:sz="2" w:space="0" w:color="000000"/>
            </w:tcBorders>
            <w:shd w:fill="auto" w:val="clear"/>
            <w:tcMar>
              <w:start w:w="102" w:type="dxa"/>
            </w:tcMar>
          </w:tcPr>
          <w:p>
            <w:pPr>
              <w:pStyle w:val="Normal"/>
              <w:rPr/>
            </w:pPr>
            <w:r>
              <w:rPr/>
              <w:t xml:space="preserve">75 </w:t>
            </w:r>
          </w:p>
          <w:p>
            <w:pPr>
              <w:pStyle w:val="Normal"/>
              <w:rPr/>
            </w:pPr>
            <w:r>
              <w:rPr/>
            </w:r>
          </w:p>
        </w:tc>
        <w:tc>
          <w:tcPr>
            <w:tcW w:w="1935" w:type="dxa"/>
            <w:tcBorders>
              <w:start w:val="single" w:sz="2" w:space="0" w:color="000000"/>
            </w:tcBorders>
            <w:shd w:fill="auto" w:val="clear"/>
            <w:tcMar>
              <w:start w:w="102" w:type="dxa"/>
            </w:tcMar>
          </w:tcPr>
          <w:p>
            <w:pPr>
              <w:pStyle w:val="Normal"/>
              <w:rPr/>
            </w:pPr>
            <w:r>
              <w:rPr/>
              <w:t xml:space="preserve">0,28 - 0,3 </w:t>
            </w:r>
          </w:p>
          <w:p>
            <w:pPr>
              <w:pStyle w:val="Normal"/>
              <w:rPr/>
            </w:pPr>
            <w:r>
              <w:rPr/>
            </w:r>
          </w:p>
        </w:tc>
        <w:tc>
          <w:tcPr>
            <w:tcW w:w="1365" w:type="dxa"/>
            <w:tcBorders>
              <w:start w:val="single" w:sz="2" w:space="0" w:color="000000"/>
            </w:tcBorders>
            <w:shd w:fill="auto" w:val="clear"/>
            <w:tcMar>
              <w:start w:w="102" w:type="dxa"/>
            </w:tcMar>
          </w:tcPr>
          <w:p>
            <w:pPr>
              <w:pStyle w:val="Normal"/>
              <w:rPr/>
            </w:pPr>
            <w:r>
              <w:rPr/>
              <w:t xml:space="preserve">240 - 260 </w:t>
            </w:r>
          </w:p>
          <w:p>
            <w:pPr>
              <w:pStyle w:val="Normal"/>
              <w:rPr/>
            </w:pPr>
            <w:r>
              <w:rPr/>
            </w:r>
          </w:p>
        </w:tc>
        <w:tc>
          <w:tcPr>
            <w:tcW w:w="1500" w:type="dxa"/>
            <w:tcBorders>
              <w:start w:val="single" w:sz="2" w:space="0" w:color="000000"/>
            </w:tcBorders>
            <w:shd w:fill="auto" w:val="clear"/>
            <w:tcMar>
              <w:start w:w="102" w:type="dxa"/>
            </w:tcMar>
          </w:tcPr>
          <w:p>
            <w:pPr>
              <w:pStyle w:val="Normal"/>
              <w:rPr/>
            </w:pPr>
            <w:r>
              <w:rPr/>
              <w:t xml:space="preserve">100 - 120 </w:t>
            </w:r>
          </w:p>
          <w:p>
            <w:pPr>
              <w:pStyle w:val="Normal"/>
              <w:rPr/>
            </w:pPr>
            <w:r>
              <w:rPr/>
            </w:r>
          </w:p>
        </w:tc>
        <w:tc>
          <w:tcPr>
            <w:tcW w:w="1815" w:type="dxa"/>
            <w:tcBorders>
              <w:start w:val="single" w:sz="2" w:space="0" w:color="000000"/>
            </w:tcBorders>
            <w:shd w:fill="auto" w:val="clear"/>
            <w:tcMar>
              <w:start w:w="102" w:type="dxa"/>
            </w:tcMar>
          </w:tcPr>
          <w:p>
            <w:pPr>
              <w:pStyle w:val="Normal"/>
              <w:rPr/>
            </w:pPr>
            <w:r>
              <w:rPr/>
              <w:t xml:space="preserve">155 </w:t>
            </w:r>
          </w:p>
          <w:p>
            <w:pPr>
              <w:pStyle w:val="Normal"/>
              <w:rPr/>
            </w:pPr>
            <w:r>
              <w:rPr/>
            </w:r>
          </w:p>
        </w:tc>
        <w:tc>
          <w:tcPr>
            <w:tcW w:w="155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300 - 400 </w:t>
            </w:r>
          </w:p>
          <w:p>
            <w:pPr>
              <w:pStyle w:val="Normal"/>
              <w:rPr/>
            </w:pPr>
            <w:r>
              <w:rPr/>
            </w:r>
          </w:p>
        </w:tc>
      </w:tr>
      <w:tr>
        <w:trPr/>
        <w:tc>
          <w:tcPr>
            <w:tcW w:w="1320" w:type="dxa"/>
            <w:tcBorders>
              <w:start w:val="single" w:sz="2" w:space="0" w:color="000000"/>
            </w:tcBorders>
            <w:shd w:fill="auto" w:val="clear"/>
            <w:tcMar>
              <w:start w:w="102" w:type="dxa"/>
            </w:tcMar>
          </w:tcPr>
          <w:p>
            <w:pPr>
              <w:pStyle w:val="Normal"/>
              <w:rPr/>
            </w:pPr>
            <w:r>
              <w:rPr/>
              <w:t xml:space="preserve">100 </w:t>
            </w:r>
          </w:p>
          <w:p>
            <w:pPr>
              <w:pStyle w:val="Normal"/>
              <w:rPr/>
            </w:pPr>
            <w:r>
              <w:rPr/>
            </w:r>
          </w:p>
        </w:tc>
        <w:tc>
          <w:tcPr>
            <w:tcW w:w="1935" w:type="dxa"/>
            <w:tcBorders>
              <w:start w:val="single" w:sz="2" w:space="0" w:color="000000"/>
            </w:tcBorders>
            <w:shd w:fill="auto" w:val="clear"/>
            <w:tcMar>
              <w:start w:w="102" w:type="dxa"/>
            </w:tcMar>
          </w:tcPr>
          <w:p>
            <w:pPr>
              <w:pStyle w:val="Normal"/>
              <w:rPr/>
            </w:pPr>
            <w:r>
              <w:rPr/>
              <w:t xml:space="preserve">0,26  - 0,28 </w:t>
            </w:r>
          </w:p>
          <w:p>
            <w:pPr>
              <w:pStyle w:val="Normal"/>
              <w:rPr/>
            </w:pPr>
            <w:r>
              <w:rPr/>
            </w:r>
          </w:p>
        </w:tc>
        <w:tc>
          <w:tcPr>
            <w:tcW w:w="1365" w:type="dxa"/>
            <w:tcBorders>
              <w:start w:val="single" w:sz="2" w:space="0" w:color="000000"/>
            </w:tcBorders>
            <w:shd w:fill="auto" w:val="clear"/>
            <w:tcMar>
              <w:start w:w="102" w:type="dxa"/>
            </w:tcMar>
          </w:tcPr>
          <w:p>
            <w:pPr>
              <w:pStyle w:val="Normal"/>
              <w:rPr/>
            </w:pPr>
            <w:r>
              <w:rPr/>
              <w:t xml:space="preserve">300  - 320 </w:t>
            </w:r>
          </w:p>
          <w:p>
            <w:pPr>
              <w:pStyle w:val="Normal"/>
              <w:rPr/>
            </w:pPr>
            <w:r>
              <w:rPr/>
            </w:r>
          </w:p>
        </w:tc>
        <w:tc>
          <w:tcPr>
            <w:tcW w:w="1500" w:type="dxa"/>
            <w:tcBorders>
              <w:start w:val="single" w:sz="2" w:space="0" w:color="000000"/>
            </w:tcBorders>
            <w:shd w:fill="auto" w:val="clear"/>
            <w:tcMar>
              <w:start w:w="102" w:type="dxa"/>
            </w:tcMar>
          </w:tcPr>
          <w:p>
            <w:pPr>
              <w:pStyle w:val="Normal"/>
              <w:rPr/>
            </w:pPr>
            <w:r>
              <w:rPr/>
              <w:t xml:space="preserve">120  - 140 </w:t>
            </w:r>
          </w:p>
          <w:p>
            <w:pPr>
              <w:pStyle w:val="Normal"/>
              <w:rPr/>
            </w:pPr>
            <w:r>
              <w:rPr/>
            </w:r>
          </w:p>
        </w:tc>
        <w:tc>
          <w:tcPr>
            <w:tcW w:w="1815" w:type="dxa"/>
            <w:tcBorders>
              <w:start w:val="single" w:sz="2" w:space="0" w:color="000000"/>
            </w:tcBorders>
            <w:shd w:fill="auto" w:val="clear"/>
            <w:tcMar>
              <w:start w:w="102" w:type="dxa"/>
            </w:tcMar>
          </w:tcPr>
          <w:p>
            <w:pPr>
              <w:pStyle w:val="Normal"/>
              <w:rPr/>
            </w:pPr>
            <w:r>
              <w:rPr/>
              <w:t xml:space="preserve">170 </w:t>
            </w:r>
          </w:p>
          <w:p>
            <w:pPr>
              <w:pStyle w:val="Normal"/>
              <w:rPr/>
            </w:pPr>
            <w:r>
              <w:rPr/>
            </w:r>
          </w:p>
        </w:tc>
        <w:tc>
          <w:tcPr>
            <w:tcW w:w="155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400 - 600 </w:t>
            </w:r>
          </w:p>
          <w:p>
            <w:pPr>
              <w:pStyle w:val="Normal"/>
              <w:rPr/>
            </w:pPr>
            <w:r>
              <w:rPr/>
            </w:r>
          </w:p>
        </w:tc>
      </w:tr>
      <w:tr>
        <w:trPr/>
        <w:tc>
          <w:tcPr>
            <w:tcW w:w="1320" w:type="dxa"/>
            <w:tcBorders>
              <w:start w:val="single" w:sz="2" w:space="0" w:color="000000"/>
            </w:tcBorders>
            <w:shd w:fill="auto" w:val="clear"/>
            <w:tcMar>
              <w:start w:w="102" w:type="dxa"/>
            </w:tcMar>
          </w:tcPr>
          <w:p>
            <w:pPr>
              <w:pStyle w:val="Normal"/>
              <w:rPr/>
            </w:pPr>
            <w:r>
              <w:rPr/>
              <w:t xml:space="preserve">125 </w:t>
            </w:r>
          </w:p>
          <w:p>
            <w:pPr>
              <w:pStyle w:val="Normal"/>
              <w:rPr/>
            </w:pPr>
            <w:r>
              <w:rPr/>
            </w:r>
          </w:p>
        </w:tc>
        <w:tc>
          <w:tcPr>
            <w:tcW w:w="1935" w:type="dxa"/>
            <w:tcBorders>
              <w:start w:val="single" w:sz="2" w:space="0" w:color="000000"/>
            </w:tcBorders>
            <w:shd w:fill="auto" w:val="clear"/>
            <w:tcMar>
              <w:start w:w="102" w:type="dxa"/>
            </w:tcMar>
          </w:tcPr>
          <w:p>
            <w:pPr>
              <w:pStyle w:val="Normal"/>
              <w:rPr/>
            </w:pPr>
            <w:r>
              <w:rPr/>
              <w:t xml:space="preserve">0,24  - 0,26 </w:t>
            </w:r>
          </w:p>
          <w:p>
            <w:pPr>
              <w:pStyle w:val="Normal"/>
              <w:rPr/>
            </w:pPr>
            <w:r>
              <w:rPr/>
            </w:r>
          </w:p>
        </w:tc>
        <w:tc>
          <w:tcPr>
            <w:tcW w:w="1365" w:type="dxa"/>
            <w:tcBorders>
              <w:start w:val="single" w:sz="2" w:space="0" w:color="000000"/>
            </w:tcBorders>
            <w:shd w:fill="auto" w:val="clear"/>
            <w:tcMar>
              <w:start w:w="102" w:type="dxa"/>
            </w:tcMar>
          </w:tcPr>
          <w:p>
            <w:pPr>
              <w:pStyle w:val="Normal"/>
              <w:rPr/>
            </w:pPr>
            <w:r>
              <w:rPr/>
              <w:t xml:space="preserve">350 - 370 </w:t>
            </w:r>
          </w:p>
          <w:p>
            <w:pPr>
              <w:pStyle w:val="Normal"/>
              <w:rPr/>
            </w:pPr>
            <w:r>
              <w:rPr/>
            </w:r>
          </w:p>
        </w:tc>
        <w:tc>
          <w:tcPr>
            <w:tcW w:w="1500" w:type="dxa"/>
            <w:tcBorders>
              <w:start w:val="single" w:sz="2" w:space="0" w:color="000000"/>
            </w:tcBorders>
            <w:shd w:fill="auto" w:val="clear"/>
            <w:tcMar>
              <w:start w:w="102" w:type="dxa"/>
            </w:tcMar>
          </w:tcPr>
          <w:p>
            <w:pPr>
              <w:pStyle w:val="Normal"/>
              <w:rPr/>
            </w:pPr>
            <w:r>
              <w:rPr/>
              <w:t xml:space="preserve">140  - 160 </w:t>
            </w:r>
          </w:p>
          <w:p>
            <w:pPr>
              <w:pStyle w:val="Normal"/>
              <w:rPr/>
            </w:pPr>
            <w:r>
              <w:rPr/>
            </w:r>
          </w:p>
        </w:tc>
        <w:tc>
          <w:tcPr>
            <w:tcW w:w="1815" w:type="dxa"/>
            <w:tcBorders>
              <w:start w:val="single" w:sz="2" w:space="0" w:color="000000"/>
            </w:tcBorders>
            <w:shd w:fill="auto" w:val="clear"/>
            <w:tcMar>
              <w:start w:w="102" w:type="dxa"/>
            </w:tcMar>
          </w:tcPr>
          <w:p>
            <w:pPr>
              <w:pStyle w:val="Normal"/>
              <w:rPr/>
            </w:pPr>
            <w:r>
              <w:rPr/>
              <w:t xml:space="preserve">190 </w:t>
            </w:r>
          </w:p>
          <w:p>
            <w:pPr>
              <w:pStyle w:val="Normal"/>
              <w:rPr/>
            </w:pPr>
            <w:r>
              <w:rPr/>
            </w:r>
          </w:p>
        </w:tc>
        <w:tc>
          <w:tcPr>
            <w:tcW w:w="155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600 - 800 </w:t>
            </w:r>
          </w:p>
          <w:p>
            <w:pPr>
              <w:pStyle w:val="Normal"/>
              <w:rPr/>
            </w:pPr>
            <w:r>
              <w:rPr/>
            </w:r>
          </w:p>
        </w:tc>
      </w:tr>
      <w:tr>
        <w:trPr/>
        <w:tc>
          <w:tcPr>
            <w:tcW w:w="132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150 </w:t>
            </w:r>
          </w:p>
          <w:p>
            <w:pPr>
              <w:pStyle w:val="Normal"/>
              <w:rPr/>
            </w:pPr>
            <w:r>
              <w:rPr/>
            </w:r>
          </w:p>
        </w:tc>
        <w:tc>
          <w:tcPr>
            <w:tcW w:w="193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0, 22  - 0,24 </w:t>
            </w:r>
          </w:p>
          <w:p>
            <w:pPr>
              <w:pStyle w:val="Normal"/>
              <w:rPr/>
            </w:pPr>
            <w:r>
              <w:rPr/>
            </w:r>
          </w:p>
        </w:tc>
        <w:tc>
          <w:tcPr>
            <w:tcW w:w="136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440  - 470 </w:t>
            </w:r>
          </w:p>
          <w:p>
            <w:pPr>
              <w:pStyle w:val="Normal"/>
              <w:rPr/>
            </w:pPr>
            <w:r>
              <w:rPr/>
            </w:r>
          </w:p>
        </w:tc>
        <w:tc>
          <w:tcPr>
            <w:tcW w:w="15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160  - 180 </w:t>
            </w:r>
          </w:p>
          <w:p>
            <w:pPr>
              <w:pStyle w:val="Normal"/>
              <w:rPr/>
            </w:pPr>
            <w:r>
              <w:rPr/>
            </w:r>
          </w:p>
        </w:tc>
        <w:tc>
          <w:tcPr>
            <w:tcW w:w="181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220 </w:t>
            </w:r>
          </w:p>
          <w:p>
            <w:pPr>
              <w:pStyle w:val="Normal"/>
              <w:rPr/>
            </w:pPr>
            <w:r>
              <w:rPr/>
            </w:r>
          </w:p>
        </w:tc>
        <w:tc>
          <w:tcPr>
            <w:tcW w:w="155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800  - 1000 </w:t>
            </w:r>
          </w:p>
          <w:p>
            <w:pPr>
              <w:pStyle w:val="Normal"/>
              <w:rPr/>
            </w:pPr>
            <w:r>
              <w:rPr/>
            </w:r>
          </w:p>
        </w:tc>
      </w:tr>
    </w:tbl>
    <w:p>
      <w:pPr>
        <w:pStyle w:val="Normal"/>
        <w:ind w:firstLine="270"/>
        <w:jc w:val="both"/>
        <w:rPr/>
      </w:pPr>
      <w:r>
        <w:rPr/>
      </w:r>
    </w:p>
    <w:p>
      <w:pPr>
        <w:pStyle w:val="Normal"/>
        <w:ind w:firstLine="270"/>
        <w:jc w:val="both"/>
        <w:rPr/>
      </w:pPr>
      <w:r>
        <w:rPr/>
        <w:t xml:space="preserve">Примечания: 1. Скорость движения воды на входе в трубы ответвлений при промывке надлежит принимать 1,4-1,8 м/с. </w:t>
      </w:r>
    </w:p>
    <w:p>
      <w:pPr>
        <w:pStyle w:val="Normal"/>
        <w:ind w:firstLine="225"/>
        <w:jc w:val="both"/>
        <w:rPr/>
      </w:pPr>
      <w:r>
        <w:rPr/>
      </w:r>
    </w:p>
    <w:p>
      <w:pPr>
        <w:pStyle w:val="Normal"/>
        <w:ind w:firstLine="270"/>
        <w:jc w:val="both"/>
        <w:rPr/>
      </w:pPr>
      <w:r>
        <w:rPr/>
        <w:t>2. Большим расстояниям между осями труб соответствуют большие расстояния от дна осветлителя до низа шторок.</w:t>
      </w:r>
    </w:p>
    <w:p>
      <w:pPr>
        <w:pStyle w:val="Normal"/>
        <w:ind w:firstLine="270"/>
        <w:jc w:val="both"/>
        <w:rPr/>
      </w:pPr>
      <w:r>
        <w:rPr/>
      </w:r>
    </w:p>
    <w:p>
      <w:pPr>
        <w:pStyle w:val="Normal"/>
        <w:ind w:firstLine="270"/>
        <w:jc w:val="both"/>
        <w:rPr/>
      </w:pPr>
      <w:r>
        <w:rPr/>
      </w:r>
    </w:p>
    <w:p>
      <w:pPr>
        <w:pStyle w:val="Normal"/>
        <w:ind w:firstLine="270"/>
        <w:jc w:val="both"/>
        <w:rPr/>
      </w:pPr>
      <w:r>
        <w:rPr/>
        <w:t>6.136. Каналы и коммуникации для подачи и отвода воды, баки и насосы для промывки контактных осветлителей надлежит проектировать согласно пп. 6.107, 6.109, 6.117, при этом низ патрубка, отводящего осветленную воду из контактных осветлителей, должен быть на 100 мм выше уровня воды в сборном канале при промывке.</w:t>
      </w:r>
    </w:p>
    <w:p>
      <w:pPr>
        <w:pStyle w:val="Normal"/>
        <w:ind w:firstLine="225"/>
        <w:jc w:val="both"/>
        <w:rPr/>
      </w:pPr>
      <w:r>
        <w:rPr/>
      </w:r>
    </w:p>
    <w:p>
      <w:pPr>
        <w:pStyle w:val="Normal"/>
        <w:ind w:firstLine="270"/>
        <w:jc w:val="both"/>
        <w:rPr/>
      </w:pPr>
      <w:r>
        <w:rPr/>
        <w:t>Трубопроводы отвода осветленной и промывной воды должны предусматриваться на отметках, исключающих возможность подтопления осветлителей во время рабочего цикла и при промывках.</w:t>
      </w:r>
    </w:p>
    <w:p>
      <w:pPr>
        <w:pStyle w:val="Normal"/>
        <w:ind w:firstLine="225"/>
        <w:jc w:val="both"/>
        <w:rPr/>
      </w:pPr>
      <w:r>
        <w:rPr/>
      </w:r>
    </w:p>
    <w:p>
      <w:pPr>
        <w:pStyle w:val="Normal"/>
        <w:ind w:firstLine="270"/>
        <w:jc w:val="both"/>
        <w:rPr/>
      </w:pPr>
      <w:r>
        <w:rPr/>
        <w:t>Для опорожнения контактных осветлителей на нижней части коллектора распределительной системы должен предусматриваться трубопровод с запорным устройством диаметром, обеспечивающим скорость нисходящего потока воды в осветлителе не более 2 м/ч при наличии поддерживающих слоев и не более 0,2 м/ч - без поддерживающих слоев. При опорожнении осветлителей без поддерживающих слоев следует предусматривать устройства, исключающие вынос загрузки.</w:t>
      </w:r>
    </w:p>
    <w:p>
      <w:pPr>
        <w:pStyle w:val="Normal"/>
        <w:ind w:firstLine="225"/>
        <w:jc w:val="both"/>
        <w:rPr/>
      </w:pPr>
      <w:r>
        <w:rPr/>
      </w:r>
    </w:p>
    <w:p>
      <w:pPr>
        <w:pStyle w:val="Normal"/>
        <w:ind w:firstLine="270"/>
        <w:jc w:val="both"/>
        <w:rPr/>
      </w:pPr>
      <w:r>
        <w:rPr/>
      </w:r>
    </w:p>
    <w:p>
      <w:pPr>
        <w:pStyle w:val="Heading"/>
        <w:jc w:val="center"/>
        <w:rPr/>
      </w:pPr>
      <w:r>
        <w:rPr/>
        <w:t>Медленные фильтры</w:t>
      </w:r>
    </w:p>
    <w:p>
      <w:pPr>
        <w:pStyle w:val="Heading"/>
        <w:jc w:val="center"/>
        <w:rPr/>
      </w:pPr>
      <w:r>
        <w:rPr/>
      </w:r>
    </w:p>
    <w:p>
      <w:pPr>
        <w:pStyle w:val="Normal"/>
        <w:ind w:firstLine="270"/>
        <w:jc w:val="both"/>
        <w:rPr/>
      </w:pPr>
      <w:r>
        <w:rPr/>
      </w:r>
    </w:p>
    <w:p>
      <w:pPr>
        <w:pStyle w:val="Normal"/>
        <w:ind w:firstLine="225"/>
        <w:jc w:val="both"/>
        <w:rPr/>
      </w:pPr>
      <w:r>
        <w:rPr/>
        <w:t>6.137. Расчетные скорости фильтрования на медленных фильтрах надлежит принимать в пределах 0,1-0,2 м/ч, при этом скорость выше 0,1 м/ч - только на время промывки фильтра.</w:t>
      </w:r>
    </w:p>
    <w:p>
      <w:pPr>
        <w:pStyle w:val="Normal"/>
        <w:ind w:firstLine="225"/>
        <w:jc w:val="both"/>
        <w:rPr/>
      </w:pPr>
      <w:r>
        <w:rPr/>
      </w:r>
    </w:p>
    <w:p>
      <w:pPr>
        <w:pStyle w:val="Normal"/>
        <w:ind w:firstLine="225"/>
        <w:jc w:val="both"/>
        <w:rPr/>
      </w:pPr>
      <w:r>
        <w:rPr/>
        <w:t>Количество фильтров должно приниматься не менее трех. Ширина фильтра должна быть не более 6 м, длина - не более 60 м.</w:t>
      </w:r>
    </w:p>
    <w:p>
      <w:pPr>
        <w:pStyle w:val="Normal"/>
        <w:ind w:firstLine="225"/>
        <w:jc w:val="both"/>
        <w:rPr/>
      </w:pPr>
      <w:r>
        <w:rPr/>
      </w:r>
    </w:p>
    <w:p>
      <w:pPr>
        <w:pStyle w:val="Normal"/>
        <w:ind w:firstLine="225"/>
        <w:jc w:val="both"/>
        <w:rPr/>
      </w:pPr>
      <w:r>
        <w:rPr/>
        <w:t>Крупность зерен и высоту слоев загрузки фильтров следует принимать по табл. 28.</w:t>
      </w:r>
    </w:p>
    <w:p>
      <w:pPr>
        <w:pStyle w:val="Normal"/>
        <w:ind w:firstLine="270"/>
        <w:jc w:val="both"/>
        <w:rPr/>
      </w:pPr>
      <w:r>
        <w:rPr/>
      </w:r>
    </w:p>
    <w:p>
      <w:pPr>
        <w:pStyle w:val="Normal"/>
        <w:jc w:val="end"/>
        <w:rPr/>
      </w:pPr>
      <w:r>
        <w:rPr/>
        <w:t xml:space="preserve">Таблица 28 </w:t>
      </w:r>
    </w:p>
    <w:p>
      <w:pPr>
        <w:pStyle w:val="Normal"/>
        <w:ind w:firstLine="270"/>
        <w:jc w:val="both"/>
        <w:rPr/>
      </w:pPr>
      <w:r>
        <w:rPr/>
      </w:r>
    </w:p>
    <w:p>
      <w:pPr>
        <w:pStyle w:val="Normal"/>
        <w:ind w:firstLine="270"/>
        <w:jc w:val="both"/>
        <w:rPr/>
      </w:pPr>
      <w:r>
        <w:rPr/>
      </w:r>
    </w:p>
    <w:tbl>
      <w:tblPr>
        <w:tblW w:w="6350" w:type="dxa"/>
        <w:jc w:val="start"/>
        <w:tblInd w:w="105" w:type="dxa"/>
        <w:tblBorders>
          <w:top w:val="single" w:sz="2" w:space="0" w:color="000000"/>
          <w:start w:val="single" w:sz="2" w:space="0" w:color="000000"/>
          <w:bottom w:val="single" w:sz="2" w:space="0" w:color="000000"/>
          <w:insideH w:val="single" w:sz="2" w:space="0" w:color="000000"/>
        </w:tblBorders>
        <w:tblCellMar>
          <w:top w:w="0" w:type="dxa"/>
          <w:start w:w="102" w:type="dxa"/>
          <w:bottom w:w="0" w:type="dxa"/>
          <w:end w:w="105" w:type="dxa"/>
        </w:tblCellMar>
      </w:tblPr>
      <w:tblGrid>
        <w:gridCol w:w="1095"/>
        <w:gridCol w:w="2415"/>
        <w:gridCol w:w="1470"/>
        <w:gridCol w:w="1370"/>
      </w:tblGrid>
      <w:tr>
        <w:trPr/>
        <w:tc>
          <w:tcPr>
            <w:tcW w:w="109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vanish/>
              </w:rPr>
              <w:t>#G0</w:t>
            </w:r>
            <w:r>
              <w:rPr/>
              <w:t xml:space="preserve">№ слоя сверху вниз </w:t>
            </w:r>
          </w:p>
          <w:p>
            <w:pPr>
              <w:pStyle w:val="Normal"/>
              <w:jc w:val="center"/>
              <w:rPr/>
            </w:pPr>
            <w:r>
              <w:rPr/>
            </w:r>
          </w:p>
        </w:tc>
        <w:tc>
          <w:tcPr>
            <w:tcW w:w="241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Загрузочный </w:t>
            </w:r>
          </w:p>
          <w:p>
            <w:pPr>
              <w:pStyle w:val="Normal"/>
              <w:rPr/>
            </w:pPr>
            <w:r>
              <w:rPr/>
              <w:t xml:space="preserve">материал </w:t>
            </w:r>
          </w:p>
          <w:p>
            <w:pPr>
              <w:pStyle w:val="Normal"/>
              <w:rPr/>
            </w:pPr>
            <w:r>
              <w:rPr/>
            </w:r>
          </w:p>
        </w:tc>
        <w:tc>
          <w:tcPr>
            <w:tcW w:w="147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Крупность</w:t>
            </w:r>
          </w:p>
          <w:p>
            <w:pPr>
              <w:pStyle w:val="Normal"/>
              <w:rPr/>
            </w:pPr>
            <w:r>
              <w:rPr/>
              <w:t xml:space="preserve">зерен, мм </w:t>
            </w:r>
          </w:p>
          <w:p>
            <w:pPr>
              <w:pStyle w:val="Normal"/>
              <w:rPr/>
            </w:pPr>
            <w:r>
              <w:rPr/>
            </w:r>
          </w:p>
        </w:tc>
        <w:tc>
          <w:tcPr>
            <w:tcW w:w="137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Высота слоя загрузки, мм </w:t>
            </w:r>
          </w:p>
          <w:p>
            <w:pPr>
              <w:pStyle w:val="Normal"/>
              <w:rPr/>
            </w:pPr>
            <w:r>
              <w:rPr/>
            </w:r>
          </w:p>
        </w:tc>
      </w:tr>
      <w:tr>
        <w:trPr/>
        <w:tc>
          <w:tcPr>
            <w:tcW w:w="1095" w:type="dxa"/>
            <w:tcBorders>
              <w:start w:val="single" w:sz="2" w:space="0" w:color="000000"/>
            </w:tcBorders>
            <w:shd w:fill="auto" w:val="clear"/>
            <w:tcMar>
              <w:start w:w="102" w:type="dxa"/>
            </w:tcMar>
          </w:tcPr>
          <w:p>
            <w:pPr>
              <w:pStyle w:val="Normal"/>
              <w:rPr/>
            </w:pPr>
            <w:r>
              <w:rPr/>
              <w:t xml:space="preserve">1 </w:t>
            </w:r>
          </w:p>
          <w:p>
            <w:pPr>
              <w:pStyle w:val="Normal"/>
              <w:rPr/>
            </w:pPr>
            <w:r>
              <w:rPr/>
            </w:r>
          </w:p>
        </w:tc>
        <w:tc>
          <w:tcPr>
            <w:tcW w:w="2415" w:type="dxa"/>
            <w:tcBorders>
              <w:start w:val="single" w:sz="2" w:space="0" w:color="000000"/>
            </w:tcBorders>
            <w:shd w:fill="auto" w:val="clear"/>
            <w:tcMar>
              <w:start w:w="102" w:type="dxa"/>
            </w:tcMar>
          </w:tcPr>
          <w:p>
            <w:pPr>
              <w:pStyle w:val="Normal"/>
              <w:jc w:val="both"/>
              <w:rPr/>
            </w:pPr>
            <w:r>
              <w:rPr/>
              <w:t xml:space="preserve">Песок </w:t>
            </w:r>
          </w:p>
          <w:p>
            <w:pPr>
              <w:pStyle w:val="Normal"/>
              <w:jc w:val="both"/>
              <w:rPr/>
            </w:pPr>
            <w:r>
              <w:rPr/>
            </w:r>
          </w:p>
        </w:tc>
        <w:tc>
          <w:tcPr>
            <w:tcW w:w="1470" w:type="dxa"/>
            <w:tcBorders>
              <w:start w:val="single" w:sz="2" w:space="0" w:color="000000"/>
            </w:tcBorders>
            <w:shd w:fill="auto" w:val="clear"/>
            <w:tcMar>
              <w:start w:w="102" w:type="dxa"/>
            </w:tcMar>
          </w:tcPr>
          <w:p>
            <w:pPr>
              <w:pStyle w:val="Normal"/>
              <w:jc w:val="center"/>
              <w:rPr/>
            </w:pPr>
            <w:r>
              <w:rPr/>
              <w:t xml:space="preserve">0,3  -1 </w:t>
            </w:r>
          </w:p>
          <w:p>
            <w:pPr>
              <w:pStyle w:val="Normal"/>
              <w:jc w:val="center"/>
              <w:rPr/>
            </w:pPr>
            <w:r>
              <w:rPr/>
            </w:r>
          </w:p>
        </w:tc>
        <w:tc>
          <w:tcPr>
            <w:tcW w:w="137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500 </w:t>
            </w:r>
          </w:p>
          <w:p>
            <w:pPr>
              <w:pStyle w:val="Normal"/>
              <w:rPr/>
            </w:pPr>
            <w:r>
              <w:rPr/>
            </w:r>
          </w:p>
        </w:tc>
      </w:tr>
      <w:tr>
        <w:trPr/>
        <w:tc>
          <w:tcPr>
            <w:tcW w:w="1095" w:type="dxa"/>
            <w:tcBorders>
              <w:start w:val="single" w:sz="2" w:space="0" w:color="000000"/>
            </w:tcBorders>
            <w:shd w:fill="auto" w:val="clear"/>
            <w:tcMar>
              <w:start w:w="102" w:type="dxa"/>
            </w:tcMar>
          </w:tcPr>
          <w:p>
            <w:pPr>
              <w:pStyle w:val="Normal"/>
              <w:rPr/>
            </w:pPr>
            <w:r>
              <w:rPr/>
              <w:t xml:space="preserve">2 </w:t>
            </w:r>
          </w:p>
          <w:p>
            <w:pPr>
              <w:pStyle w:val="Normal"/>
              <w:rPr/>
            </w:pPr>
            <w:r>
              <w:rPr/>
            </w:r>
          </w:p>
        </w:tc>
        <w:tc>
          <w:tcPr>
            <w:tcW w:w="2415" w:type="dxa"/>
            <w:tcBorders>
              <w:start w:val="single" w:sz="2" w:space="0" w:color="000000"/>
            </w:tcBorders>
            <w:shd w:fill="auto" w:val="clear"/>
            <w:tcMar>
              <w:start w:w="102" w:type="dxa"/>
            </w:tcMar>
          </w:tcPr>
          <w:p>
            <w:pPr>
              <w:pStyle w:val="Normal"/>
              <w:ind w:firstLine="180"/>
              <w:jc w:val="both"/>
              <w:rPr/>
            </w:pPr>
            <w:r>
              <w:rPr/>
              <w:t>«</w:t>
            </w:r>
          </w:p>
          <w:p>
            <w:pPr>
              <w:pStyle w:val="Normal"/>
              <w:ind w:firstLine="180"/>
              <w:jc w:val="both"/>
              <w:rPr/>
            </w:pPr>
            <w:r>
              <w:rPr/>
            </w:r>
          </w:p>
        </w:tc>
        <w:tc>
          <w:tcPr>
            <w:tcW w:w="1470" w:type="dxa"/>
            <w:tcBorders>
              <w:start w:val="single" w:sz="2" w:space="0" w:color="000000"/>
            </w:tcBorders>
            <w:shd w:fill="auto" w:val="clear"/>
            <w:tcMar>
              <w:start w:w="102" w:type="dxa"/>
            </w:tcMar>
          </w:tcPr>
          <w:p>
            <w:pPr>
              <w:pStyle w:val="Normal"/>
              <w:jc w:val="center"/>
              <w:rPr/>
            </w:pPr>
            <w:r>
              <w:rPr/>
              <w:t xml:space="preserve">1  - 2 </w:t>
            </w:r>
          </w:p>
          <w:p>
            <w:pPr>
              <w:pStyle w:val="Normal"/>
              <w:jc w:val="center"/>
              <w:rPr/>
            </w:pPr>
            <w:r>
              <w:rPr/>
            </w:r>
          </w:p>
        </w:tc>
        <w:tc>
          <w:tcPr>
            <w:tcW w:w="137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50 </w:t>
            </w:r>
          </w:p>
          <w:p>
            <w:pPr>
              <w:pStyle w:val="Normal"/>
              <w:rPr/>
            </w:pPr>
            <w:r>
              <w:rPr/>
            </w:r>
          </w:p>
        </w:tc>
      </w:tr>
      <w:tr>
        <w:trPr/>
        <w:tc>
          <w:tcPr>
            <w:tcW w:w="1095" w:type="dxa"/>
            <w:tcBorders>
              <w:start w:val="single" w:sz="2" w:space="0" w:color="000000"/>
            </w:tcBorders>
            <w:shd w:fill="auto" w:val="clear"/>
            <w:tcMar>
              <w:start w:w="102" w:type="dxa"/>
            </w:tcMar>
          </w:tcPr>
          <w:p>
            <w:pPr>
              <w:pStyle w:val="Normal"/>
              <w:rPr/>
            </w:pPr>
            <w:r>
              <w:rPr/>
              <w:t xml:space="preserve">3 </w:t>
            </w:r>
          </w:p>
          <w:p>
            <w:pPr>
              <w:pStyle w:val="Normal"/>
              <w:rPr/>
            </w:pPr>
            <w:r>
              <w:rPr/>
            </w:r>
          </w:p>
        </w:tc>
        <w:tc>
          <w:tcPr>
            <w:tcW w:w="2415" w:type="dxa"/>
            <w:tcBorders>
              <w:start w:val="single" w:sz="2" w:space="0" w:color="000000"/>
            </w:tcBorders>
            <w:shd w:fill="auto" w:val="clear"/>
            <w:tcMar>
              <w:start w:w="102" w:type="dxa"/>
            </w:tcMar>
          </w:tcPr>
          <w:p>
            <w:pPr>
              <w:pStyle w:val="Normal"/>
              <w:ind w:firstLine="180"/>
              <w:jc w:val="both"/>
              <w:rPr/>
            </w:pPr>
            <w:r>
              <w:rPr/>
              <w:t>«</w:t>
            </w:r>
          </w:p>
          <w:p>
            <w:pPr>
              <w:pStyle w:val="Normal"/>
              <w:ind w:firstLine="180"/>
              <w:jc w:val="both"/>
              <w:rPr/>
            </w:pPr>
            <w:r>
              <w:rPr/>
            </w:r>
          </w:p>
        </w:tc>
        <w:tc>
          <w:tcPr>
            <w:tcW w:w="1470" w:type="dxa"/>
            <w:tcBorders>
              <w:start w:val="single" w:sz="2" w:space="0" w:color="000000"/>
            </w:tcBorders>
            <w:shd w:fill="auto" w:val="clear"/>
            <w:tcMar>
              <w:start w:w="102" w:type="dxa"/>
            </w:tcMar>
          </w:tcPr>
          <w:p>
            <w:pPr>
              <w:pStyle w:val="Normal"/>
              <w:jc w:val="center"/>
              <w:rPr/>
            </w:pPr>
            <w:r>
              <w:rPr/>
              <w:t xml:space="preserve">2  - 5 </w:t>
            </w:r>
          </w:p>
          <w:p>
            <w:pPr>
              <w:pStyle w:val="Normal"/>
              <w:jc w:val="center"/>
              <w:rPr/>
            </w:pPr>
            <w:r>
              <w:rPr/>
            </w:r>
          </w:p>
        </w:tc>
        <w:tc>
          <w:tcPr>
            <w:tcW w:w="137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50 </w:t>
            </w:r>
          </w:p>
          <w:p>
            <w:pPr>
              <w:pStyle w:val="Normal"/>
              <w:rPr/>
            </w:pPr>
            <w:r>
              <w:rPr/>
            </w:r>
          </w:p>
        </w:tc>
      </w:tr>
      <w:tr>
        <w:trPr/>
        <w:tc>
          <w:tcPr>
            <w:tcW w:w="1095" w:type="dxa"/>
            <w:tcBorders>
              <w:start w:val="single" w:sz="2" w:space="0" w:color="000000"/>
            </w:tcBorders>
            <w:shd w:fill="auto" w:val="clear"/>
            <w:tcMar>
              <w:start w:w="102" w:type="dxa"/>
            </w:tcMar>
          </w:tcPr>
          <w:p>
            <w:pPr>
              <w:pStyle w:val="Normal"/>
              <w:rPr/>
            </w:pPr>
            <w:r>
              <w:rPr/>
              <w:t xml:space="preserve">4 </w:t>
            </w:r>
          </w:p>
          <w:p>
            <w:pPr>
              <w:pStyle w:val="Normal"/>
              <w:rPr/>
            </w:pPr>
            <w:r>
              <w:rPr/>
            </w:r>
          </w:p>
        </w:tc>
        <w:tc>
          <w:tcPr>
            <w:tcW w:w="2415" w:type="dxa"/>
            <w:tcBorders>
              <w:start w:val="single" w:sz="2" w:space="0" w:color="000000"/>
            </w:tcBorders>
            <w:shd w:fill="auto" w:val="clear"/>
            <w:tcMar>
              <w:start w:w="102" w:type="dxa"/>
            </w:tcMar>
          </w:tcPr>
          <w:p>
            <w:pPr>
              <w:pStyle w:val="Normal"/>
              <w:jc w:val="both"/>
              <w:rPr/>
            </w:pPr>
            <w:r>
              <w:rPr/>
              <w:t xml:space="preserve">Гравий или щебень </w:t>
            </w:r>
          </w:p>
          <w:p>
            <w:pPr>
              <w:pStyle w:val="Normal"/>
              <w:jc w:val="both"/>
              <w:rPr/>
            </w:pPr>
            <w:r>
              <w:rPr/>
            </w:r>
          </w:p>
        </w:tc>
        <w:tc>
          <w:tcPr>
            <w:tcW w:w="1470" w:type="dxa"/>
            <w:tcBorders>
              <w:start w:val="single" w:sz="2" w:space="0" w:color="000000"/>
            </w:tcBorders>
            <w:shd w:fill="auto" w:val="clear"/>
            <w:tcMar>
              <w:start w:w="102" w:type="dxa"/>
            </w:tcMar>
          </w:tcPr>
          <w:p>
            <w:pPr>
              <w:pStyle w:val="Normal"/>
              <w:jc w:val="center"/>
              <w:rPr/>
            </w:pPr>
            <w:r>
              <w:rPr/>
              <w:t xml:space="preserve">5  - 10 </w:t>
            </w:r>
          </w:p>
          <w:p>
            <w:pPr>
              <w:pStyle w:val="Normal"/>
              <w:jc w:val="center"/>
              <w:rPr/>
            </w:pPr>
            <w:r>
              <w:rPr/>
            </w:r>
          </w:p>
        </w:tc>
        <w:tc>
          <w:tcPr>
            <w:tcW w:w="137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50 </w:t>
            </w:r>
          </w:p>
          <w:p>
            <w:pPr>
              <w:pStyle w:val="Normal"/>
              <w:rPr/>
            </w:pPr>
            <w:r>
              <w:rPr/>
            </w:r>
          </w:p>
        </w:tc>
      </w:tr>
      <w:tr>
        <w:trPr/>
        <w:tc>
          <w:tcPr>
            <w:tcW w:w="1095" w:type="dxa"/>
            <w:tcBorders>
              <w:start w:val="single" w:sz="2" w:space="0" w:color="000000"/>
            </w:tcBorders>
            <w:shd w:fill="auto" w:val="clear"/>
            <w:tcMar>
              <w:start w:w="102" w:type="dxa"/>
            </w:tcMar>
          </w:tcPr>
          <w:p>
            <w:pPr>
              <w:pStyle w:val="Normal"/>
              <w:rPr/>
            </w:pPr>
            <w:r>
              <w:rPr/>
              <w:t xml:space="preserve">5 </w:t>
            </w:r>
          </w:p>
          <w:p>
            <w:pPr>
              <w:pStyle w:val="Normal"/>
              <w:rPr/>
            </w:pPr>
            <w:r>
              <w:rPr/>
            </w:r>
          </w:p>
        </w:tc>
        <w:tc>
          <w:tcPr>
            <w:tcW w:w="2415" w:type="dxa"/>
            <w:tcBorders>
              <w:start w:val="single" w:sz="2" w:space="0" w:color="000000"/>
            </w:tcBorders>
            <w:shd w:fill="auto" w:val="clear"/>
            <w:tcMar>
              <w:start w:w="102" w:type="dxa"/>
            </w:tcMar>
          </w:tcPr>
          <w:p>
            <w:pPr>
              <w:pStyle w:val="Normal"/>
              <w:jc w:val="both"/>
              <w:rPr/>
            </w:pPr>
            <w:r>
              <w:rPr/>
              <w:t xml:space="preserve">То же </w:t>
            </w:r>
          </w:p>
          <w:p>
            <w:pPr>
              <w:pStyle w:val="Normal"/>
              <w:jc w:val="both"/>
              <w:rPr/>
            </w:pPr>
            <w:r>
              <w:rPr/>
            </w:r>
          </w:p>
        </w:tc>
        <w:tc>
          <w:tcPr>
            <w:tcW w:w="1470" w:type="dxa"/>
            <w:tcBorders>
              <w:start w:val="single" w:sz="2" w:space="0" w:color="000000"/>
            </w:tcBorders>
            <w:shd w:fill="auto" w:val="clear"/>
            <w:tcMar>
              <w:start w:w="102" w:type="dxa"/>
            </w:tcMar>
          </w:tcPr>
          <w:p>
            <w:pPr>
              <w:pStyle w:val="Normal"/>
              <w:jc w:val="center"/>
              <w:rPr/>
            </w:pPr>
            <w:r>
              <w:rPr/>
              <w:t xml:space="preserve">10  - 20 </w:t>
            </w:r>
          </w:p>
          <w:p>
            <w:pPr>
              <w:pStyle w:val="Normal"/>
              <w:jc w:val="center"/>
              <w:rPr/>
            </w:pPr>
            <w:r>
              <w:rPr/>
            </w:r>
          </w:p>
        </w:tc>
        <w:tc>
          <w:tcPr>
            <w:tcW w:w="137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50 </w:t>
            </w:r>
          </w:p>
          <w:p>
            <w:pPr>
              <w:pStyle w:val="Normal"/>
              <w:rPr/>
            </w:pPr>
            <w:r>
              <w:rPr/>
            </w:r>
          </w:p>
        </w:tc>
      </w:tr>
      <w:tr>
        <w:trPr/>
        <w:tc>
          <w:tcPr>
            <w:tcW w:w="109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6 </w:t>
            </w:r>
          </w:p>
          <w:p>
            <w:pPr>
              <w:pStyle w:val="Normal"/>
              <w:rPr/>
            </w:pPr>
            <w:r>
              <w:rPr/>
            </w:r>
          </w:p>
        </w:tc>
        <w:tc>
          <w:tcPr>
            <w:tcW w:w="2415" w:type="dxa"/>
            <w:tcBorders>
              <w:start w:val="single" w:sz="2" w:space="0" w:color="000000"/>
              <w:bottom w:val="single" w:sz="2" w:space="0" w:color="000000"/>
              <w:insideH w:val="single" w:sz="2" w:space="0" w:color="000000"/>
            </w:tcBorders>
            <w:shd w:fill="auto" w:val="clear"/>
            <w:tcMar>
              <w:start w:w="102" w:type="dxa"/>
            </w:tcMar>
          </w:tcPr>
          <w:p>
            <w:pPr>
              <w:pStyle w:val="Normal"/>
              <w:ind w:firstLine="180"/>
              <w:jc w:val="both"/>
              <w:rPr/>
            </w:pPr>
            <w:r>
              <w:rPr/>
              <w:t>«</w:t>
            </w:r>
          </w:p>
          <w:p>
            <w:pPr>
              <w:pStyle w:val="Normal"/>
              <w:ind w:firstLine="180"/>
              <w:jc w:val="both"/>
              <w:rPr/>
            </w:pPr>
            <w:r>
              <w:rPr/>
            </w:r>
          </w:p>
        </w:tc>
        <w:tc>
          <w:tcPr>
            <w:tcW w:w="147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20  - 40 </w:t>
            </w:r>
          </w:p>
          <w:p>
            <w:pPr>
              <w:pStyle w:val="Normal"/>
              <w:jc w:val="center"/>
              <w:rPr/>
            </w:pPr>
            <w:r>
              <w:rPr/>
            </w:r>
          </w:p>
        </w:tc>
        <w:tc>
          <w:tcPr>
            <w:tcW w:w="137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50 </w:t>
            </w:r>
          </w:p>
          <w:p>
            <w:pPr>
              <w:pStyle w:val="Normal"/>
              <w:rPr/>
            </w:pPr>
            <w:r>
              <w:rPr/>
            </w:r>
          </w:p>
        </w:tc>
      </w:tr>
    </w:tbl>
    <w:p>
      <w:pPr>
        <w:pStyle w:val="Normal"/>
        <w:jc w:val="both"/>
        <w:rPr/>
      </w:pPr>
      <w:r>
        <w:rPr/>
      </w:r>
    </w:p>
    <w:p>
      <w:pPr>
        <w:pStyle w:val="Normal"/>
        <w:ind w:firstLine="225"/>
        <w:jc w:val="both"/>
        <w:rPr/>
      </w:pPr>
      <w:r>
        <w:rPr/>
        <w:t>6.138. Медленные фильтры следует проектировать с механической или гидравлической регенерацией песчаной загрузки.</w:t>
      </w:r>
    </w:p>
    <w:p>
      <w:pPr>
        <w:pStyle w:val="Normal"/>
        <w:ind w:firstLine="270"/>
        <w:jc w:val="both"/>
        <w:rPr/>
      </w:pPr>
      <w:r>
        <w:rPr/>
      </w:r>
    </w:p>
    <w:p>
      <w:pPr>
        <w:pStyle w:val="Normal"/>
        <w:ind w:firstLine="225"/>
        <w:jc w:val="both"/>
        <w:rPr/>
      </w:pPr>
      <w:r>
        <w:rPr/>
        <w:t>Расход воды на один смыв загрязнений с 1 кв.м поверхности загрузки фильтра надлежит принимать 9 л/с, продолжительность смыва загрязнений на каждые 10 м длины фильтра - 3 мин.</w:t>
      </w:r>
    </w:p>
    <w:p>
      <w:pPr>
        <w:pStyle w:val="Normal"/>
        <w:ind w:firstLine="225"/>
        <w:jc w:val="both"/>
        <w:rPr/>
      </w:pPr>
      <w:r>
        <w:rPr/>
      </w:r>
    </w:p>
    <w:p>
      <w:pPr>
        <w:pStyle w:val="Normal"/>
        <w:ind w:firstLine="270"/>
        <w:jc w:val="both"/>
        <w:rPr/>
      </w:pPr>
      <w:r>
        <w:rPr/>
        <w:t>6.139. Вода на регенерацию медленного фильтра должна поступать от специального насоса или из специального бака. Допускается регенерацию фильтра предусматривать за счет форсирования производительности насосов, подающих воду на осветление, или за счет частичного использования емкости фильтров, работающих в режиме фильтрования.</w:t>
      </w:r>
    </w:p>
    <w:p>
      <w:pPr>
        <w:pStyle w:val="Normal"/>
        <w:ind w:firstLine="225"/>
        <w:jc w:val="both"/>
        <w:rPr/>
      </w:pPr>
      <w:r>
        <w:rPr/>
      </w:r>
    </w:p>
    <w:p>
      <w:pPr>
        <w:pStyle w:val="Normal"/>
        <w:ind w:firstLine="270"/>
        <w:jc w:val="both"/>
        <w:rPr/>
      </w:pPr>
      <w:r>
        <w:rPr/>
        <w:t>6.140. Слой воды над поверхностью загрузки медленных фильтров должен приниматься 1,5 м. При наличии перекрытия над фильтрами расстояние от поверхности загрузки до перекрытия должно быть достаточным для обеспечения работ по регенерации, а также смены и отмывки загрузки.</w:t>
      </w:r>
    </w:p>
    <w:p>
      <w:pPr>
        <w:pStyle w:val="Normal"/>
        <w:ind w:firstLine="225"/>
        <w:jc w:val="both"/>
        <w:rPr/>
      </w:pPr>
      <w:r>
        <w:rPr/>
      </w:r>
    </w:p>
    <w:p>
      <w:pPr>
        <w:pStyle w:val="Normal"/>
        <w:ind w:firstLine="270"/>
        <w:jc w:val="both"/>
        <w:rPr/>
      </w:pPr>
      <w:r>
        <w:rPr/>
        <w:t>В фильтрах следует устанавливать дренаж из перфорированных труб, кирпича или бетонных плиток, уложенных с прозорами, пористого бетона и др.</w:t>
      </w:r>
    </w:p>
    <w:p>
      <w:pPr>
        <w:pStyle w:val="Normal"/>
        <w:ind w:firstLine="270"/>
        <w:jc w:val="both"/>
        <w:rPr/>
      </w:pPr>
      <w:r>
        <w:rPr/>
      </w:r>
    </w:p>
    <w:p>
      <w:pPr>
        <w:pStyle w:val="Normal"/>
        <w:ind w:firstLine="225"/>
        <w:jc w:val="both"/>
        <w:rPr/>
      </w:pPr>
      <w:r>
        <w:rPr/>
      </w:r>
    </w:p>
    <w:p>
      <w:pPr>
        <w:pStyle w:val="Heading"/>
        <w:jc w:val="center"/>
        <w:rPr/>
      </w:pPr>
      <w:r>
        <w:rPr/>
        <w:t>Контактные префильтры</w:t>
      </w:r>
    </w:p>
    <w:p>
      <w:pPr>
        <w:pStyle w:val="Heading"/>
        <w:jc w:val="center"/>
        <w:rPr/>
      </w:pPr>
      <w:r>
        <w:rPr/>
      </w:r>
    </w:p>
    <w:p>
      <w:pPr>
        <w:pStyle w:val="Normal"/>
        <w:ind w:firstLine="270"/>
        <w:jc w:val="both"/>
        <w:rPr/>
      </w:pPr>
      <w:r>
        <w:rPr/>
      </w:r>
    </w:p>
    <w:p>
      <w:pPr>
        <w:pStyle w:val="Normal"/>
        <w:ind w:firstLine="270"/>
        <w:jc w:val="both"/>
        <w:rPr/>
      </w:pPr>
      <w:r>
        <w:rPr/>
        <w:t>6.141. Контактные префильтры следует применять при двухступенчатом фильтровании для предварительной очистки воды перед скорыми фильтрами (второй ступени).</w:t>
      </w:r>
    </w:p>
    <w:p>
      <w:pPr>
        <w:pStyle w:val="Normal"/>
        <w:ind w:firstLine="135"/>
        <w:jc w:val="both"/>
        <w:rPr/>
      </w:pPr>
      <w:r>
        <w:rPr/>
      </w:r>
    </w:p>
    <w:p>
      <w:pPr>
        <w:pStyle w:val="Normal"/>
        <w:ind w:firstLine="225"/>
        <w:jc w:val="both"/>
        <w:rPr/>
      </w:pPr>
      <w:r>
        <w:rPr/>
        <w:t>Конструкция контактных префильтров аналогична конструкции контактных осветлителей с поддерживающими слоями и водовоздушной промывкой; при их проектировании следует руководствоваться пп. 6.126-6.136. При этом площадь префильтров надлежит определять с учетом пропуска расхода воды на промывку скорых фильтров второй ступени.</w:t>
      </w:r>
    </w:p>
    <w:p>
      <w:pPr>
        <w:pStyle w:val="Normal"/>
        <w:ind w:firstLine="270"/>
        <w:jc w:val="both"/>
        <w:rPr/>
      </w:pPr>
      <w:r>
        <w:rPr/>
      </w:r>
    </w:p>
    <w:p>
      <w:pPr>
        <w:pStyle w:val="Normal"/>
        <w:ind w:firstLine="225"/>
        <w:jc w:val="both"/>
        <w:rPr/>
      </w:pPr>
      <w:r>
        <w:rPr/>
        <w:t>6.142. При отсутствии технологических изысканий основные параметры контактных префильтров следует принимать:</w:t>
      </w:r>
    </w:p>
    <w:p>
      <w:pPr>
        <w:pStyle w:val="Normal"/>
        <w:ind w:firstLine="225"/>
        <w:jc w:val="both"/>
        <w:rPr/>
      </w:pPr>
      <w:r>
        <w:rPr/>
      </w:r>
    </w:p>
    <w:p>
      <w:pPr>
        <w:pStyle w:val="Preformat"/>
        <w:rPr/>
      </w:pPr>
      <w:r>
        <w:rPr>
          <w:vanish/>
        </w:rPr>
        <w:t>#G1</w:t>
      </w:r>
      <w:r>
        <w:rPr/>
        <w:t xml:space="preserve">  высоту слоев песка,     </w:t>
      </w:r>
    </w:p>
    <w:p>
      <w:pPr>
        <w:pStyle w:val="Preformat"/>
        <w:rPr/>
      </w:pPr>
      <w:r>
        <w:rPr/>
        <w:t xml:space="preserve">при крупности зерен, мм: </w:t>
      </w:r>
    </w:p>
    <w:p>
      <w:pPr>
        <w:pStyle w:val="Normal"/>
        <w:jc w:val="both"/>
        <w:rPr>
          <w:rFonts w:ascii="Courier New" w:hAnsi="Courier New" w:eastAsia="Courier New" w:cs="Courier New"/>
        </w:rPr>
      </w:pPr>
      <w:r>
        <w:rPr>
          <w:rFonts w:eastAsia="Courier New" w:cs="Courier New" w:ascii="Courier New" w:hAnsi="Courier New"/>
        </w:rPr>
        <w:t xml:space="preserve">     </w:t>
      </w:r>
    </w:p>
    <w:p>
      <w:pPr>
        <w:pStyle w:val="Normal"/>
        <w:rPr>
          <w:rFonts w:ascii="Courier New" w:hAnsi="Courier New" w:cs="Courier New"/>
        </w:rPr>
      </w:pPr>
      <w:r>
        <w:rPr>
          <w:rFonts w:eastAsia="Courier New" w:cs="Courier New" w:ascii="Courier New" w:hAnsi="Courier New"/>
        </w:rPr>
        <w:t xml:space="preserve">      </w:t>
      </w:r>
      <w:r>
        <w:rPr>
          <w:rFonts w:cs="Courier New" w:ascii="Courier New" w:hAnsi="Courier New"/>
        </w:rPr>
        <w:t xml:space="preserve">5 - 2 </w:t>
        <w:tab/>
        <w:t xml:space="preserve">                                      </w:t>
        <w:tab/>
        <w:t xml:space="preserve">   0,5-0,6 м </w:t>
      </w:r>
    </w:p>
    <w:p>
      <w:pPr>
        <w:pStyle w:val="Normal"/>
        <w:jc w:val="both"/>
        <w:rPr>
          <w:rFonts w:ascii="Courier New" w:hAnsi="Courier New" w:eastAsia="Courier New" w:cs="Courier New"/>
        </w:rPr>
      </w:pPr>
      <w:r>
        <w:rPr>
          <w:rFonts w:eastAsia="Courier New" w:cs="Courier New" w:ascii="Courier New" w:hAnsi="Courier New"/>
        </w:rPr>
        <w:t xml:space="preserve">     </w:t>
      </w:r>
    </w:p>
    <w:p>
      <w:pPr>
        <w:pStyle w:val="Normal"/>
        <w:rPr>
          <w:rFonts w:ascii="Courier New" w:hAnsi="Courier New" w:cs="Courier New"/>
        </w:rPr>
      </w:pPr>
      <w:r>
        <w:rPr>
          <w:rFonts w:eastAsia="Courier New" w:cs="Courier New" w:ascii="Courier New" w:hAnsi="Courier New"/>
        </w:rPr>
        <w:t xml:space="preserve">      </w:t>
      </w:r>
      <w:r>
        <w:rPr>
          <w:rFonts w:cs="Courier New" w:ascii="Courier New" w:hAnsi="Courier New"/>
        </w:rPr>
        <w:t xml:space="preserve">2 - 1                                    </w:t>
        <w:tab/>
        <w:tab/>
        <w:t xml:space="preserve">     2-2,3 «</w:t>
      </w:r>
    </w:p>
    <w:p>
      <w:pPr>
        <w:pStyle w:val="Normal"/>
        <w:rPr>
          <w:rFonts w:ascii="Courier New" w:hAnsi="Courier New" w:cs="Courier New"/>
        </w:rPr>
      </w:pPr>
      <w:r>
        <w:rPr>
          <w:rFonts w:cs="Courier New" w:ascii="Courier New" w:hAnsi="Courier New"/>
        </w:rPr>
      </w:r>
    </w:p>
    <w:p>
      <w:pPr>
        <w:pStyle w:val="Normal"/>
        <w:rPr>
          <w:rFonts w:ascii="Courier New" w:hAnsi="Courier New" w:cs="Courier New"/>
        </w:rPr>
      </w:pPr>
      <w:r>
        <w:rPr>
          <w:rFonts w:eastAsia="Courier New" w:cs="Courier New" w:ascii="Courier New" w:hAnsi="Courier New"/>
        </w:rPr>
        <w:t xml:space="preserve">  </w:t>
      </w:r>
      <w:r>
        <w:rPr>
          <w:rFonts w:cs="Courier New" w:ascii="Courier New" w:hAnsi="Courier New"/>
        </w:rPr>
        <w:t xml:space="preserve">эквивалентный диаметр         </w:t>
        <w:tab/>
        <w:t xml:space="preserve">                  1,1-1,3 мм</w:t>
      </w:r>
    </w:p>
    <w:p>
      <w:pPr>
        <w:pStyle w:val="Normal"/>
        <w:rPr>
          <w:rFonts w:ascii="Courier New" w:hAnsi="Courier New" w:cs="Courier New"/>
        </w:rPr>
      </w:pPr>
      <w:r>
        <w:rPr>
          <w:rFonts w:cs="Courier New" w:ascii="Courier New" w:hAnsi="Courier New"/>
        </w:rPr>
        <w:t xml:space="preserve">зерен песка </w:t>
      </w:r>
    </w:p>
    <w:p>
      <w:pPr>
        <w:pStyle w:val="Normal"/>
        <w:jc w:val="both"/>
        <w:rPr>
          <w:rFonts w:ascii="Courier New" w:hAnsi="Courier New" w:eastAsia="Courier New" w:cs="Courier New"/>
        </w:rPr>
      </w:pPr>
      <w:r>
        <w:rPr>
          <w:rFonts w:eastAsia="Courier New" w:cs="Courier New" w:ascii="Courier New" w:hAnsi="Courier New"/>
        </w:rPr>
        <w:t xml:space="preserve">     </w:t>
      </w:r>
    </w:p>
    <w:p>
      <w:pPr>
        <w:pStyle w:val="Normal"/>
        <w:rPr>
          <w:rFonts w:ascii="Courier New" w:hAnsi="Courier New" w:cs="Courier New"/>
        </w:rPr>
      </w:pPr>
      <w:r>
        <w:rPr>
          <w:rFonts w:eastAsia="Courier New" w:cs="Courier New" w:ascii="Courier New" w:hAnsi="Courier New"/>
        </w:rPr>
        <w:t xml:space="preserve">  </w:t>
      </w:r>
      <w:r>
        <w:rPr>
          <w:rFonts w:cs="Courier New" w:ascii="Courier New" w:hAnsi="Courier New"/>
        </w:rPr>
        <w:t xml:space="preserve">скорость фильтрования при </w:t>
        <w:tab/>
        <w:t xml:space="preserve">                         5,5-6,5 м/ч     </w:t>
      </w:r>
    </w:p>
    <w:p>
      <w:pPr>
        <w:pStyle w:val="Normal"/>
        <w:rPr>
          <w:rFonts w:ascii="Courier New" w:hAnsi="Courier New" w:cs="Courier New"/>
        </w:rPr>
      </w:pPr>
      <w:r>
        <w:rPr>
          <w:rFonts w:cs="Courier New" w:ascii="Courier New" w:hAnsi="Courier New"/>
        </w:rPr>
        <w:t xml:space="preserve">нормальном режиме </w:t>
      </w:r>
    </w:p>
    <w:p>
      <w:pPr>
        <w:pStyle w:val="Normal"/>
        <w:jc w:val="both"/>
        <w:rPr>
          <w:rFonts w:ascii="Courier New" w:hAnsi="Courier New" w:eastAsia="Courier New" w:cs="Courier New"/>
        </w:rPr>
      </w:pPr>
      <w:r>
        <w:rPr>
          <w:rFonts w:eastAsia="Courier New" w:cs="Courier New" w:ascii="Courier New" w:hAnsi="Courier New"/>
        </w:rPr>
        <w:t xml:space="preserve">     </w:t>
      </w:r>
    </w:p>
    <w:p>
      <w:pPr>
        <w:pStyle w:val="Normal"/>
        <w:rPr>
          <w:rFonts w:ascii="Courier New" w:hAnsi="Courier New" w:cs="Courier New"/>
        </w:rPr>
      </w:pPr>
      <w:r>
        <w:rPr>
          <w:rFonts w:eastAsia="Courier New" w:cs="Courier New" w:ascii="Courier New" w:hAnsi="Courier New"/>
        </w:rPr>
        <w:t xml:space="preserve">  </w:t>
      </w:r>
      <w:r>
        <w:rPr>
          <w:rFonts w:cs="Courier New" w:ascii="Courier New" w:hAnsi="Courier New"/>
        </w:rPr>
        <w:t xml:space="preserve">скорость фильтрования       </w:t>
        <w:tab/>
        <w:t xml:space="preserve">                           6,5-7,5 «     </w:t>
      </w:r>
    </w:p>
    <w:p>
      <w:pPr>
        <w:pStyle w:val="Normal"/>
        <w:rPr>
          <w:rFonts w:ascii="Courier New" w:hAnsi="Courier New" w:cs="Courier New"/>
        </w:rPr>
      </w:pPr>
      <w:r>
        <w:rPr>
          <w:rFonts w:cs="Courier New" w:ascii="Courier New" w:hAnsi="Courier New"/>
        </w:rPr>
        <w:t>при форсированном режиме.</w:t>
      </w:r>
    </w:p>
    <w:p>
      <w:pPr>
        <w:pStyle w:val="Normal"/>
        <w:ind w:firstLine="225"/>
        <w:jc w:val="both"/>
        <w:rPr>
          <w:vanish/>
        </w:rPr>
      </w:pPr>
      <w:r>
        <w:rPr>
          <w:vanish/>
        </w:rPr>
        <w:t>#G0</w:t>
      </w:r>
    </w:p>
    <w:p>
      <w:pPr>
        <w:pStyle w:val="Normal"/>
        <w:ind w:firstLine="270"/>
        <w:jc w:val="both"/>
        <w:rPr/>
      </w:pPr>
      <w:r>
        <w:rPr/>
        <w:t>6.143. Следует предусматривать смешение фильтрата одновременно работающих контактных префильтров перед подачей его на скорые фильтры.</w:t>
      </w:r>
    </w:p>
    <w:p>
      <w:pPr>
        <w:pStyle w:val="Normal"/>
        <w:ind w:firstLine="225"/>
        <w:jc w:val="both"/>
        <w:rPr/>
      </w:pPr>
      <w:r>
        <w:rPr/>
      </w:r>
    </w:p>
    <w:p>
      <w:pPr>
        <w:pStyle w:val="Normal"/>
        <w:ind w:firstLine="270"/>
        <w:jc w:val="both"/>
        <w:rPr/>
      </w:pPr>
      <w:r>
        <w:rPr/>
      </w:r>
    </w:p>
    <w:p>
      <w:pPr>
        <w:pStyle w:val="Heading"/>
        <w:jc w:val="center"/>
        <w:rPr/>
      </w:pPr>
      <w:r>
        <w:rPr/>
        <w:t xml:space="preserve">ОБЕЗЗАРАЖИВАНИЕ ВОДЫ </w:t>
      </w:r>
    </w:p>
    <w:p>
      <w:pPr>
        <w:pStyle w:val="Normal"/>
        <w:jc w:val="both"/>
        <w:rPr/>
      </w:pPr>
      <w:r>
        <w:rPr/>
      </w:r>
    </w:p>
    <w:p>
      <w:pPr>
        <w:pStyle w:val="Normal"/>
        <w:ind w:firstLine="495"/>
        <w:jc w:val="both"/>
        <w:rPr/>
      </w:pPr>
      <w:r>
        <w:rPr/>
      </w:r>
    </w:p>
    <w:p>
      <w:pPr>
        <w:pStyle w:val="Normal"/>
        <w:ind w:firstLine="270"/>
        <w:jc w:val="both"/>
        <w:rPr/>
      </w:pPr>
      <w:r>
        <w:rPr/>
        <w:t>6.144. Выбор метода обеззараживания воды надлежит производить с учетом расхода и качества воды, эффективности ее очистки, условий поставки, транспорта, хранения реагентов, возможности автоматизации процессов и механизации трудоемких работ.</w:t>
      </w:r>
    </w:p>
    <w:p>
      <w:pPr>
        <w:pStyle w:val="Normal"/>
        <w:ind w:firstLine="225"/>
        <w:jc w:val="both"/>
        <w:rPr/>
      </w:pPr>
      <w:r>
        <w:rPr/>
      </w:r>
    </w:p>
    <w:p>
      <w:pPr>
        <w:pStyle w:val="Normal"/>
        <w:ind w:firstLine="270"/>
        <w:jc w:val="both"/>
        <w:rPr/>
      </w:pPr>
      <w:r>
        <w:rPr/>
        <w:t>6.145. Введение хлорсодержащих реагентов для обеззараживания воды следует предусматривать в трубопроводы перед резервуарами чистой воды.</w:t>
      </w:r>
    </w:p>
    <w:p>
      <w:pPr>
        <w:pStyle w:val="Normal"/>
        <w:ind w:firstLine="225"/>
        <w:jc w:val="both"/>
        <w:rPr/>
      </w:pPr>
      <w:r>
        <w:rPr/>
      </w:r>
    </w:p>
    <w:p>
      <w:pPr>
        <w:pStyle w:val="Normal"/>
        <w:ind w:firstLine="270"/>
        <w:jc w:val="both"/>
        <w:rPr/>
      </w:pPr>
      <w:r>
        <w:rPr/>
        <w:t>Необходимость обеззараживания подземных вод определяется органами санитарно-эпидемиологической службы.</w:t>
      </w:r>
    </w:p>
    <w:p>
      <w:pPr>
        <w:pStyle w:val="Normal"/>
        <w:ind w:firstLine="270"/>
        <w:jc w:val="both"/>
        <w:rPr/>
      </w:pPr>
      <w:r>
        <w:rPr/>
      </w:r>
    </w:p>
    <w:p>
      <w:pPr>
        <w:pStyle w:val="Normal"/>
        <w:ind w:firstLine="270"/>
        <w:jc w:val="both"/>
        <w:rPr/>
      </w:pPr>
      <w:r>
        <w:rPr/>
        <w:t>Примечание. При обосновании допускается предусматривать для ввода и контакта хлорсодержащих реагентов с водой специальные контактные резервуары.</w:t>
      </w:r>
    </w:p>
    <w:p>
      <w:pPr>
        <w:pStyle w:val="Normal"/>
        <w:ind w:firstLine="270"/>
        <w:jc w:val="both"/>
        <w:rPr/>
      </w:pPr>
      <w:r>
        <w:rPr/>
      </w:r>
    </w:p>
    <w:p>
      <w:pPr>
        <w:pStyle w:val="Normal"/>
        <w:ind w:firstLine="270"/>
        <w:jc w:val="both"/>
        <w:rPr/>
      </w:pPr>
      <w:r>
        <w:rPr/>
        <w:t>6.146. Дозу активного хлора для обеззараживания воды следует устанавливать на основании данных технологических изысканий. При их отсутствии для предварительных расчетов следует принимать для поверхностных вод после фильтрования 2-3 мг/л, для вод подземных источников 0,7-1 мг/л.</w:t>
      </w:r>
    </w:p>
    <w:p>
      <w:pPr>
        <w:pStyle w:val="Normal"/>
        <w:ind w:firstLine="225"/>
        <w:jc w:val="both"/>
        <w:rPr/>
      </w:pPr>
      <w:r>
        <w:rPr/>
      </w:r>
    </w:p>
    <w:p>
      <w:pPr>
        <w:pStyle w:val="Normal"/>
        <w:ind w:firstLine="270"/>
        <w:jc w:val="both"/>
        <w:rPr/>
      </w:pPr>
      <w:r>
        <w:rPr/>
        <w:t>Концентрации остаточного свободного и связанного хлора надлежит принимать в соответствии с ГОСТ 2874-82.</w:t>
      </w:r>
    </w:p>
    <w:p>
      <w:pPr>
        <w:pStyle w:val="Normal"/>
        <w:ind w:firstLine="270"/>
        <w:jc w:val="both"/>
        <w:rPr/>
      </w:pPr>
      <w:r>
        <w:rPr/>
      </w:r>
    </w:p>
    <w:p>
      <w:pPr>
        <w:pStyle w:val="Normal"/>
        <w:ind w:firstLine="270"/>
        <w:jc w:val="both"/>
        <w:rPr/>
      </w:pPr>
      <w:r>
        <w:rPr/>
        <w:t>Примечание. При хранении в резервуарах воды на хозяйственно-питьевые нужды на время выключения одного из них на промывку и ремонт в случаях, когда не обеспечивается время контакта воды с хлором, следует предусматривать подачу дозы хлора в два раза больше, чем при нормальной эксплуатации. При этом увеличение подачи хлора допускается предусматривать за счет включения резервных хлораторов.</w:t>
      </w:r>
    </w:p>
    <w:p>
      <w:pPr>
        <w:pStyle w:val="Normal"/>
        <w:ind w:firstLine="270"/>
        <w:jc w:val="both"/>
        <w:rPr/>
      </w:pPr>
      <w:r>
        <w:rPr/>
      </w:r>
    </w:p>
    <w:p>
      <w:pPr>
        <w:pStyle w:val="Normal"/>
        <w:ind w:firstLine="270"/>
        <w:jc w:val="both"/>
        <w:rPr/>
      </w:pPr>
      <w:r>
        <w:rPr/>
        <w:t>6.147. Хлорное хозяйство должно обеспечить прием, хранение, испарение жидкого хлора, дозирование газообразного хлора с получением хлорной воды.</w:t>
      </w:r>
    </w:p>
    <w:p>
      <w:pPr>
        <w:pStyle w:val="Normal"/>
        <w:ind w:firstLine="225"/>
        <w:jc w:val="both"/>
        <w:rPr/>
      </w:pPr>
      <w:r>
        <w:rPr/>
      </w:r>
    </w:p>
    <w:p>
      <w:pPr>
        <w:pStyle w:val="Normal"/>
        <w:ind w:firstLine="270"/>
        <w:jc w:val="both"/>
        <w:rPr/>
      </w:pPr>
      <w:r>
        <w:rPr/>
        <w:t>Подача хлорной воды должна производиться раздельно на каждое место ввода.</w:t>
      </w:r>
    </w:p>
    <w:p>
      <w:pPr>
        <w:pStyle w:val="Normal"/>
        <w:ind w:firstLine="225"/>
        <w:jc w:val="both"/>
        <w:rPr/>
      </w:pPr>
      <w:r>
        <w:rPr/>
      </w:r>
    </w:p>
    <w:p>
      <w:pPr>
        <w:pStyle w:val="Normal"/>
        <w:ind w:firstLine="270"/>
        <w:jc w:val="both"/>
        <w:rPr/>
      </w:pPr>
      <w:r>
        <w:rPr/>
        <w:t>Хлорное хозяйство следует располагать в отдельно стоящих хлораторных, в которых сблокированы расходный склад хлора, испарительная и хлордозаторная. Расходный склад хлора допускается располагать в отдельных зданиях или примыкать к хлордозаторной и вспомогательным помещениям хлорного хозяйства (компрессорной, венткамерам и т.п.); при этом следует отделять его от других помещений глухой стеной без проемов.</w:t>
      </w:r>
    </w:p>
    <w:p>
      <w:pPr>
        <w:pStyle w:val="Normal"/>
        <w:ind w:firstLine="225"/>
        <w:jc w:val="both"/>
        <w:rPr/>
      </w:pPr>
      <w:r>
        <w:rPr/>
      </w:r>
    </w:p>
    <w:p>
      <w:pPr>
        <w:pStyle w:val="Normal"/>
        <w:ind w:firstLine="270"/>
        <w:jc w:val="both"/>
        <w:rPr/>
      </w:pPr>
      <w:r>
        <w:rPr/>
        <w:t>6.148. Расходные склады хлора следует проектировать согласно пп. 6.211 и 6.212. При обосновании в составе хлораторных склад хлора может не предусматриваться; в этом случае в хлордозаторной допускается установка 1 баллона жидкого хлора массой нетто не более 70 кг.</w:t>
      </w:r>
    </w:p>
    <w:p>
      <w:pPr>
        <w:pStyle w:val="Normal"/>
        <w:ind w:firstLine="225"/>
        <w:jc w:val="both"/>
        <w:rPr/>
      </w:pPr>
      <w:r>
        <w:rPr/>
      </w:r>
    </w:p>
    <w:p>
      <w:pPr>
        <w:pStyle w:val="Normal"/>
        <w:ind w:firstLine="270"/>
        <w:jc w:val="both"/>
        <w:rPr/>
      </w:pPr>
      <w:r>
        <w:rPr/>
        <w:t>6.149. Испарители хлора следует размещать в складе хлора или хлордозаторной. Испарение хлора необходимо производить в специальных испарителях или баллонах (при поставке в них хлора).</w:t>
      </w:r>
    </w:p>
    <w:p>
      <w:pPr>
        <w:pStyle w:val="Normal"/>
        <w:ind w:firstLine="270"/>
        <w:jc w:val="both"/>
        <w:rPr/>
      </w:pPr>
      <w:r>
        <w:rPr/>
      </w:r>
    </w:p>
    <w:p>
      <w:pPr>
        <w:pStyle w:val="Normal"/>
        <w:ind w:firstLine="225"/>
        <w:jc w:val="both"/>
        <w:rPr/>
      </w:pPr>
      <w:r>
        <w:rPr/>
        <w:t>Температура воды, подаваемой в испаритель, должна быть в пределах 10-30 град.С, при этом снижение температуры воды в испарителе должно быть не более 5 град.</w:t>
      </w:r>
    </w:p>
    <w:p>
      <w:pPr>
        <w:pStyle w:val="Normal"/>
        <w:ind w:firstLine="225"/>
        <w:jc w:val="both"/>
        <w:rPr/>
      </w:pPr>
      <w:r>
        <w:rPr/>
      </w:r>
    </w:p>
    <w:p>
      <w:pPr>
        <w:pStyle w:val="Normal"/>
        <w:ind w:firstLine="270"/>
        <w:jc w:val="both"/>
        <w:rPr/>
      </w:pPr>
      <w:r>
        <w:rPr/>
        <w:t>Испаритель должен быть оборудован устройствами для контроля температуры воды и давления хлора и воды. При подаче газообразного хлора за пределы здания хлораторной после испарителя необходимо предусматривать устройства для очистки газа, а также клапан, поддерживающий после себя вакуум, при котором не происходит конденсации хлора при наименьшей температуре наружного воздуха.</w:t>
      </w:r>
    </w:p>
    <w:p>
      <w:pPr>
        <w:pStyle w:val="Normal"/>
        <w:ind w:firstLine="225"/>
        <w:jc w:val="both"/>
        <w:rPr/>
      </w:pPr>
      <w:r>
        <w:rPr/>
      </w:r>
    </w:p>
    <w:p>
      <w:pPr>
        <w:pStyle w:val="Normal"/>
        <w:ind w:firstLine="270"/>
        <w:jc w:val="both"/>
        <w:rPr/>
      </w:pPr>
      <w:r>
        <w:rPr/>
        <w:t>Протяженность трубопровода газообразного хлора не должна превышать 1 км.</w:t>
      </w:r>
    </w:p>
    <w:p>
      <w:pPr>
        <w:pStyle w:val="Normal"/>
        <w:ind w:firstLine="225"/>
        <w:jc w:val="both"/>
        <w:rPr/>
      </w:pPr>
      <w:r>
        <w:rPr/>
      </w:r>
    </w:p>
    <w:p>
      <w:pPr>
        <w:pStyle w:val="Normal"/>
        <w:ind w:firstLine="270"/>
        <w:jc w:val="both"/>
        <w:rPr/>
      </w:pPr>
      <w:r>
        <w:rPr/>
        <w:t>6.150. Хлордозаторные без испарителей, располагаемые в блоке с другими зданиями водопровода или вспомогательными помещениями хлорного хозяйства, должны быть отделены от других помещений глухой стеной без проемов и снабжены двумя выходами наружу, при этом один из них через тамбур. Все двери должны открываться наружу. Пол хлордозаторной, располагаемой над другими помещениями, должен быть газонепроницаемым. Хлордозаторные размещать в заглубленных помещениях не допускается.</w:t>
      </w:r>
    </w:p>
    <w:p>
      <w:pPr>
        <w:pStyle w:val="Normal"/>
        <w:ind w:firstLine="180"/>
        <w:jc w:val="both"/>
        <w:rPr/>
      </w:pPr>
      <w:r>
        <w:rPr/>
      </w:r>
    </w:p>
    <w:p>
      <w:pPr>
        <w:pStyle w:val="Normal"/>
        <w:ind w:firstLine="315"/>
        <w:jc w:val="both"/>
        <w:rPr/>
      </w:pPr>
      <w:r>
        <w:rPr/>
        <w:t>6.151. Для дозирования хлора должны применяться автоматические вакуумные хлораторы.</w:t>
      </w:r>
    </w:p>
    <w:p>
      <w:pPr>
        <w:pStyle w:val="Normal"/>
        <w:ind w:firstLine="180"/>
        <w:jc w:val="both"/>
        <w:rPr/>
      </w:pPr>
      <w:r>
        <w:rPr/>
      </w:r>
    </w:p>
    <w:p>
      <w:pPr>
        <w:pStyle w:val="Normal"/>
        <w:ind w:firstLine="315"/>
        <w:jc w:val="both"/>
        <w:rPr/>
      </w:pPr>
      <w:r>
        <w:rPr/>
        <w:t>Расчетные расходы и напоры воды, подаваемой на хлоратор, и напор хлорной воды после него следует определять по характеристикам хлоратора, а также по расположению его относительно точки ввода хлора.</w:t>
      </w:r>
    </w:p>
    <w:p>
      <w:pPr>
        <w:pStyle w:val="Normal"/>
        <w:ind w:firstLine="225"/>
        <w:jc w:val="both"/>
        <w:rPr/>
      </w:pPr>
      <w:r>
        <w:rPr/>
      </w:r>
    </w:p>
    <w:p>
      <w:pPr>
        <w:pStyle w:val="Normal"/>
        <w:ind w:firstLine="270"/>
        <w:jc w:val="both"/>
        <w:rPr/>
      </w:pPr>
      <w:r>
        <w:rPr/>
        <w:t>Допускается применение хлораторов ручного регулирования, при этом расход хлора контролируется весовым способом.</w:t>
      </w:r>
    </w:p>
    <w:p>
      <w:pPr>
        <w:pStyle w:val="Normal"/>
        <w:ind w:firstLine="225"/>
        <w:jc w:val="both"/>
        <w:rPr/>
      </w:pPr>
      <w:r>
        <w:rPr/>
      </w:r>
    </w:p>
    <w:p>
      <w:pPr>
        <w:pStyle w:val="Normal"/>
        <w:ind w:firstLine="270"/>
        <w:jc w:val="both"/>
        <w:rPr/>
      </w:pPr>
      <w:r>
        <w:rPr/>
        <w:t>6.152. Количество резервных хлораторов на одну точку ввода надлежит принимать: при  1 - 2 рабочих хлораторах - 1, при более двух - 2.</w:t>
      </w:r>
    </w:p>
    <w:p>
      <w:pPr>
        <w:pStyle w:val="Normal"/>
        <w:ind w:firstLine="225"/>
        <w:jc w:val="both"/>
        <w:rPr/>
      </w:pPr>
      <w:r>
        <w:rPr/>
      </w:r>
    </w:p>
    <w:p>
      <w:pPr>
        <w:pStyle w:val="Normal"/>
        <w:ind w:firstLine="270"/>
        <w:jc w:val="both"/>
        <w:rPr/>
      </w:pPr>
      <w:r>
        <w:rPr/>
        <w:t>Допускается предусматривать общие резервные хлораторы на две точки ввода хлора.</w:t>
      </w:r>
    </w:p>
    <w:p>
      <w:pPr>
        <w:pStyle w:val="Normal"/>
        <w:ind w:firstLine="270"/>
        <w:jc w:val="both"/>
        <w:rPr/>
      </w:pPr>
      <w:r>
        <w:rPr/>
      </w:r>
    </w:p>
    <w:p>
      <w:pPr>
        <w:pStyle w:val="Normal"/>
        <w:ind w:firstLine="225"/>
        <w:jc w:val="both"/>
        <w:rPr/>
      </w:pPr>
      <w:r>
        <w:rPr/>
        <w:t>Работа двух и более хлораторов со струйными эжекторами на один трубопровод хлорной воды не допускается.</w:t>
      </w:r>
    </w:p>
    <w:p>
      <w:pPr>
        <w:pStyle w:val="Normal"/>
        <w:ind w:firstLine="225"/>
        <w:jc w:val="both"/>
        <w:rPr/>
      </w:pPr>
      <w:r>
        <w:rPr/>
      </w:r>
    </w:p>
    <w:p>
      <w:pPr>
        <w:pStyle w:val="Normal"/>
        <w:ind w:firstLine="225"/>
        <w:jc w:val="both"/>
        <w:rPr/>
      </w:pPr>
      <w:r>
        <w:rPr/>
        <w:t>6.153. Хлоропроводы для транспортирования жидкого и газообразного хлора следует выполнять из бесшовных стальных труб.</w:t>
      </w:r>
    </w:p>
    <w:p>
      <w:pPr>
        <w:pStyle w:val="Normal"/>
        <w:ind w:firstLine="225"/>
        <w:jc w:val="both"/>
        <w:rPr/>
      </w:pPr>
      <w:r>
        <w:rPr/>
      </w:r>
    </w:p>
    <w:p>
      <w:pPr>
        <w:pStyle w:val="Normal"/>
        <w:ind w:firstLine="225"/>
        <w:jc w:val="both"/>
        <w:rPr/>
      </w:pPr>
      <w:r>
        <w:rPr/>
        <w:t>Количество хлоропроводов следует принимать не менее двух, из них один резервный.</w:t>
      </w:r>
    </w:p>
    <w:p>
      <w:pPr>
        <w:pStyle w:val="Normal"/>
        <w:ind w:firstLine="225"/>
        <w:jc w:val="both"/>
        <w:rPr/>
      </w:pPr>
      <w:r>
        <w:rPr/>
      </w:r>
    </w:p>
    <w:p>
      <w:pPr>
        <w:pStyle w:val="Normal"/>
        <w:ind w:firstLine="270"/>
        <w:jc w:val="both"/>
        <w:rPr/>
      </w:pPr>
      <w:r>
        <w:rPr/>
        <w:t>Хлоропроводы и арматуру на них надлежит предусматривать на рабочее давление 1,6 МПа (16 кгс/кв.см) и пробное давление 2,3 МПа (23 кгс/кв.см).</w:t>
      </w:r>
    </w:p>
    <w:p>
      <w:pPr>
        <w:pStyle w:val="Normal"/>
        <w:ind w:firstLine="225"/>
        <w:jc w:val="both"/>
        <w:rPr/>
      </w:pPr>
      <w:r>
        <w:rPr/>
      </w:r>
    </w:p>
    <w:p>
      <w:pPr>
        <w:pStyle w:val="Normal"/>
        <w:ind w:firstLine="270"/>
        <w:jc w:val="both"/>
        <w:rPr/>
      </w:pPr>
      <w:r>
        <w:rPr/>
        <w:t>Прокладку хлоропроводов внутри помещений следует предусматривать на кронштейнах, укрепленных на стенах и колоннах; вне зданий - на эстакадах с защитой от воздействия солнечных лучей. Хлоропроводы следует окрашивать перхлорвиниловыми эмалями. Соединения труб надлежит принимать на сварке или муфтах с проваркой их концов или на фланцах с уплотнительной поверхностью типа "выступ-впадина" с применением хлорустойчивых прокладок (паронит) и болтов из нержавеющей стали.</w:t>
      </w:r>
    </w:p>
    <w:p>
      <w:pPr>
        <w:pStyle w:val="Normal"/>
        <w:ind w:firstLine="270"/>
        <w:jc w:val="both"/>
        <w:rPr/>
      </w:pPr>
      <w:r>
        <w:rPr/>
      </w:r>
    </w:p>
    <w:p>
      <w:pPr>
        <w:pStyle w:val="Normal"/>
        <w:ind w:firstLine="225"/>
        <w:jc w:val="both"/>
        <w:rPr/>
      </w:pPr>
      <w:r>
        <w:rPr/>
        <w:t>Трубопроводы жидкого хлора должны иметь уклон 0,01 в сторону сосуда с хлором, при этом на хлоропроводе не должно быть мест, в которых возможно образование гидравлического затвора или газовой пробки.</w:t>
      </w:r>
    </w:p>
    <w:p>
      <w:pPr>
        <w:pStyle w:val="Normal"/>
        <w:ind w:firstLine="225"/>
        <w:jc w:val="both"/>
        <w:rPr/>
      </w:pPr>
      <w:r>
        <w:rPr/>
      </w:r>
    </w:p>
    <w:p>
      <w:pPr>
        <w:pStyle w:val="Normal"/>
        <w:ind w:firstLine="270"/>
        <w:jc w:val="both"/>
        <w:rPr/>
      </w:pPr>
      <w:r>
        <w:rPr/>
        <w:t>Диаметр хлоропроводов следует принимать при расчетном расходе хлора с коэффициентом 3 с учетом объемной массы жидкого хлора 1,4 т/куб.м, газообразного - 0,0032 т/куб.м скорости в трубопроводах 0,8 м/с для жидкого хлора, 2,5-3,5 м/с для газообразного. При этом диаметр хлоропровода должен быть не более 80 мм.</w:t>
      </w:r>
    </w:p>
    <w:p>
      <w:pPr>
        <w:pStyle w:val="Normal"/>
        <w:ind w:firstLine="270"/>
        <w:jc w:val="both"/>
        <w:rPr/>
      </w:pPr>
      <w:r>
        <w:rPr/>
      </w:r>
    </w:p>
    <w:p>
      <w:pPr>
        <w:pStyle w:val="Normal"/>
        <w:ind w:firstLine="225"/>
        <w:jc w:val="both"/>
        <w:rPr/>
      </w:pPr>
      <w:r>
        <w:rPr/>
        <w:t>Необходимо предусматривать устройство для удаления из системы газообразного хлора при переключении контейнера или баллона, а также для периодического удаления из трубопроводов и испарителей треххлористого азота, при этом рекомендуется использовать сухой сжатый азот, воздух и др.</w:t>
      </w:r>
    </w:p>
    <w:p>
      <w:pPr>
        <w:pStyle w:val="Normal"/>
        <w:ind w:firstLine="225"/>
        <w:jc w:val="both"/>
        <w:rPr/>
      </w:pPr>
      <w:r>
        <w:rPr/>
      </w:r>
    </w:p>
    <w:p>
      <w:pPr>
        <w:pStyle w:val="Normal"/>
        <w:ind w:firstLine="270"/>
        <w:jc w:val="both"/>
        <w:rPr/>
      </w:pPr>
      <w:r>
        <w:rPr/>
        <w:t>Продукты продувки должны обезвреживаться путем пропуска их через слой нейтрализационного раствора.</w:t>
      </w:r>
    </w:p>
    <w:p>
      <w:pPr>
        <w:pStyle w:val="Normal"/>
        <w:ind w:firstLine="225"/>
        <w:jc w:val="both"/>
        <w:rPr/>
      </w:pPr>
      <w:r>
        <w:rPr/>
      </w:r>
    </w:p>
    <w:p>
      <w:pPr>
        <w:pStyle w:val="Normal"/>
        <w:ind w:firstLine="270"/>
        <w:jc w:val="both"/>
        <w:rPr/>
      </w:pPr>
      <w:r>
        <w:rPr/>
        <w:t>6.154. Трубопроводы для хлорной воды следует предусматривать из материалов, обладающих коррозионной стойкостью к ней: резины, полиэтилена высокой плотности, поливинилхлорида и др. Внутри помещений трубопроводы хлорной воды надлежит располагать в каналах, устраиваемых в полу, или на кронштейнах и сплошных опорах.</w:t>
      </w:r>
    </w:p>
    <w:p>
      <w:pPr>
        <w:pStyle w:val="Normal"/>
        <w:ind w:firstLine="180"/>
        <w:jc w:val="both"/>
        <w:rPr/>
      </w:pPr>
      <w:r>
        <w:rPr/>
      </w:r>
    </w:p>
    <w:p>
      <w:pPr>
        <w:pStyle w:val="Normal"/>
        <w:ind w:firstLine="315"/>
        <w:jc w:val="both"/>
        <w:rPr/>
      </w:pPr>
      <w:r>
        <w:rPr/>
        <w:t>Вне помещений надлежит предусматривать подземную укладку трубопроводов хлорной воды в каналах или футлярах из труб, обладающих коррозионной стойкостью.</w:t>
      </w:r>
    </w:p>
    <w:p>
      <w:pPr>
        <w:pStyle w:val="Normal"/>
        <w:ind w:firstLine="225"/>
        <w:jc w:val="both"/>
        <w:rPr/>
      </w:pPr>
      <w:r>
        <w:rPr/>
      </w:r>
    </w:p>
    <w:p>
      <w:pPr>
        <w:pStyle w:val="Normal"/>
        <w:ind w:firstLine="270"/>
        <w:jc w:val="both"/>
        <w:rPr/>
      </w:pPr>
      <w:r>
        <w:rPr/>
        <w:t>В каналах и футлярах не допускается располагать трубопроводы другого назначения, кроме теплового сопровождения.</w:t>
      </w:r>
    </w:p>
    <w:p>
      <w:pPr>
        <w:pStyle w:val="Normal"/>
        <w:ind w:firstLine="270"/>
        <w:jc w:val="both"/>
        <w:rPr/>
      </w:pPr>
      <w:r>
        <w:rPr/>
      </w:r>
    </w:p>
    <w:p>
      <w:pPr>
        <w:pStyle w:val="Normal"/>
        <w:ind w:firstLine="225"/>
        <w:jc w:val="both"/>
        <w:rPr/>
      </w:pPr>
      <w:r>
        <w:rPr/>
        <w:t>Необходимо предусматривать температурную компенсацию труб, а также возможность замены труб в футлярах и каналах.</w:t>
      </w:r>
    </w:p>
    <w:p>
      <w:pPr>
        <w:pStyle w:val="Normal"/>
        <w:ind w:firstLine="225"/>
        <w:jc w:val="both"/>
        <w:rPr/>
      </w:pPr>
      <w:r>
        <w:rPr/>
      </w:r>
    </w:p>
    <w:p>
      <w:pPr>
        <w:pStyle w:val="Normal"/>
        <w:ind w:firstLine="270"/>
        <w:jc w:val="both"/>
        <w:rPr/>
      </w:pPr>
      <w:r>
        <w:rPr/>
        <w:t>На наружных трубопроводах хлорной воды следует предусматривать колодцы, в которых прерываются футляры, для наблюдения за возможной утечкой хлорной воды, при этом дно колодцев должно покрываться химически стойкими эмалями. Расстояние между колодцами должно быть не более 30 м.</w:t>
      </w:r>
    </w:p>
    <w:p>
      <w:pPr>
        <w:pStyle w:val="Normal"/>
        <w:ind w:firstLine="225"/>
        <w:jc w:val="both"/>
        <w:rPr/>
      </w:pPr>
      <w:r>
        <w:rPr/>
      </w:r>
    </w:p>
    <w:p>
      <w:pPr>
        <w:pStyle w:val="Normal"/>
        <w:ind w:firstLine="270"/>
        <w:jc w:val="both"/>
        <w:rPr/>
      </w:pPr>
      <w:r>
        <w:rPr/>
        <w:t>Глубина заложения низа футляра без теплового сопровождения должна быть не менее глубины промерзания грунта.</w:t>
      </w:r>
    </w:p>
    <w:p>
      <w:pPr>
        <w:pStyle w:val="Normal"/>
        <w:ind w:firstLine="225"/>
        <w:jc w:val="both"/>
        <w:rPr/>
      </w:pPr>
      <w:r>
        <w:rPr/>
      </w:r>
    </w:p>
    <w:p>
      <w:pPr>
        <w:pStyle w:val="Normal"/>
        <w:ind w:firstLine="270"/>
        <w:jc w:val="both"/>
        <w:rPr/>
      </w:pPr>
      <w:r>
        <w:rPr/>
        <w:t>6.155. Воздух, выбрасываемый в атмосферу постоянно действующими вентиляционными системами складов хлора и хлордозаторных, должен удаляться через трубу, высота которой определяется согласно п. 14.38.</w:t>
      </w:r>
    </w:p>
    <w:p>
      <w:pPr>
        <w:pStyle w:val="Normal"/>
        <w:ind w:firstLine="225"/>
        <w:jc w:val="both"/>
        <w:rPr/>
      </w:pPr>
      <w:r>
        <w:rPr/>
      </w:r>
    </w:p>
    <w:p>
      <w:pPr>
        <w:pStyle w:val="Normal"/>
        <w:ind w:firstLine="270"/>
        <w:jc w:val="both"/>
        <w:rPr/>
      </w:pPr>
      <w:r>
        <w:rPr/>
        <w:t>При необходимости, определяемой расчетом, следует предусматривать очистку выбрасываемого вентиляторами воздуха.</w:t>
      </w:r>
    </w:p>
    <w:p>
      <w:pPr>
        <w:pStyle w:val="Normal"/>
        <w:ind w:firstLine="225"/>
        <w:jc w:val="both"/>
        <w:rPr/>
      </w:pPr>
      <w:r>
        <w:rPr/>
      </w:r>
    </w:p>
    <w:p>
      <w:pPr>
        <w:pStyle w:val="Normal"/>
        <w:ind w:firstLine="270"/>
        <w:jc w:val="both"/>
        <w:rPr/>
      </w:pPr>
      <w:r>
        <w:rPr/>
        <w:t>При хранении на складе контейнеров для хлора очистка воздуха при аварии обязательна, при этом концентрацию хлора в воздухе, выбрасываемом вентиляторами при аварии, следует определять по площади растекания хлора из одного контейнера и интенсивности испарения с поверхности пола 5-6 кг/(ч х  кв.м).</w:t>
      </w:r>
    </w:p>
    <w:p>
      <w:pPr>
        <w:pStyle w:val="Normal"/>
        <w:ind w:firstLine="270"/>
        <w:jc w:val="both"/>
        <w:rPr/>
      </w:pPr>
      <w:r>
        <w:rPr/>
      </w:r>
    </w:p>
    <w:p>
      <w:pPr>
        <w:pStyle w:val="Normal"/>
        <w:ind w:firstLine="225"/>
        <w:jc w:val="both"/>
        <w:rPr/>
      </w:pPr>
      <w:r>
        <w:rPr/>
        <w:t>6.156. Для очистки воздуха следует применять орошаемые скрубберы высотой не менее 3 м, скорость движения воздуха следует принимать не более 1,2 м/с, интенсивность орошения не менее 20 куб.м/(ч х кв.м). Насадка скрубберов должна быть из материалов, стойких к воздействию хлорной воды.</w:t>
      </w:r>
    </w:p>
    <w:p>
      <w:pPr>
        <w:pStyle w:val="Normal"/>
        <w:ind w:firstLine="225"/>
        <w:jc w:val="both"/>
        <w:rPr/>
      </w:pPr>
      <w:r>
        <w:rPr/>
      </w:r>
    </w:p>
    <w:p>
      <w:pPr>
        <w:pStyle w:val="Normal"/>
        <w:ind w:firstLine="270"/>
        <w:jc w:val="both"/>
        <w:rPr/>
      </w:pPr>
      <w:r>
        <w:rPr/>
        <w:t>Орошение скрубберов следует предусматривать нейтрализационным раствором (водный раствор - 3 % соды и 2 % гипосульфита натрия).</w:t>
      </w:r>
    </w:p>
    <w:p>
      <w:pPr>
        <w:pStyle w:val="Normal"/>
        <w:ind w:firstLine="225"/>
        <w:jc w:val="both"/>
        <w:rPr/>
      </w:pPr>
      <w:r>
        <w:rPr/>
      </w:r>
    </w:p>
    <w:p>
      <w:pPr>
        <w:pStyle w:val="Normal"/>
        <w:ind w:firstLine="270"/>
        <w:jc w:val="both"/>
        <w:rPr/>
      </w:pPr>
      <w:r>
        <w:rPr/>
        <w:t>6.157. Электролитическое приготовление гипохлорита натрия следует предусматривать из раствора поваренной соли или естественных минерализованных вод с содержанием хлоридов не менее 50 г/л на станциях водоподготовки с расходом хлора до 50 кг/сут.</w:t>
      </w:r>
    </w:p>
    <w:p>
      <w:pPr>
        <w:pStyle w:val="Normal"/>
        <w:ind w:firstLine="225"/>
        <w:jc w:val="both"/>
        <w:rPr/>
      </w:pPr>
      <w:r>
        <w:rPr/>
      </w:r>
    </w:p>
    <w:p>
      <w:pPr>
        <w:pStyle w:val="Normal"/>
        <w:ind w:firstLine="270"/>
        <w:jc w:val="both"/>
        <w:rPr/>
      </w:pPr>
      <w:r>
        <w:rPr/>
        <w:t>6.158. Хранение соли следует принимать согласно пп. 6.203 и 6.213.</w:t>
      </w:r>
    </w:p>
    <w:p>
      <w:pPr>
        <w:pStyle w:val="Normal"/>
        <w:ind w:firstLine="225"/>
        <w:jc w:val="both"/>
        <w:rPr/>
      </w:pPr>
      <w:r>
        <w:rPr/>
      </w:r>
    </w:p>
    <w:p>
      <w:pPr>
        <w:pStyle w:val="Normal"/>
        <w:ind w:firstLine="270"/>
        <w:jc w:val="both"/>
        <w:rPr/>
      </w:pPr>
      <w:r>
        <w:rPr/>
        <w:t>Количество растворных баков для получения насыщенного раствора поваренной соли следует принимать не менее двух, при этом общая вместимость баков должна обеспечивать запас раствора соли не менее чем на 24 ч работы одного электролизера.</w:t>
      </w:r>
    </w:p>
    <w:p>
      <w:pPr>
        <w:pStyle w:val="Normal"/>
        <w:ind w:firstLine="270"/>
        <w:jc w:val="both"/>
        <w:rPr/>
      </w:pPr>
      <w:r>
        <w:rPr/>
      </w:r>
    </w:p>
    <w:p>
      <w:pPr>
        <w:pStyle w:val="Normal"/>
        <w:ind w:firstLine="225"/>
        <w:jc w:val="both"/>
        <w:rPr/>
      </w:pPr>
      <w:r>
        <w:rPr/>
        <w:t>6.159. Электролизеры должны располагаться в сухом отапливаемом помещении. Допускается их установка в одном помещении с другим оборудованием электролизных. Количество электролизеров не должно быть более трех, из которых один - резервный.</w:t>
      </w:r>
    </w:p>
    <w:p>
      <w:pPr>
        <w:pStyle w:val="Normal"/>
        <w:ind w:firstLine="225"/>
        <w:jc w:val="both"/>
        <w:rPr/>
      </w:pPr>
      <w:r>
        <w:rPr/>
      </w:r>
    </w:p>
    <w:p>
      <w:pPr>
        <w:pStyle w:val="Normal"/>
        <w:ind w:firstLine="270"/>
        <w:jc w:val="both"/>
        <w:rPr/>
      </w:pPr>
      <w:r>
        <w:rPr/>
        <w:t>Электролизеры следует располагать с учетом самотечного отвода гипохлорита в бак-накопитель.</w:t>
      </w:r>
    </w:p>
    <w:p>
      <w:pPr>
        <w:pStyle w:val="Normal"/>
        <w:ind w:firstLine="225"/>
        <w:jc w:val="both"/>
        <w:rPr/>
      </w:pPr>
      <w:r>
        <w:rPr/>
      </w:r>
    </w:p>
    <w:p>
      <w:pPr>
        <w:pStyle w:val="Normal"/>
        <w:ind w:firstLine="270"/>
        <w:jc w:val="both"/>
        <w:rPr/>
      </w:pPr>
      <w:r>
        <w:rPr/>
        <w:t>6.160. Вместимость бака-накопителя гипохлорита должна обеспечивать непрерывную работу одного электролизера не менее 12 ч. Бак-накопитель должен размещаться в вентилируемом помещении. Должны обеспечиваться подвод воды и отвод сточных вод при его промывке и опорожнении.</w:t>
      </w:r>
    </w:p>
    <w:p>
      <w:pPr>
        <w:pStyle w:val="Normal"/>
        <w:ind w:firstLine="225"/>
        <w:jc w:val="both"/>
        <w:rPr/>
      </w:pPr>
      <w:r>
        <w:rPr/>
      </w:r>
    </w:p>
    <w:p>
      <w:pPr>
        <w:pStyle w:val="Normal"/>
        <w:ind w:firstLine="270"/>
        <w:jc w:val="both"/>
        <w:rPr/>
      </w:pPr>
      <w:r>
        <w:rPr/>
        <w:t>6.161. Для приготовления раствора порошкообразного гипохлорита кальция необходимо предусматривать расходные баки (не менее двух) общей вместимостью, определяемой исходя из концентрации раствора 1 % и двух заготовок в сутки.</w:t>
      </w:r>
    </w:p>
    <w:p>
      <w:pPr>
        <w:pStyle w:val="Normal"/>
        <w:ind w:firstLine="225"/>
        <w:jc w:val="both"/>
        <w:rPr/>
      </w:pPr>
      <w:r>
        <w:rPr/>
      </w:r>
    </w:p>
    <w:p>
      <w:pPr>
        <w:pStyle w:val="Normal"/>
        <w:ind w:firstLine="270"/>
        <w:jc w:val="both"/>
        <w:rPr/>
      </w:pPr>
      <w:r>
        <w:rPr/>
        <w:t xml:space="preserve">Баки должны оборудоваться мешалками. </w:t>
      </w:r>
    </w:p>
    <w:p>
      <w:pPr>
        <w:pStyle w:val="Normal"/>
        <w:ind w:firstLine="225"/>
        <w:jc w:val="both"/>
        <w:rPr/>
      </w:pPr>
      <w:r>
        <w:rPr/>
      </w:r>
    </w:p>
    <w:p>
      <w:pPr>
        <w:pStyle w:val="Normal"/>
        <w:ind w:firstLine="270"/>
        <w:jc w:val="both"/>
        <w:rPr/>
      </w:pPr>
      <w:r>
        <w:rPr/>
        <w:t>Для дозирования гипохлорита следует применять отстоенный раствор.</w:t>
      </w:r>
    </w:p>
    <w:p>
      <w:pPr>
        <w:pStyle w:val="Normal"/>
        <w:ind w:firstLine="270"/>
        <w:jc w:val="both"/>
        <w:rPr/>
      </w:pPr>
      <w:r>
        <w:rPr/>
      </w:r>
    </w:p>
    <w:p>
      <w:pPr>
        <w:pStyle w:val="Normal"/>
        <w:ind w:firstLine="225"/>
        <w:jc w:val="both"/>
        <w:rPr/>
      </w:pPr>
      <w:r>
        <w:rPr/>
        <w:t>Надлежит предусматривать периодическое удаление осадка из баков и дозаторов.</w:t>
      </w:r>
    </w:p>
    <w:p>
      <w:pPr>
        <w:pStyle w:val="Normal"/>
        <w:ind w:firstLine="225"/>
        <w:jc w:val="both"/>
        <w:rPr/>
      </w:pPr>
      <w:r>
        <w:rPr/>
      </w:r>
    </w:p>
    <w:p>
      <w:pPr>
        <w:pStyle w:val="Normal"/>
        <w:ind w:firstLine="270"/>
        <w:jc w:val="both"/>
        <w:rPr/>
      </w:pPr>
      <w:r>
        <w:rPr/>
        <w:t>6.162. Баки и трубопроводы для растворов соли и гипохлорита должны быть из коррозионно-стойких материалов или иметь антикоррозионное покрытие.</w:t>
      </w:r>
    </w:p>
    <w:p>
      <w:pPr>
        <w:pStyle w:val="Normal"/>
        <w:ind w:firstLine="270"/>
        <w:jc w:val="both"/>
        <w:rPr/>
      </w:pPr>
      <w:r>
        <w:rPr/>
      </w:r>
    </w:p>
    <w:p>
      <w:pPr>
        <w:pStyle w:val="Normal"/>
        <w:ind w:firstLine="225"/>
        <w:jc w:val="both"/>
        <w:rPr/>
      </w:pPr>
      <w:r>
        <w:rPr/>
        <w:t>6.163. Обеззараживание воды прямым электролизом следует применять при содержании хлоридов не менее 20 мг/л и жесткости не более 7 мг-экв/л на станциях производительностью до 5 тыс. куб.м/сут.</w:t>
      </w:r>
    </w:p>
    <w:p>
      <w:pPr>
        <w:pStyle w:val="Normal"/>
        <w:ind w:firstLine="225"/>
        <w:jc w:val="both"/>
        <w:rPr/>
      </w:pPr>
      <w:r>
        <w:rPr/>
      </w:r>
    </w:p>
    <w:p>
      <w:pPr>
        <w:pStyle w:val="Normal"/>
        <w:ind w:firstLine="270"/>
        <w:jc w:val="both"/>
        <w:rPr/>
      </w:pPr>
      <w:r>
        <w:rPr/>
        <w:t>6.164. Установки для обеззараживания воды прямым электролизом должны располагаться в помещении рядом с трубопроводами, подающими воду в резервуары фильтрованной воды. Необходимо предусматривать одну резервную установку.</w:t>
      </w:r>
    </w:p>
    <w:p>
      <w:pPr>
        <w:pStyle w:val="Normal"/>
        <w:ind w:firstLine="270"/>
        <w:jc w:val="both"/>
        <w:rPr/>
      </w:pPr>
      <w:r>
        <w:rPr/>
      </w:r>
    </w:p>
    <w:p>
      <w:pPr>
        <w:pStyle w:val="Normal"/>
        <w:ind w:firstLine="225"/>
        <w:jc w:val="both"/>
        <w:rPr/>
      </w:pPr>
      <w:r>
        <w:rPr/>
        <w:t>6.165. При обеззараживании воды хлорированием и необходимости предупреждения хлорфенольного запаха на станциях следует предусматривать устройства для подачи в воду газообразного аммиака (установка для аммонизации).</w:t>
      </w:r>
    </w:p>
    <w:p>
      <w:pPr>
        <w:pStyle w:val="Normal"/>
        <w:ind w:firstLine="225"/>
        <w:jc w:val="both"/>
        <w:rPr/>
      </w:pPr>
      <w:r>
        <w:rPr/>
      </w:r>
    </w:p>
    <w:p>
      <w:pPr>
        <w:pStyle w:val="Normal"/>
        <w:ind w:firstLine="270"/>
        <w:jc w:val="both"/>
        <w:rPr/>
      </w:pPr>
      <w:r>
        <w:rPr/>
        <w:t>Допускается при обосновании применение аммиака также для увеличения продолжительности бактерицидного действия, например, при длительном хранении или транспортировании воды.</w:t>
      </w:r>
    </w:p>
    <w:p>
      <w:pPr>
        <w:pStyle w:val="Normal"/>
        <w:ind w:firstLine="270"/>
        <w:jc w:val="both"/>
        <w:rPr/>
      </w:pPr>
      <w:r>
        <w:rPr/>
      </w:r>
    </w:p>
    <w:p>
      <w:pPr>
        <w:pStyle w:val="Normal"/>
        <w:ind w:firstLine="225"/>
        <w:jc w:val="both"/>
        <w:rPr/>
      </w:pPr>
      <w:r>
        <w:rPr/>
        <w:t>6.166. Аммиак следует хранить в расходном складе в баллонах или контейнерах. Оборудование аммиачного хозяйства необходимо предусматривать во взрывоопасном исполнении.</w:t>
      </w:r>
    </w:p>
    <w:p>
      <w:pPr>
        <w:pStyle w:val="Normal"/>
        <w:ind w:firstLine="225"/>
        <w:jc w:val="both"/>
        <w:rPr/>
      </w:pPr>
      <w:r>
        <w:rPr/>
      </w:r>
    </w:p>
    <w:p>
      <w:pPr>
        <w:pStyle w:val="Normal"/>
        <w:ind w:firstLine="270"/>
        <w:jc w:val="both"/>
        <w:rPr/>
      </w:pPr>
      <w:r>
        <w:rPr/>
        <w:t>Аммиачное хозяйство должно быть организовано аналогично хлорному и располагаться в отдельных помещениях. Допускается блокировка установки для аммонизации с зданиями хлорного хозяйства.</w:t>
      </w:r>
    </w:p>
    <w:p>
      <w:pPr>
        <w:pStyle w:val="Normal"/>
        <w:ind w:firstLine="225"/>
        <w:jc w:val="both"/>
        <w:rPr/>
      </w:pPr>
      <w:r>
        <w:rPr/>
      </w:r>
    </w:p>
    <w:p>
      <w:pPr>
        <w:pStyle w:val="Normal"/>
        <w:ind w:firstLine="270"/>
        <w:jc w:val="both"/>
        <w:rPr/>
      </w:pPr>
      <w:r>
        <w:rPr/>
        <w:t>Установки для дозирования аммиака следует проектировать согласно пп. 6.151, 6.152.</w:t>
      </w:r>
    </w:p>
    <w:p>
      <w:pPr>
        <w:pStyle w:val="Normal"/>
        <w:ind w:firstLine="270"/>
        <w:jc w:val="both"/>
        <w:rPr/>
      </w:pPr>
      <w:r>
        <w:rPr/>
      </w:r>
    </w:p>
    <w:p>
      <w:pPr>
        <w:pStyle w:val="Normal"/>
        <w:ind w:firstLine="225"/>
        <w:jc w:val="both"/>
        <w:rPr/>
      </w:pPr>
      <w:r>
        <w:rPr/>
        <w:t xml:space="preserve">Ввод аммиака следует предусматривать в фильтрованную воду, при наличии фенолов - за 2-3 мин до ввода хлорсодержащих реагентов. </w:t>
      </w:r>
    </w:p>
    <w:p>
      <w:pPr>
        <w:pStyle w:val="Normal"/>
        <w:ind w:firstLine="225"/>
        <w:jc w:val="both"/>
        <w:rPr/>
      </w:pPr>
      <w:r>
        <w:rPr/>
      </w:r>
    </w:p>
    <w:p>
      <w:pPr>
        <w:pStyle w:val="Normal"/>
        <w:ind w:firstLine="270"/>
        <w:jc w:val="both"/>
        <w:rPr/>
      </w:pPr>
      <w:r>
        <w:rPr/>
        <w:t>6.167. Продолжительность контакта хлора или гипохлорита с водой от момента смешения до поступления воды к ближайшему потребителю следует принимать в соответствии с ГОСТ 2874-82.</w:t>
      </w:r>
    </w:p>
    <w:p>
      <w:pPr>
        <w:pStyle w:val="Normal"/>
        <w:ind w:firstLine="225"/>
        <w:jc w:val="both"/>
        <w:rPr/>
      </w:pPr>
      <w:r>
        <w:rPr/>
      </w:r>
    </w:p>
    <w:p>
      <w:pPr>
        <w:pStyle w:val="Normal"/>
        <w:ind w:firstLine="270"/>
        <w:jc w:val="both"/>
        <w:rPr/>
      </w:pPr>
      <w:r>
        <w:rPr/>
        <w:t>Контакт хлорсодержащих реагентов с водой надлежит осуществлять в резервуарах чистой воды или специальных контактных резервуарах. При отсутствии попутного водоразбора допускается учитывать продолжительность контакта в водоводах.</w:t>
      </w:r>
    </w:p>
    <w:p>
      <w:pPr>
        <w:pStyle w:val="Normal"/>
        <w:ind w:firstLine="270"/>
        <w:jc w:val="both"/>
        <w:rPr/>
      </w:pPr>
      <w:r>
        <w:rPr/>
      </w:r>
    </w:p>
    <w:p>
      <w:pPr>
        <w:pStyle w:val="Normal"/>
        <w:ind w:firstLine="225"/>
        <w:jc w:val="both"/>
        <w:rPr/>
      </w:pPr>
      <w:r>
        <w:rPr/>
        <w:t>6.168. Обеззараживание воды с помощью бактерицидного излучения следует применять для подземных вод при условии постоянного обеспечения требований ГОСТ 2874-82 по физико-химическим показателям.</w:t>
      </w:r>
    </w:p>
    <w:p>
      <w:pPr>
        <w:pStyle w:val="Normal"/>
        <w:ind w:firstLine="135"/>
        <w:jc w:val="both"/>
        <w:rPr/>
      </w:pPr>
      <w:r>
        <w:rPr/>
      </w:r>
    </w:p>
    <w:p>
      <w:pPr>
        <w:pStyle w:val="Normal"/>
        <w:ind w:firstLine="360"/>
        <w:jc w:val="both"/>
        <w:rPr/>
      </w:pPr>
      <w:r>
        <w:rPr/>
        <w:t>Коли-индекс обрабатываемой воды должен быть не более 1000 ед/л, содержание железа - не более 0,3 мг/л.</w:t>
      </w:r>
    </w:p>
    <w:p>
      <w:pPr>
        <w:pStyle w:val="Normal"/>
        <w:ind w:firstLine="225"/>
        <w:jc w:val="both"/>
        <w:rPr/>
      </w:pPr>
      <w:r>
        <w:rPr/>
      </w:r>
    </w:p>
    <w:p>
      <w:pPr>
        <w:pStyle w:val="Normal"/>
        <w:ind w:firstLine="270"/>
        <w:jc w:val="both"/>
        <w:rPr/>
      </w:pPr>
      <w:r>
        <w:rPr/>
        <w:t>6.169. Количество рабочих бактерицидных установок следует определять исходя из их паспортной производительности. При этом количество рабочих установок должно быть не более пяти, резервных - одна.</w:t>
      </w:r>
    </w:p>
    <w:p>
      <w:pPr>
        <w:pStyle w:val="Normal"/>
        <w:ind w:firstLine="225"/>
        <w:jc w:val="both"/>
        <w:rPr/>
      </w:pPr>
      <w:r>
        <w:rPr/>
      </w:r>
    </w:p>
    <w:p>
      <w:pPr>
        <w:pStyle w:val="Normal"/>
        <w:ind w:firstLine="270"/>
        <w:jc w:val="both"/>
        <w:rPr/>
      </w:pPr>
      <w:r>
        <w:rPr/>
        <w:t>6.170. Бактерицидные установки следует располагать, как правило, непосредственно перед подачей воды в сеть потребителям на напорных или всасывающих трубопроводах насосов.</w:t>
      </w:r>
    </w:p>
    <w:p>
      <w:pPr>
        <w:pStyle w:val="Normal"/>
        <w:ind w:firstLine="225"/>
        <w:jc w:val="both"/>
        <w:rPr/>
      </w:pPr>
      <w:r>
        <w:rPr/>
      </w:r>
    </w:p>
    <w:p>
      <w:pPr>
        <w:pStyle w:val="Normal"/>
        <w:ind w:firstLine="270"/>
        <w:jc w:val="both"/>
        <w:rPr/>
      </w:pPr>
      <w:r>
        <w:rPr/>
        <w:t>6.171. Применение озона для обеззараживания воды допускается при обосновании. При проектировании озонаторных установок следует предусматривать устройства для синтеза озона и смешения озоно-воздушной смеси с водой. Необходимую дозу озона для обеззараживания надлежит принимать: для вод подземных источников - 0,75-1 мг/л, для фильтрованной воды -  1-3 мг/л.</w:t>
      </w:r>
    </w:p>
    <w:p>
      <w:pPr>
        <w:pStyle w:val="Normal"/>
        <w:ind w:firstLine="270"/>
        <w:jc w:val="both"/>
        <w:rPr/>
      </w:pPr>
      <w:r>
        <w:rPr/>
      </w:r>
    </w:p>
    <w:p>
      <w:pPr>
        <w:pStyle w:val="Normal"/>
        <w:ind w:firstLine="225"/>
        <w:jc w:val="both"/>
        <w:rPr/>
      </w:pPr>
      <w:r>
        <w:rPr/>
      </w:r>
    </w:p>
    <w:p>
      <w:pPr>
        <w:pStyle w:val="Heading"/>
        <w:jc w:val="center"/>
        <w:rPr/>
      </w:pPr>
      <w:r>
        <w:rPr/>
        <w:t>УДАЛЕНИЕ ОРГАНИЧЕСКИХ ВЕЩЕСТВ,</w:t>
      </w:r>
    </w:p>
    <w:p>
      <w:pPr>
        <w:pStyle w:val="Heading"/>
        <w:jc w:val="center"/>
        <w:rPr/>
      </w:pPr>
      <w:r>
        <w:rPr/>
        <w:t xml:space="preserve">ПРИВКУСОВ И ЗАПАХОВ </w:t>
      </w:r>
    </w:p>
    <w:p>
      <w:pPr>
        <w:pStyle w:val="Normal"/>
        <w:jc w:val="both"/>
        <w:rPr/>
      </w:pPr>
      <w:r>
        <w:rPr/>
      </w:r>
    </w:p>
    <w:p>
      <w:pPr>
        <w:pStyle w:val="Normal"/>
        <w:ind w:firstLine="495"/>
        <w:jc w:val="both"/>
        <w:rPr/>
      </w:pPr>
      <w:r>
        <w:rPr/>
      </w:r>
    </w:p>
    <w:p>
      <w:pPr>
        <w:pStyle w:val="Normal"/>
        <w:ind w:firstLine="270"/>
        <w:jc w:val="both"/>
        <w:rPr/>
      </w:pPr>
      <w:r>
        <w:rPr/>
        <w:t>6.172. При необходимости введения специальной обработки воды для удаления органических веществ, а также снижения интенсивности привкусов и запахов надлежит применять окисление и последующую сорбцию веществ, осуществляемую путем фильтрования воды через гранулированные активные угли с периодической их регенерацией или заменой.</w:t>
      </w:r>
    </w:p>
    <w:p>
      <w:pPr>
        <w:pStyle w:val="Normal"/>
        <w:ind w:firstLine="135"/>
        <w:jc w:val="both"/>
        <w:rPr/>
      </w:pPr>
      <w:r>
        <w:rPr/>
      </w:r>
    </w:p>
    <w:p>
      <w:pPr>
        <w:pStyle w:val="Normal"/>
        <w:ind w:firstLine="360"/>
        <w:jc w:val="both"/>
        <w:rPr/>
      </w:pPr>
      <w:r>
        <w:rPr/>
        <w:t>В случаях кратковременного использования активных углей и при обосновании допускается применять их в виде порошка, вводимого в воду перед ее коагуляционной обработкой или перед фильтрами.</w:t>
      </w:r>
    </w:p>
    <w:p>
      <w:pPr>
        <w:pStyle w:val="Normal"/>
        <w:ind w:firstLine="270"/>
        <w:jc w:val="both"/>
        <w:rPr/>
      </w:pPr>
      <w:r>
        <w:rPr/>
      </w:r>
    </w:p>
    <w:p>
      <w:pPr>
        <w:pStyle w:val="Normal"/>
        <w:ind w:firstLine="270"/>
        <w:jc w:val="both"/>
        <w:rPr/>
      </w:pPr>
      <w:r>
        <w:rPr/>
        <w:t>Примечания: 1. При наличии в воде легкоокисляемых органических веществ в небольших концентрациях допускается по согласованию с органами санитарно-эпидемиологической службы применять одно окисление без сорбционной очистки при условии, что в результате окисления не образуются неблагоприятные в органолептическом отношении и вредные в токсикологическом отношении продукты.</w:t>
      </w:r>
    </w:p>
    <w:p>
      <w:pPr>
        <w:pStyle w:val="Normal"/>
        <w:ind w:firstLine="225"/>
        <w:jc w:val="both"/>
        <w:rPr/>
      </w:pPr>
      <w:r>
        <w:rPr/>
      </w:r>
    </w:p>
    <w:p>
      <w:pPr>
        <w:pStyle w:val="Normal"/>
        <w:ind w:firstLine="270"/>
        <w:jc w:val="both"/>
        <w:rPr/>
      </w:pPr>
      <w:r>
        <w:rPr/>
        <w:t>2. Правила ввода и дозы реагентов, а также расчетные параметры установок следует принимать согласно рекомендуемому прил. 4.</w:t>
      </w:r>
    </w:p>
    <w:p>
      <w:pPr>
        <w:pStyle w:val="Normal"/>
        <w:ind w:firstLine="225"/>
        <w:jc w:val="both"/>
        <w:rPr/>
      </w:pPr>
      <w:r>
        <w:rPr/>
      </w:r>
    </w:p>
    <w:p>
      <w:pPr>
        <w:pStyle w:val="Normal"/>
        <w:ind w:firstLine="270"/>
        <w:jc w:val="both"/>
        <w:rPr/>
      </w:pPr>
      <w:r>
        <w:rPr/>
      </w:r>
    </w:p>
    <w:p>
      <w:pPr>
        <w:pStyle w:val="Heading"/>
        <w:jc w:val="center"/>
        <w:rPr/>
      </w:pPr>
      <w:r>
        <w:rPr/>
        <w:t>СТАБИЛИЗАЦИОННАЯ ОБРАБОТКА ВОДЫ</w:t>
      </w:r>
    </w:p>
    <w:p>
      <w:pPr>
        <w:pStyle w:val="Heading"/>
        <w:jc w:val="center"/>
        <w:rPr/>
      </w:pPr>
      <w:r>
        <w:rPr/>
        <w:t xml:space="preserve">И ОБРАБОТКА ИНГИБИТОРАМИ ДЛЯ УСТРАНЕНИЯ КОРРОЗИИ </w:t>
      </w:r>
    </w:p>
    <w:p>
      <w:pPr>
        <w:pStyle w:val="Heading"/>
        <w:jc w:val="center"/>
        <w:rPr/>
      </w:pPr>
      <w:r>
        <w:rPr/>
        <w:t>СТАЛЬНЫХ И ЧУГУННЫХ ТРУБ</w:t>
      </w:r>
    </w:p>
    <w:p>
      <w:pPr>
        <w:pStyle w:val="Heading"/>
        <w:jc w:val="center"/>
        <w:rPr/>
      </w:pPr>
      <w:r>
        <w:rPr/>
      </w:r>
    </w:p>
    <w:p>
      <w:pPr>
        <w:pStyle w:val="Normal"/>
        <w:ind w:firstLine="360"/>
        <w:jc w:val="both"/>
        <w:rPr>
          <w:b/>
          <w:b/>
          <w:sz w:val="22"/>
        </w:rPr>
      </w:pPr>
      <w:r>
        <w:rPr>
          <w:b/>
          <w:sz w:val="22"/>
        </w:rPr>
      </w:r>
    </w:p>
    <w:p>
      <w:pPr>
        <w:pStyle w:val="Normal"/>
        <w:ind w:firstLine="270"/>
        <w:jc w:val="both"/>
        <w:rPr/>
      </w:pPr>
      <w:r>
        <w:rPr/>
        <w:t>6.173. Указания настоящего раздела относятся к обработке воды хозяйственно-питьевых и производственных водопроводов, вода которых не используется для охлаждения технологических аппаратов.</w:t>
      </w:r>
    </w:p>
    <w:p>
      <w:pPr>
        <w:pStyle w:val="Normal"/>
        <w:ind w:firstLine="225"/>
        <w:jc w:val="both"/>
        <w:rPr/>
      </w:pPr>
      <w:r>
        <w:rPr/>
      </w:r>
    </w:p>
    <w:p>
      <w:pPr>
        <w:pStyle w:val="Normal"/>
        <w:ind w:firstLine="270"/>
        <w:jc w:val="both"/>
        <w:rPr/>
      </w:pPr>
      <w:r>
        <w:rPr/>
      </w:r>
    </w:p>
    <w:p>
      <w:pPr>
        <w:pStyle w:val="Normal"/>
        <w:ind w:firstLine="270"/>
        <w:jc w:val="both"/>
        <w:rPr/>
      </w:pPr>
      <w:r>
        <w:rPr/>
        <w:t>Примечания: 1. Методы обработки воды систем горячего водоснабжения и теплоснабжения для защиты от коррозии и зарастания в настоящем разделе не рассматриваются.</w:t>
      </w:r>
    </w:p>
    <w:p>
      <w:pPr>
        <w:pStyle w:val="Normal"/>
        <w:ind w:firstLine="270"/>
        <w:jc w:val="both"/>
        <w:rPr/>
      </w:pPr>
      <w:r>
        <w:rPr/>
      </w:r>
    </w:p>
    <w:p>
      <w:pPr>
        <w:pStyle w:val="Normal"/>
        <w:ind w:firstLine="270"/>
        <w:jc w:val="both"/>
        <w:rPr/>
      </w:pPr>
      <w:r>
        <w:rPr/>
        <w:t>2. Обработку охлаждающей оборотной воды надлежит выполнять согласно разд. 11.</w:t>
      </w:r>
    </w:p>
    <w:p>
      <w:pPr>
        <w:pStyle w:val="Normal"/>
        <w:ind w:firstLine="225"/>
        <w:jc w:val="both"/>
        <w:rPr/>
      </w:pPr>
      <w:r>
        <w:rPr/>
      </w:r>
    </w:p>
    <w:p>
      <w:pPr>
        <w:pStyle w:val="Normal"/>
        <w:ind w:firstLine="270"/>
        <w:jc w:val="both"/>
        <w:rPr/>
      </w:pPr>
      <w:r>
        <w:rPr/>
      </w:r>
    </w:p>
    <w:p>
      <w:pPr>
        <w:pStyle w:val="Normal"/>
        <w:ind w:firstLine="270"/>
        <w:jc w:val="both"/>
        <w:rPr/>
      </w:pPr>
      <w:r>
        <w:rPr/>
        <w:t>6.174. Для защиты водопроводных труб и оборудования от коррозии и образования отложений следует предусматривать стабилизационную обработку воды, необходимость проведения которой устанавливается оценкой стабильности воды.</w:t>
      </w:r>
    </w:p>
    <w:p>
      <w:pPr>
        <w:pStyle w:val="Normal"/>
        <w:ind w:firstLine="225"/>
        <w:jc w:val="both"/>
        <w:rPr/>
      </w:pPr>
      <w:r>
        <w:rPr/>
      </w:r>
    </w:p>
    <w:p>
      <w:pPr>
        <w:pStyle w:val="Normal"/>
        <w:ind w:firstLine="270"/>
        <w:jc w:val="both"/>
        <w:rPr/>
      </w:pPr>
      <w:r>
        <w:rPr/>
        <w:t>Оценку стабильности воды надлежит производить на основании технологического анализа по методу «карбонатных испытаний». При отсутствии данных технологических исследований стабильность для оценки качества воды допускается определять по методикам, приведенным в рекомендуемом прил. 5.</w:t>
      </w:r>
    </w:p>
    <w:p>
      <w:pPr>
        <w:pStyle w:val="Normal"/>
        <w:ind w:firstLine="225"/>
        <w:jc w:val="both"/>
        <w:rPr/>
      </w:pPr>
      <w:r>
        <w:rPr/>
      </w:r>
    </w:p>
    <w:p>
      <w:pPr>
        <w:pStyle w:val="Normal"/>
        <w:ind w:firstLine="270"/>
        <w:jc w:val="both"/>
        <w:rPr/>
      </w:pPr>
      <w:r>
        <w:rPr/>
        <w:t>6.175. Методы стабилизационной обработки воды и расчетные параметры надлежит принимать согласно рекомендуемому прил. 5.</w:t>
      </w:r>
    </w:p>
    <w:p>
      <w:pPr>
        <w:pStyle w:val="Normal"/>
        <w:ind w:firstLine="225"/>
        <w:jc w:val="both"/>
        <w:rPr/>
      </w:pPr>
      <w:r>
        <w:rPr/>
      </w:r>
    </w:p>
    <w:p>
      <w:pPr>
        <w:pStyle w:val="Normal"/>
        <w:ind w:firstLine="270"/>
        <w:jc w:val="both"/>
        <w:rPr/>
      </w:pPr>
      <w:r>
        <w:rPr/>
      </w:r>
    </w:p>
    <w:p>
      <w:pPr>
        <w:pStyle w:val="Heading"/>
        <w:jc w:val="center"/>
        <w:rPr/>
      </w:pPr>
      <w:r>
        <w:rPr/>
        <w:t>ОБЕЗЖЕЛЕЗИВАНИЕ ВОДЫ</w:t>
      </w:r>
    </w:p>
    <w:p>
      <w:pPr>
        <w:pStyle w:val="Heading"/>
        <w:jc w:val="center"/>
        <w:rPr/>
      </w:pPr>
      <w:r>
        <w:rPr/>
      </w:r>
    </w:p>
    <w:p>
      <w:pPr>
        <w:pStyle w:val="Normal"/>
        <w:ind w:firstLine="270"/>
        <w:jc w:val="both"/>
        <w:rPr/>
      </w:pPr>
      <w:r>
        <w:rPr/>
      </w:r>
    </w:p>
    <w:p>
      <w:pPr>
        <w:pStyle w:val="Normal"/>
        <w:ind w:firstLine="225"/>
        <w:jc w:val="both"/>
        <w:rPr/>
      </w:pPr>
      <w:r>
        <w:rPr/>
        <w:t>6.176. Метод обезжелезивания воды, расчетные параметры и дозы реагентов надлежит принимать на основе результатов технологических изысканий, выполненных непосредственно у источника водоснабжения.</w:t>
      </w:r>
    </w:p>
    <w:p>
      <w:pPr>
        <w:pStyle w:val="Normal"/>
        <w:ind w:firstLine="45"/>
        <w:jc w:val="both"/>
        <w:rPr/>
      </w:pPr>
      <w:r>
        <w:rPr/>
      </w:r>
    </w:p>
    <w:p>
      <w:pPr>
        <w:pStyle w:val="Normal"/>
        <w:ind w:firstLine="225"/>
        <w:jc w:val="both"/>
        <w:rPr/>
      </w:pPr>
      <w:r>
        <w:rPr/>
        <w:t>6.177. Обезжелезивание подземных вод следует предусматривать фильтрованием в сочетании с одним из способов предварительной обработки воды: упрощенной аэрацией, аэрацией на специальных устройствах, введением реагентов-окислителей.</w:t>
      </w:r>
    </w:p>
    <w:p>
      <w:pPr>
        <w:pStyle w:val="Normal"/>
        <w:ind w:firstLine="225"/>
        <w:jc w:val="both"/>
        <w:rPr/>
      </w:pPr>
      <w:r>
        <w:rPr/>
      </w:r>
    </w:p>
    <w:p>
      <w:pPr>
        <w:pStyle w:val="Normal"/>
        <w:ind w:firstLine="270"/>
        <w:jc w:val="both"/>
        <w:rPr/>
      </w:pPr>
      <w:r>
        <w:rPr/>
      </w:r>
    </w:p>
    <w:p>
      <w:pPr>
        <w:pStyle w:val="Normal"/>
        <w:ind w:firstLine="270"/>
        <w:jc w:val="both"/>
        <w:rPr/>
      </w:pPr>
      <w:r>
        <w:rPr/>
        <w:t>Примечание. При обосновании допускается принимать другие методы.</w:t>
      </w:r>
    </w:p>
    <w:p>
      <w:pPr>
        <w:pStyle w:val="Normal"/>
        <w:ind w:firstLine="225"/>
        <w:jc w:val="both"/>
        <w:rPr/>
      </w:pPr>
      <w:r>
        <w:rPr/>
      </w:r>
    </w:p>
    <w:p>
      <w:pPr>
        <w:pStyle w:val="Normal"/>
        <w:ind w:firstLine="270"/>
        <w:jc w:val="both"/>
        <w:rPr/>
      </w:pPr>
      <w:r>
        <w:rPr/>
      </w:r>
    </w:p>
    <w:p>
      <w:pPr>
        <w:pStyle w:val="Normal"/>
        <w:ind w:firstLine="270"/>
        <w:jc w:val="both"/>
        <w:rPr/>
      </w:pPr>
      <w:r>
        <w:rPr/>
        <w:t xml:space="preserve">6.178. Упрощенную аэрацию допускается применять при следующих показателях качества воды: </w:t>
      </w:r>
    </w:p>
    <w:p>
      <w:pPr>
        <w:pStyle w:val="Normal"/>
        <w:ind w:firstLine="225"/>
        <w:jc w:val="both"/>
        <w:rPr/>
      </w:pPr>
      <w:r>
        <w:rPr/>
      </w:r>
    </w:p>
    <w:p>
      <w:pPr>
        <w:pStyle w:val="Normal"/>
        <w:ind w:firstLine="270"/>
        <w:jc w:val="both"/>
        <w:rPr/>
      </w:pPr>
      <w:r>
        <w:rPr/>
        <w:t xml:space="preserve">содержание железа (общего) до 10 мг/л;     </w:t>
      </w:r>
    </w:p>
    <w:tbl>
      <w:tblPr>
        <w:tblW w:w="6735" w:type="dxa"/>
        <w:jc w:val="start"/>
        <w:tblInd w:w="165" w:type="dxa"/>
        <w:tblBorders/>
        <w:tblCellMar>
          <w:top w:w="0" w:type="dxa"/>
          <w:start w:w="15" w:type="dxa"/>
          <w:bottom w:w="0" w:type="dxa"/>
          <w:end w:w="15" w:type="dxa"/>
        </w:tblCellMar>
      </w:tblPr>
      <w:tblGrid>
        <w:gridCol w:w="2685"/>
        <w:gridCol w:w="795"/>
        <w:gridCol w:w="3255"/>
      </w:tblGrid>
      <w:tr>
        <w:trPr/>
        <w:tc>
          <w:tcPr>
            <w:tcW w:w="2685" w:type="dxa"/>
            <w:tcBorders/>
            <w:shd w:fill="auto" w:val="clear"/>
          </w:tcPr>
          <w:p>
            <w:pPr>
              <w:pStyle w:val="Normal"/>
              <w:rPr/>
            </w:pPr>
            <w:r>
              <w:rPr>
                <w:vanish/>
              </w:rPr>
              <w:t>#G0</w:t>
            </w:r>
            <w:r>
              <w:rPr/>
              <w:t xml:space="preserve">  </w:t>
            </w:r>
          </w:p>
          <w:p>
            <w:pPr>
              <w:pStyle w:val="Normal"/>
              <w:ind w:firstLine="90"/>
              <w:jc w:val="both"/>
              <w:rPr/>
            </w:pPr>
            <w:r>
              <w:rPr/>
              <w:t xml:space="preserve">в том числе двухвалентного </w:t>
            </w:r>
          </w:p>
          <w:p>
            <w:pPr>
              <w:pStyle w:val="Normal"/>
              <w:ind w:firstLine="90"/>
              <w:jc w:val="both"/>
              <w:rPr/>
            </w:pPr>
            <w:r>
              <w:rPr/>
            </w:r>
          </w:p>
        </w:tc>
        <w:tc>
          <w:tcPr>
            <w:tcW w:w="795" w:type="dxa"/>
            <w:tcBorders/>
            <w:shd w:fill="auto" w:val="clear"/>
          </w:tcPr>
          <w:p>
            <w:pPr>
              <w:pStyle w:val="Normal"/>
              <w:rPr/>
            </w:pPr>
            <w:r>
              <w:rPr/>
              <w:t xml:space="preserve">  </w:t>
            </w:r>
          </w:p>
          <w:p>
            <w:pPr>
              <w:pStyle w:val="Normal"/>
              <w:rPr/>
            </w:pPr>
            <w:r>
              <w:rPr/>
              <w:drawing>
                <wp:inline distT="0" distB="0" distL="0" distR="0">
                  <wp:extent cx="414655" cy="207645"/>
                  <wp:effectExtent l="0" t="0" r="0" b="0"/>
                  <wp:docPr id="132" name="Изображение1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Изображение132" descr="" title=""/>
                          <pic:cNvPicPr>
                            <a:picLocks noChangeAspect="1" noChangeArrowheads="1"/>
                          </pic:cNvPicPr>
                        </pic:nvPicPr>
                        <pic:blipFill>
                          <a:blip r:embed="rId133"/>
                          <a:stretch>
                            <a:fillRect/>
                          </a:stretch>
                        </pic:blipFill>
                        <pic:spPr bwMode="auto">
                          <a:xfrm>
                            <a:off x="0" y="0"/>
                            <a:ext cx="414655" cy="207645"/>
                          </a:xfrm>
                          <a:prstGeom prst="rect">
                            <a:avLst/>
                          </a:prstGeom>
                        </pic:spPr>
                      </pic:pic>
                    </a:graphicData>
                  </a:graphic>
                </wp:inline>
              </w:drawing>
            </w:r>
          </w:p>
        </w:tc>
        <w:tc>
          <w:tcPr>
            <w:tcW w:w="3255" w:type="dxa"/>
            <w:tcBorders/>
            <w:shd w:fill="auto" w:val="clear"/>
          </w:tcPr>
          <w:p>
            <w:pPr>
              <w:pStyle w:val="Normal"/>
              <w:rPr/>
            </w:pPr>
            <w:r>
              <w:rPr/>
              <w:t xml:space="preserve">  </w:t>
            </w:r>
          </w:p>
          <w:p>
            <w:pPr>
              <w:pStyle w:val="Normal"/>
              <w:ind w:firstLine="45"/>
              <w:jc w:val="both"/>
              <w:rPr/>
            </w:pPr>
            <w:r>
              <w:rPr/>
              <w:t xml:space="preserve">не менее 70%; </w:t>
            </w:r>
          </w:p>
          <w:p>
            <w:pPr>
              <w:pStyle w:val="Normal"/>
              <w:ind w:firstLine="45"/>
              <w:jc w:val="both"/>
              <w:rPr/>
            </w:pPr>
            <w:r>
              <w:rPr/>
            </w:r>
          </w:p>
        </w:tc>
      </w:tr>
    </w:tbl>
    <w:p>
      <w:pPr>
        <w:pStyle w:val="Normal"/>
        <w:ind w:firstLine="270"/>
        <w:jc w:val="both"/>
        <w:rPr/>
      </w:pPr>
      <w:r>
        <w:rPr/>
      </w:r>
    </w:p>
    <w:p>
      <w:pPr>
        <w:pStyle w:val="Normal"/>
        <w:ind w:firstLine="225"/>
        <w:jc w:val="both"/>
        <w:rPr/>
      </w:pPr>
      <w:r>
        <w:rPr/>
        <w:t xml:space="preserve">рН не менее 6,8;    </w:t>
      </w:r>
    </w:p>
    <w:tbl>
      <w:tblPr>
        <w:tblW w:w="4650" w:type="dxa"/>
        <w:jc w:val="start"/>
        <w:tblInd w:w="165" w:type="dxa"/>
        <w:tblBorders/>
        <w:tblCellMar>
          <w:top w:w="0" w:type="dxa"/>
          <w:start w:w="15" w:type="dxa"/>
          <w:bottom w:w="0" w:type="dxa"/>
          <w:end w:w="15" w:type="dxa"/>
        </w:tblCellMar>
      </w:tblPr>
      <w:tblGrid>
        <w:gridCol w:w="1890"/>
        <w:gridCol w:w="1305"/>
        <w:gridCol w:w="1455"/>
      </w:tblGrid>
      <w:tr>
        <w:trPr/>
        <w:tc>
          <w:tcPr>
            <w:tcW w:w="1890" w:type="dxa"/>
            <w:tcBorders/>
            <w:shd w:fill="auto" w:val="clear"/>
          </w:tcPr>
          <w:p>
            <w:pPr>
              <w:pStyle w:val="Normal"/>
              <w:rPr>
                <w:vanish/>
              </w:rPr>
            </w:pPr>
            <w:r>
              <w:rPr>
                <w:vanish/>
              </w:rPr>
              <w:t>#G0</w:t>
            </w:r>
          </w:p>
          <w:p>
            <w:pPr>
              <w:pStyle w:val="Normal"/>
              <w:rPr/>
            </w:pPr>
            <w:r>
              <w:rPr/>
              <w:t xml:space="preserve">  </w:t>
            </w:r>
            <w:r>
              <w:rPr/>
              <w:t xml:space="preserve">щелочности более </w:t>
            </w:r>
          </w:p>
          <w:p>
            <w:pPr>
              <w:pStyle w:val="Normal"/>
              <w:rPr/>
            </w:pPr>
            <w:r>
              <w:rPr/>
            </w:r>
          </w:p>
        </w:tc>
        <w:tc>
          <w:tcPr>
            <w:tcW w:w="1305" w:type="dxa"/>
            <w:tcBorders/>
            <w:shd w:fill="auto" w:val="clear"/>
          </w:tcPr>
          <w:p>
            <w:pPr>
              <w:pStyle w:val="Normal"/>
              <w:rPr/>
            </w:pPr>
            <w:r>
              <w:rPr/>
              <w:t xml:space="preserve">  </w:t>
            </w:r>
          </w:p>
          <w:p>
            <w:pPr>
              <w:pStyle w:val="Normal"/>
              <w:rPr/>
            </w:pPr>
            <w:r>
              <w:rPr/>
              <w:drawing>
                <wp:inline distT="0" distB="0" distL="0" distR="0">
                  <wp:extent cx="829310" cy="207645"/>
                  <wp:effectExtent l="0" t="0" r="0" b="0"/>
                  <wp:docPr id="133" name="Изображение1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133" descr="" title=""/>
                          <pic:cNvPicPr>
                            <a:picLocks noChangeAspect="1" noChangeArrowheads="1"/>
                          </pic:cNvPicPr>
                        </pic:nvPicPr>
                        <pic:blipFill>
                          <a:blip r:embed="rId134"/>
                          <a:stretch>
                            <a:fillRect/>
                          </a:stretch>
                        </pic:blipFill>
                        <pic:spPr bwMode="auto">
                          <a:xfrm>
                            <a:off x="0" y="0"/>
                            <a:ext cx="829310" cy="207645"/>
                          </a:xfrm>
                          <a:prstGeom prst="rect">
                            <a:avLst/>
                          </a:prstGeom>
                        </pic:spPr>
                      </pic:pic>
                    </a:graphicData>
                  </a:graphic>
                </wp:inline>
              </w:drawing>
            </w:r>
          </w:p>
        </w:tc>
        <w:tc>
          <w:tcPr>
            <w:tcW w:w="1455" w:type="dxa"/>
            <w:tcBorders/>
            <w:shd w:fill="auto" w:val="clear"/>
          </w:tcPr>
          <w:p>
            <w:pPr>
              <w:pStyle w:val="Normal"/>
              <w:snapToGrid w:val="false"/>
              <w:jc w:val="both"/>
              <w:rPr/>
            </w:pPr>
            <w:r>
              <w:rPr/>
            </w:r>
          </w:p>
          <w:p>
            <w:pPr>
              <w:pStyle w:val="Normal"/>
              <w:ind w:firstLine="45"/>
              <w:jc w:val="both"/>
              <w:rPr/>
            </w:pPr>
            <w:r>
              <w:rPr/>
              <w:t xml:space="preserve">мг-экв/л; </w:t>
            </w:r>
          </w:p>
          <w:p>
            <w:pPr>
              <w:pStyle w:val="Normal"/>
              <w:rPr/>
            </w:pPr>
            <w:r>
              <w:rPr/>
              <w:t xml:space="preserve">  </w:t>
            </w:r>
          </w:p>
          <w:p>
            <w:pPr>
              <w:pStyle w:val="Normal"/>
              <w:rPr/>
            </w:pPr>
            <w:r>
              <w:rPr/>
            </w:r>
          </w:p>
        </w:tc>
      </w:tr>
    </w:tbl>
    <w:p>
      <w:pPr>
        <w:pStyle w:val="Normal"/>
        <w:ind w:firstLine="225"/>
        <w:jc w:val="both"/>
        <w:rPr/>
      </w:pPr>
      <w:r>
        <w:rPr/>
        <w:t xml:space="preserve">содержание сероводорода не более 2 мг/л. </w:t>
      </w:r>
    </w:p>
    <w:p>
      <w:pPr>
        <w:pStyle w:val="Normal"/>
        <w:ind w:firstLine="225"/>
        <w:jc w:val="both"/>
        <w:rPr/>
      </w:pPr>
      <w:r>
        <w:rPr/>
      </w:r>
    </w:p>
    <w:p>
      <w:pPr>
        <w:pStyle w:val="Normal"/>
        <w:ind w:firstLine="225"/>
        <w:jc w:val="both"/>
        <w:rPr/>
      </w:pPr>
      <w:r>
        <w:rPr/>
        <w:t>6.179. Упрощенную аэрацию следует предусматривать изливом воды в карман или центральный канал открытых фильтров (высота излива над уровнем воды 0,5-0,6 м). При применении напорных фильтров надлежит предусматривать ввод воздуха в подающий трубопровод (расход воздуха 2 л на 1 г закисного железа).</w:t>
      </w:r>
    </w:p>
    <w:p>
      <w:pPr>
        <w:pStyle w:val="Normal"/>
        <w:ind w:firstLine="225"/>
        <w:jc w:val="both"/>
        <w:rPr/>
      </w:pPr>
      <w:r>
        <w:rPr/>
      </w:r>
    </w:p>
    <w:p>
      <w:pPr>
        <w:pStyle w:val="Normal"/>
        <w:ind w:firstLine="270"/>
        <w:jc w:val="both"/>
        <w:rPr/>
      </w:pPr>
      <w:r>
        <w:rPr/>
        <w:t>При содержании в исходной воде свободной углекислоты более 40 мг/л и сероводорода более 0,5 мг/л следует перед напорными фильтрами предусматривать промежуточную емкость со свободным изливом в нее воды без ввода воздуха в трубопровод.</w:t>
      </w:r>
    </w:p>
    <w:p>
      <w:pPr>
        <w:pStyle w:val="Normal"/>
        <w:ind w:firstLine="225"/>
        <w:jc w:val="both"/>
        <w:rPr/>
      </w:pPr>
      <w:r>
        <w:rPr/>
      </w:r>
    </w:p>
    <w:p>
      <w:pPr>
        <w:pStyle w:val="Normal"/>
        <w:ind w:firstLine="270"/>
        <w:jc w:val="both"/>
        <w:rPr/>
      </w:pPr>
      <w:r>
        <w:rPr/>
        <w:t>6.180. Аэрацию на специальных устройствах (аэраторах) или введение реагентов-окислителей следует принимать при необходимости увеличения количества удаляемого железа и повышения рН воды.</w:t>
      </w:r>
    </w:p>
    <w:p>
      <w:pPr>
        <w:pStyle w:val="Normal"/>
        <w:ind w:firstLine="225"/>
        <w:jc w:val="both"/>
        <w:rPr/>
      </w:pPr>
      <w:r>
        <w:rPr/>
      </w:r>
    </w:p>
    <w:p>
      <w:pPr>
        <w:pStyle w:val="Normal"/>
        <w:ind w:firstLine="225"/>
        <w:jc w:val="both"/>
        <w:rPr/>
      </w:pPr>
      <w:r>
        <w:rPr/>
        <w:t>Конструкцию и расчетные параметры аэраторов следует принимать аналогично дегазаторам согласно рекомендуемому прил. 7.</w:t>
      </w:r>
    </w:p>
    <w:p>
      <w:pPr>
        <w:pStyle w:val="Normal"/>
        <w:ind w:firstLine="225"/>
        <w:jc w:val="both"/>
        <w:rPr/>
      </w:pPr>
      <w:r>
        <w:rPr/>
      </w:r>
    </w:p>
    <w:p>
      <w:pPr>
        <w:pStyle w:val="Normal"/>
        <w:ind w:firstLine="270"/>
        <w:jc w:val="both"/>
        <w:rPr/>
      </w:pPr>
      <w:r>
        <w:rPr/>
        <w:t xml:space="preserve">6.181. Расчетные дозы реагентов-окислителей надлежит принимать: </w:t>
      </w:r>
    </w:p>
    <w:tbl>
      <w:tblPr>
        <w:tblW w:w="1905" w:type="dxa"/>
        <w:jc w:val="start"/>
        <w:tblInd w:w="15" w:type="dxa"/>
        <w:tblBorders/>
        <w:tblCellMar>
          <w:top w:w="0" w:type="dxa"/>
          <w:start w:w="15" w:type="dxa"/>
          <w:bottom w:w="0" w:type="dxa"/>
          <w:end w:w="15" w:type="dxa"/>
        </w:tblCellMar>
      </w:tblPr>
      <w:tblGrid>
        <w:gridCol w:w="525"/>
        <w:gridCol w:w="450"/>
        <w:gridCol w:w="930"/>
      </w:tblGrid>
      <w:tr>
        <w:trPr/>
        <w:tc>
          <w:tcPr>
            <w:tcW w:w="525" w:type="dxa"/>
            <w:tcBorders/>
            <w:shd w:fill="auto" w:val="clear"/>
          </w:tcPr>
          <w:p>
            <w:pPr>
              <w:pStyle w:val="Normal"/>
              <w:rPr/>
            </w:pPr>
            <w:r>
              <w:rPr>
                <w:vanish/>
              </w:rPr>
              <w:t>#G0</w:t>
            </w:r>
            <w:r>
              <w:rPr/>
              <w:t xml:space="preserve">хлора </w:t>
            </w:r>
          </w:p>
          <w:p>
            <w:pPr>
              <w:pStyle w:val="Normal"/>
              <w:rPr/>
            </w:pPr>
            <w:r>
              <w:rPr/>
            </w:r>
          </w:p>
        </w:tc>
        <w:tc>
          <w:tcPr>
            <w:tcW w:w="450" w:type="dxa"/>
            <w:tcBorders/>
            <w:shd w:fill="auto" w:val="clear"/>
          </w:tcPr>
          <w:p>
            <w:pPr>
              <w:pStyle w:val="Normal"/>
              <w:rPr/>
            </w:pPr>
            <w:r>
              <w:rPr/>
              <w:drawing>
                <wp:inline distT="0" distB="0" distL="0" distR="0">
                  <wp:extent cx="207645" cy="184150"/>
                  <wp:effectExtent l="0" t="0" r="0" b="0"/>
                  <wp:docPr id="134" name="Изображение1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Изображение134" descr="" title=""/>
                          <pic:cNvPicPr>
                            <a:picLocks noChangeAspect="1" noChangeArrowheads="1"/>
                          </pic:cNvPicPr>
                        </pic:nvPicPr>
                        <pic:blipFill>
                          <a:blip r:embed="rId135"/>
                          <a:stretch>
                            <a:fillRect/>
                          </a:stretch>
                        </pic:blipFill>
                        <pic:spPr bwMode="auto">
                          <a:xfrm>
                            <a:off x="0" y="0"/>
                            <a:ext cx="207645" cy="184150"/>
                          </a:xfrm>
                          <a:prstGeom prst="rect">
                            <a:avLst/>
                          </a:prstGeom>
                        </pic:spPr>
                      </pic:pic>
                    </a:graphicData>
                  </a:graphic>
                </wp:inline>
              </w:drawing>
            </w:r>
          </w:p>
        </w:tc>
        <w:tc>
          <w:tcPr>
            <w:tcW w:w="930" w:type="dxa"/>
            <w:tcBorders/>
            <w:shd w:fill="auto" w:val="clear"/>
          </w:tcPr>
          <w:p>
            <w:pPr>
              <w:pStyle w:val="Normal"/>
              <w:rPr/>
            </w:pPr>
            <w:r>
              <w:rPr/>
              <w:t xml:space="preserve">     </w:t>
            </w:r>
            <w:r>
              <w:rPr/>
              <w:t xml:space="preserve">, мгл:  </w:t>
            </w:r>
          </w:p>
          <w:p>
            <w:pPr>
              <w:pStyle w:val="Normal"/>
              <w:rPr/>
            </w:pPr>
            <w:r>
              <w:rPr/>
            </w:r>
          </w:p>
        </w:tc>
      </w:tr>
    </w:tbl>
    <w:p>
      <w:pPr>
        <w:pStyle w:val="Normal"/>
        <w:ind w:firstLine="225"/>
        <w:jc w:val="both"/>
        <w:rPr/>
      </w:pPr>
      <w:r>
        <w:rPr/>
      </w:r>
    </w:p>
    <w:tbl>
      <w:tblPr>
        <w:tblW w:w="5520" w:type="dxa"/>
        <w:jc w:val="start"/>
        <w:tblInd w:w="2670" w:type="dxa"/>
        <w:tblBorders/>
        <w:tblCellMar>
          <w:top w:w="0" w:type="dxa"/>
          <w:start w:w="15" w:type="dxa"/>
          <w:bottom w:w="0" w:type="dxa"/>
          <w:end w:w="15" w:type="dxa"/>
        </w:tblCellMar>
      </w:tblPr>
      <w:tblGrid>
        <w:gridCol w:w="2340"/>
        <w:gridCol w:w="3180"/>
      </w:tblGrid>
      <w:tr>
        <w:trPr/>
        <w:tc>
          <w:tcPr>
            <w:tcW w:w="2340" w:type="dxa"/>
            <w:tcBorders/>
            <w:shd w:fill="auto" w:val="clear"/>
          </w:tcPr>
          <w:p>
            <w:pPr>
              <w:pStyle w:val="Normal"/>
              <w:rPr/>
            </w:pPr>
            <w:r>
              <w:rPr>
                <w:vanish/>
              </w:rPr>
              <w:t>#G0</w:t>
            </w:r>
            <w:r>
              <w:rPr/>
              <w:t xml:space="preserve"> </w:t>
            </w:r>
          </w:p>
          <w:p>
            <w:pPr>
              <w:pStyle w:val="Normal"/>
              <w:rPr/>
            </w:pPr>
            <w:r>
              <w:rPr/>
              <w:drawing>
                <wp:inline distT="0" distB="0" distL="0" distR="0">
                  <wp:extent cx="921385" cy="207645"/>
                  <wp:effectExtent l="0" t="0" r="0" b="0"/>
                  <wp:docPr id="135" name="Изображение1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Изображение135" descr="" title=""/>
                          <pic:cNvPicPr>
                            <a:picLocks noChangeAspect="1" noChangeArrowheads="1"/>
                          </pic:cNvPicPr>
                        </pic:nvPicPr>
                        <pic:blipFill>
                          <a:blip r:embed="rId136"/>
                          <a:stretch>
                            <a:fillRect/>
                          </a:stretch>
                        </pic:blipFill>
                        <pic:spPr bwMode="auto">
                          <a:xfrm>
                            <a:off x="0" y="0"/>
                            <a:ext cx="921385" cy="207645"/>
                          </a:xfrm>
                          <a:prstGeom prst="rect">
                            <a:avLst/>
                          </a:prstGeom>
                        </pic:spPr>
                      </pic:pic>
                    </a:graphicData>
                  </a:graphic>
                </wp:inline>
              </w:drawing>
            </w:r>
          </w:p>
        </w:tc>
        <w:tc>
          <w:tcPr>
            <w:tcW w:w="3180" w:type="dxa"/>
            <w:tcBorders/>
            <w:shd w:fill="auto" w:val="clear"/>
          </w:tcPr>
          <w:p>
            <w:pPr>
              <w:pStyle w:val="Normal"/>
              <w:snapToGrid w:val="false"/>
              <w:rPr/>
            </w:pPr>
            <w:r>
              <w:rPr/>
            </w:r>
          </w:p>
          <w:p>
            <w:pPr>
              <w:pStyle w:val="Normal"/>
              <w:rPr/>
            </w:pPr>
            <w:r>
              <w:rPr/>
              <w:t xml:space="preserve">                                                          </w:t>
            </w:r>
            <w:r>
              <w:rPr/>
              <w:t>(28)</w:t>
            </w:r>
          </w:p>
          <w:p>
            <w:pPr>
              <w:pStyle w:val="Normal"/>
              <w:rPr/>
            </w:pPr>
            <w:r>
              <w:rPr/>
            </w:r>
          </w:p>
        </w:tc>
      </w:tr>
    </w:tbl>
    <w:p>
      <w:pPr>
        <w:pStyle w:val="Normal"/>
        <w:ind w:firstLine="225"/>
        <w:jc w:val="both"/>
        <w:rPr/>
      </w:pPr>
      <w:r>
        <w:rPr/>
      </w:r>
    </w:p>
    <w:p>
      <w:pPr>
        <w:pStyle w:val="Normal"/>
        <w:ind w:firstLine="810"/>
        <w:jc w:val="both"/>
        <w:rPr/>
      </w:pPr>
      <w:r>
        <w:rPr/>
      </w:r>
    </w:p>
    <w:tbl>
      <w:tblPr>
        <w:tblW w:w="5190" w:type="dxa"/>
        <w:jc w:val="start"/>
        <w:tblInd w:w="15" w:type="dxa"/>
        <w:tblBorders/>
        <w:tblCellMar>
          <w:top w:w="0" w:type="dxa"/>
          <w:start w:w="15" w:type="dxa"/>
          <w:bottom w:w="0" w:type="dxa"/>
          <w:end w:w="15" w:type="dxa"/>
        </w:tblCellMar>
      </w:tblPr>
      <w:tblGrid>
        <w:gridCol w:w="1905"/>
        <w:gridCol w:w="495"/>
        <w:gridCol w:w="1530"/>
        <w:gridCol w:w="1260"/>
      </w:tblGrid>
      <w:tr>
        <w:trPr/>
        <w:tc>
          <w:tcPr>
            <w:tcW w:w="1905" w:type="dxa"/>
            <w:tcBorders/>
            <w:shd w:fill="auto" w:val="clear"/>
          </w:tcPr>
          <w:p>
            <w:pPr>
              <w:pStyle w:val="Normal"/>
              <w:rPr>
                <w:vanish/>
              </w:rPr>
            </w:pPr>
            <w:r>
              <w:rPr>
                <w:vanish/>
              </w:rPr>
              <w:t>#G0</w:t>
            </w:r>
          </w:p>
          <w:p>
            <w:pPr>
              <w:pStyle w:val="Normal"/>
              <w:rPr/>
            </w:pPr>
            <w:r>
              <w:rPr/>
              <w:t xml:space="preserve">перманганата калия </w:t>
            </w:r>
          </w:p>
          <w:p>
            <w:pPr>
              <w:pStyle w:val="Normal"/>
              <w:rPr/>
            </w:pPr>
            <w:r>
              <w:rPr/>
              <w:t xml:space="preserve">          </w:t>
            </w:r>
          </w:p>
          <w:p>
            <w:pPr>
              <w:pStyle w:val="Normal"/>
              <w:rPr/>
            </w:pPr>
            <w:r>
              <w:rPr/>
            </w:r>
          </w:p>
        </w:tc>
        <w:tc>
          <w:tcPr>
            <w:tcW w:w="495" w:type="dxa"/>
            <w:tcBorders/>
            <w:shd w:fill="auto" w:val="clear"/>
          </w:tcPr>
          <w:p>
            <w:pPr>
              <w:pStyle w:val="Normal"/>
              <w:rPr/>
            </w:pPr>
            <w:r>
              <w:rPr/>
              <w:t xml:space="preserve">       </w:t>
            </w:r>
          </w:p>
          <w:p>
            <w:pPr>
              <w:pStyle w:val="Normal"/>
              <w:rPr/>
            </w:pPr>
            <w:r>
              <w:rPr/>
              <w:drawing>
                <wp:inline distT="0" distB="0" distL="0" distR="0">
                  <wp:extent cx="207645" cy="184150"/>
                  <wp:effectExtent l="0" t="0" r="0" b="0"/>
                  <wp:docPr id="136" name="Изображение1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Изображение136" descr="" title=""/>
                          <pic:cNvPicPr>
                            <a:picLocks noChangeAspect="1" noChangeArrowheads="1"/>
                          </pic:cNvPicPr>
                        </pic:nvPicPr>
                        <pic:blipFill>
                          <a:blip r:embed="rId137"/>
                          <a:stretch>
                            <a:fillRect/>
                          </a:stretch>
                        </pic:blipFill>
                        <pic:spPr bwMode="auto">
                          <a:xfrm>
                            <a:off x="0" y="0"/>
                            <a:ext cx="207645" cy="184150"/>
                          </a:xfrm>
                          <a:prstGeom prst="rect">
                            <a:avLst/>
                          </a:prstGeom>
                        </pic:spPr>
                      </pic:pic>
                    </a:graphicData>
                  </a:graphic>
                </wp:inline>
              </w:drawing>
            </w:r>
          </w:p>
        </w:tc>
        <w:tc>
          <w:tcPr>
            <w:tcW w:w="1530" w:type="dxa"/>
            <w:tcBorders/>
            <w:shd w:fill="auto" w:val="clear"/>
          </w:tcPr>
          <w:p>
            <w:pPr>
              <w:pStyle w:val="Normal"/>
              <w:rPr/>
            </w:pPr>
            <w:r>
              <w:rPr/>
              <w:t xml:space="preserve"> </w:t>
            </w:r>
          </w:p>
          <w:p>
            <w:pPr>
              <w:pStyle w:val="Normal"/>
              <w:rPr/>
            </w:pPr>
            <w:r>
              <w:rPr/>
              <w:t xml:space="preserve"> </w:t>
            </w:r>
            <w:r>
              <w:rPr/>
              <w:t xml:space="preserve">,мг/л,  считая по </w:t>
            </w:r>
          </w:p>
          <w:p>
            <w:pPr>
              <w:pStyle w:val="Normal"/>
              <w:rPr/>
            </w:pPr>
            <w:r>
              <w:rPr/>
            </w:r>
          </w:p>
        </w:tc>
        <w:tc>
          <w:tcPr>
            <w:tcW w:w="1260" w:type="dxa"/>
            <w:tcBorders/>
            <w:shd w:fill="auto" w:val="clear"/>
          </w:tcPr>
          <w:p>
            <w:pPr>
              <w:pStyle w:val="Normal"/>
              <w:rPr/>
            </w:pPr>
            <w:r>
              <w:rPr/>
              <w:t xml:space="preserve">  </w:t>
            </w:r>
          </w:p>
          <w:p>
            <w:pPr>
              <w:pStyle w:val="Normal"/>
              <w:rPr/>
            </w:pPr>
            <w:r>
              <w:rPr/>
              <w:drawing>
                <wp:inline distT="0" distB="0" distL="0" distR="0">
                  <wp:extent cx="506730" cy="184150"/>
                  <wp:effectExtent l="0" t="0" r="0" b="0"/>
                  <wp:docPr id="137" name="Изображение1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137" descr="" title=""/>
                          <pic:cNvPicPr>
                            <a:picLocks noChangeAspect="1" noChangeArrowheads="1"/>
                          </pic:cNvPicPr>
                        </pic:nvPicPr>
                        <pic:blipFill>
                          <a:blip r:embed="rId138"/>
                          <a:stretch>
                            <a:fillRect/>
                          </a:stretch>
                        </pic:blipFill>
                        <pic:spPr bwMode="auto">
                          <a:xfrm>
                            <a:off x="0" y="0"/>
                            <a:ext cx="506730" cy="184150"/>
                          </a:xfrm>
                          <a:prstGeom prst="rect">
                            <a:avLst/>
                          </a:prstGeom>
                        </pic:spPr>
                      </pic:pic>
                    </a:graphicData>
                  </a:graphic>
                </wp:inline>
              </w:drawing>
            </w:r>
          </w:p>
        </w:tc>
      </w:tr>
    </w:tbl>
    <w:p>
      <w:pPr>
        <w:pStyle w:val="Normal"/>
        <w:ind w:firstLine="405"/>
        <w:jc w:val="both"/>
        <w:rPr/>
      </w:pPr>
      <w:r>
        <w:rPr/>
      </w:r>
    </w:p>
    <w:tbl>
      <w:tblPr>
        <w:tblW w:w="5955" w:type="dxa"/>
        <w:jc w:val="start"/>
        <w:tblInd w:w="3510" w:type="dxa"/>
        <w:tblBorders/>
        <w:tblCellMar>
          <w:top w:w="0" w:type="dxa"/>
          <w:start w:w="15" w:type="dxa"/>
          <w:bottom w:w="0" w:type="dxa"/>
          <w:end w:w="15" w:type="dxa"/>
        </w:tblCellMar>
      </w:tblPr>
      <w:tblGrid>
        <w:gridCol w:w="1950"/>
        <w:gridCol w:w="4005"/>
      </w:tblGrid>
      <w:tr>
        <w:trPr/>
        <w:tc>
          <w:tcPr>
            <w:tcW w:w="1950" w:type="dxa"/>
            <w:tcBorders/>
            <w:shd w:fill="auto" w:val="clear"/>
          </w:tcPr>
          <w:p>
            <w:pPr>
              <w:pStyle w:val="Normal"/>
              <w:rPr/>
            </w:pPr>
            <w:r>
              <w:rPr>
                <w:vanish/>
              </w:rPr>
              <w:t>#G0</w:t>
            </w:r>
            <w:r>
              <w:rPr/>
              <w:t xml:space="preserve">  </w:t>
            </w:r>
          </w:p>
          <w:p>
            <w:pPr>
              <w:pStyle w:val="Normal"/>
              <w:rPr/>
            </w:pPr>
            <w:r>
              <w:rPr/>
              <w:drawing>
                <wp:inline distT="0" distB="0" distL="0" distR="0">
                  <wp:extent cx="771525" cy="207645"/>
                  <wp:effectExtent l="0" t="0" r="0" b="0"/>
                  <wp:docPr id="138" name="Изображение1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Изображение138" descr="" title=""/>
                          <pic:cNvPicPr>
                            <a:picLocks noChangeAspect="1" noChangeArrowheads="1"/>
                          </pic:cNvPicPr>
                        </pic:nvPicPr>
                        <pic:blipFill>
                          <a:blip r:embed="rId139"/>
                          <a:stretch>
                            <a:fillRect/>
                          </a:stretch>
                        </pic:blipFill>
                        <pic:spPr bwMode="auto">
                          <a:xfrm>
                            <a:off x="0" y="0"/>
                            <a:ext cx="771525" cy="207645"/>
                          </a:xfrm>
                          <a:prstGeom prst="rect">
                            <a:avLst/>
                          </a:prstGeom>
                        </pic:spPr>
                      </pic:pic>
                    </a:graphicData>
                  </a:graphic>
                </wp:inline>
              </w:drawing>
            </w:r>
          </w:p>
        </w:tc>
        <w:tc>
          <w:tcPr>
            <w:tcW w:w="4005" w:type="dxa"/>
            <w:tcBorders/>
            <w:shd w:fill="auto" w:val="clear"/>
          </w:tcPr>
          <w:p>
            <w:pPr>
              <w:pStyle w:val="Normal"/>
              <w:rPr/>
            </w:pPr>
            <w:r>
              <w:rPr/>
              <w:t xml:space="preserve">  </w:t>
            </w:r>
          </w:p>
          <w:p>
            <w:pPr>
              <w:pStyle w:val="Normal"/>
              <w:rPr/>
            </w:pPr>
            <w:r>
              <w:rPr/>
              <w:t xml:space="preserve">                                                                           </w:t>
            </w:r>
            <w:r>
              <w:rPr/>
              <w:t>(29)</w:t>
            </w:r>
          </w:p>
          <w:p>
            <w:pPr>
              <w:pStyle w:val="Normal"/>
              <w:rPr/>
            </w:pPr>
            <w:r>
              <w:rPr/>
            </w:r>
          </w:p>
        </w:tc>
      </w:tr>
    </w:tbl>
    <w:p>
      <w:pPr>
        <w:pStyle w:val="Normal"/>
        <w:jc w:val="both"/>
        <w:rPr/>
      </w:pPr>
      <w:r>
        <w:rPr/>
      </w:r>
    </w:p>
    <w:p>
      <w:pPr>
        <w:pStyle w:val="Normal"/>
        <w:ind w:firstLine="900"/>
        <w:jc w:val="both"/>
        <w:rPr/>
      </w:pPr>
      <w:r>
        <w:rPr/>
      </w:r>
    </w:p>
    <w:p>
      <w:pPr>
        <w:pStyle w:val="Normal"/>
        <w:ind w:firstLine="270"/>
        <w:jc w:val="both"/>
        <w:rPr/>
      </w:pPr>
      <w:r>
        <w:rPr/>
        <w:t>Ввод реагентов-окислителей следует производить в подающий трубопровод перед фильтрами.</w:t>
      </w:r>
    </w:p>
    <w:p>
      <w:pPr>
        <w:pStyle w:val="Normal"/>
        <w:ind w:firstLine="225"/>
        <w:jc w:val="both"/>
        <w:rPr/>
      </w:pPr>
      <w:r>
        <w:rPr/>
      </w:r>
    </w:p>
    <w:p>
      <w:pPr>
        <w:pStyle w:val="Normal"/>
        <w:ind w:firstLine="270"/>
        <w:jc w:val="both"/>
        <w:rPr/>
      </w:pPr>
      <w:r>
        <w:rPr/>
        <w:t>6.182. Конструкцию фильтров для обезжелезивания подземных вод следует принимать аналогично фильтрам для осветления воды; характеристику фильтрующего слоя и скорость фильтрования при упрощенной аэрации надлежит принимать по табл. 29, при использовании аэраторов или введении реагентов-окислителей - по табл. 21.</w:t>
      </w:r>
    </w:p>
    <w:p>
      <w:pPr>
        <w:pStyle w:val="Normal"/>
        <w:ind w:firstLine="270"/>
        <w:jc w:val="both"/>
        <w:rPr/>
      </w:pPr>
      <w:r>
        <w:rPr/>
      </w:r>
    </w:p>
    <w:p>
      <w:pPr>
        <w:pStyle w:val="Normal"/>
        <w:ind w:firstLine="225"/>
        <w:jc w:val="both"/>
        <w:rPr/>
      </w:pPr>
      <w:r>
        <w:rPr/>
        <w:t xml:space="preserve">6.183. Обезжелезивание воды поверхностных источников следует предусматривать одновременно с ее осветлением и обесцвечиванием (пп. 6.2-6.117), при этом дозу извести, Ди, мг/л, считая по СаО, следует определять по формуле </w:t>
      </w:r>
    </w:p>
    <w:p>
      <w:pPr>
        <w:pStyle w:val="Normal"/>
        <w:ind w:firstLine="450"/>
        <w:jc w:val="both"/>
        <w:rPr/>
      </w:pPr>
      <w:r>
        <w:rPr/>
      </w:r>
    </w:p>
    <w:p>
      <w:pPr>
        <w:pStyle w:val="Normal"/>
        <w:ind w:firstLine="225"/>
        <w:jc w:val="both"/>
        <w:rPr/>
      </w:pPr>
      <w:r>
        <w:rPr/>
      </w:r>
    </w:p>
    <w:p>
      <w:pPr>
        <w:pStyle w:val="Normal"/>
        <w:ind w:firstLine="270"/>
        <w:jc w:val="both"/>
        <w:rPr/>
      </w:pPr>
      <w:r>
        <w:rPr/>
        <w:drawing>
          <wp:inline distT="0" distB="0" distL="0" distR="0">
            <wp:extent cx="4481195" cy="207645"/>
            <wp:effectExtent l="0" t="0" r="0" b="0"/>
            <wp:docPr id="139" name="Изображение1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139" descr="" title=""/>
                    <pic:cNvPicPr>
                      <a:picLocks noChangeAspect="1" noChangeArrowheads="1"/>
                    </pic:cNvPicPr>
                  </pic:nvPicPr>
                  <pic:blipFill>
                    <a:blip r:embed="rId140"/>
                    <a:stretch>
                      <a:fillRect/>
                    </a:stretch>
                  </pic:blipFill>
                  <pic:spPr bwMode="auto">
                    <a:xfrm>
                      <a:off x="0" y="0"/>
                      <a:ext cx="4481195" cy="207645"/>
                    </a:xfrm>
                    <a:prstGeom prst="rect">
                      <a:avLst/>
                    </a:prstGeom>
                  </pic:spPr>
                </pic:pic>
              </a:graphicData>
            </a:graphic>
          </wp:inline>
        </w:drawing>
      </w:r>
    </w:p>
    <w:tbl>
      <w:tblPr>
        <w:tblW w:w="8100" w:type="dxa"/>
        <w:jc w:val="start"/>
        <w:tblInd w:w="165" w:type="dxa"/>
        <w:tblBorders/>
        <w:tblCellMar>
          <w:top w:w="0" w:type="dxa"/>
          <w:start w:w="15" w:type="dxa"/>
          <w:bottom w:w="0" w:type="dxa"/>
          <w:end w:w="15" w:type="dxa"/>
        </w:tblCellMar>
      </w:tblPr>
      <w:tblGrid>
        <w:gridCol w:w="450"/>
        <w:gridCol w:w="750"/>
        <w:gridCol w:w="6900"/>
      </w:tblGrid>
      <w:tr>
        <w:trPr/>
        <w:tc>
          <w:tcPr>
            <w:tcW w:w="450" w:type="dxa"/>
            <w:tcBorders/>
            <w:shd w:fill="auto" w:val="clear"/>
          </w:tcPr>
          <w:p>
            <w:pPr>
              <w:pStyle w:val="Normal"/>
              <w:rPr/>
            </w:pPr>
            <w:r>
              <w:rPr>
                <w:vanish/>
              </w:rPr>
              <w:t>#G0</w:t>
            </w:r>
            <w:r>
              <w:rPr/>
              <w:t xml:space="preserve">       где </w:t>
            </w:r>
          </w:p>
          <w:p>
            <w:pPr>
              <w:pStyle w:val="Normal"/>
              <w:rPr/>
            </w:pPr>
            <w:r>
              <w:rPr/>
            </w:r>
          </w:p>
        </w:tc>
        <w:tc>
          <w:tcPr>
            <w:tcW w:w="750" w:type="dxa"/>
            <w:tcBorders/>
            <w:shd w:fill="auto" w:val="clear"/>
          </w:tcPr>
          <w:p>
            <w:pPr>
              <w:pStyle w:val="Normal"/>
              <w:rPr/>
            </w:pPr>
            <w:r>
              <w:rPr/>
              <w:t xml:space="preserve">  </w:t>
            </w:r>
          </w:p>
          <w:p>
            <w:pPr>
              <w:pStyle w:val="Normal"/>
              <w:rPr/>
            </w:pPr>
            <w:r>
              <w:rPr/>
              <w:drawing>
                <wp:inline distT="0" distB="0" distL="0" distR="0">
                  <wp:extent cx="276225" cy="184150"/>
                  <wp:effectExtent l="0" t="0" r="0" b="0"/>
                  <wp:docPr id="140" name="Изображение1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140" descr="" title=""/>
                          <pic:cNvPicPr>
                            <a:picLocks noChangeAspect="1" noChangeArrowheads="1"/>
                          </pic:cNvPicPr>
                        </pic:nvPicPr>
                        <pic:blipFill>
                          <a:blip r:embed="rId141"/>
                          <a:stretch>
                            <a:fillRect/>
                          </a:stretch>
                        </pic:blipFill>
                        <pic:spPr bwMode="auto">
                          <a:xfrm>
                            <a:off x="0" y="0"/>
                            <a:ext cx="276225" cy="184150"/>
                          </a:xfrm>
                          <a:prstGeom prst="rect">
                            <a:avLst/>
                          </a:prstGeom>
                        </pic:spPr>
                      </pic:pic>
                    </a:graphicData>
                  </a:graphic>
                </wp:inline>
              </w:drawing>
            </w:r>
            <w:r>
              <w:rPr/>
              <w:t xml:space="preserve">     </w:t>
            </w:r>
          </w:p>
          <w:p>
            <w:pPr>
              <w:pStyle w:val="Normal"/>
              <w:rPr/>
            </w:pPr>
            <w:r>
              <w:rPr/>
            </w:r>
          </w:p>
        </w:tc>
        <w:tc>
          <w:tcPr>
            <w:tcW w:w="6900" w:type="dxa"/>
            <w:tcBorders/>
            <w:shd w:fill="auto" w:val="clear"/>
          </w:tcPr>
          <w:p>
            <w:pPr>
              <w:pStyle w:val="Normal"/>
              <w:rPr/>
            </w:pPr>
            <w:r>
              <w:rPr/>
              <w:t xml:space="preserve">  </w:t>
            </w:r>
          </w:p>
          <w:p>
            <w:pPr>
              <w:pStyle w:val="Normal"/>
              <w:jc w:val="both"/>
              <w:rPr/>
            </w:pPr>
            <w:r>
              <w:rPr/>
              <w:t xml:space="preserve">- содержание свободной двуокиси углерода в исходной воде, мг/л; </w:t>
            </w:r>
          </w:p>
          <w:p>
            <w:pPr>
              <w:pStyle w:val="Normal"/>
              <w:jc w:val="both"/>
              <w:rPr/>
            </w:pPr>
            <w:r>
              <w:rPr/>
            </w:r>
          </w:p>
        </w:tc>
      </w:tr>
      <w:tr>
        <w:trPr/>
        <w:tc>
          <w:tcPr>
            <w:tcW w:w="450" w:type="dxa"/>
            <w:tcBorders/>
            <w:shd w:fill="auto" w:val="clear"/>
          </w:tcPr>
          <w:p>
            <w:pPr>
              <w:pStyle w:val="Normal"/>
              <w:rPr/>
            </w:pPr>
            <w:r>
              <w:rPr/>
              <w:t xml:space="preserve">  </w:t>
            </w:r>
          </w:p>
          <w:p>
            <w:pPr>
              <w:pStyle w:val="Normal"/>
              <w:rPr/>
            </w:pPr>
            <w:r>
              <w:rPr/>
            </w:r>
          </w:p>
        </w:tc>
        <w:tc>
          <w:tcPr>
            <w:tcW w:w="750" w:type="dxa"/>
            <w:tcBorders/>
            <w:shd w:fill="auto" w:val="clear"/>
          </w:tcPr>
          <w:p>
            <w:pPr>
              <w:pStyle w:val="Normal"/>
              <w:rPr/>
            </w:pPr>
            <w:r>
              <w:rPr/>
              <w:drawing>
                <wp:inline distT="0" distB="0" distL="0" distR="0">
                  <wp:extent cx="345440" cy="207645"/>
                  <wp:effectExtent l="0" t="0" r="0" b="0"/>
                  <wp:docPr id="141" name="Изображение1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Изображение141" descr="" title=""/>
                          <pic:cNvPicPr>
                            <a:picLocks noChangeAspect="1" noChangeArrowheads="1"/>
                          </pic:cNvPicPr>
                        </pic:nvPicPr>
                        <pic:blipFill>
                          <a:blip r:embed="rId142"/>
                          <a:stretch>
                            <a:fillRect/>
                          </a:stretch>
                        </pic:blipFill>
                        <pic:spPr bwMode="auto">
                          <a:xfrm>
                            <a:off x="0" y="0"/>
                            <a:ext cx="345440" cy="207645"/>
                          </a:xfrm>
                          <a:prstGeom prst="rect">
                            <a:avLst/>
                          </a:prstGeom>
                        </pic:spPr>
                      </pic:pic>
                    </a:graphicData>
                  </a:graphic>
                </wp:inline>
              </w:drawing>
            </w:r>
            <w:r>
              <w:rPr/>
              <w:t xml:space="preserve">  </w:t>
            </w:r>
          </w:p>
          <w:p>
            <w:pPr>
              <w:pStyle w:val="Normal"/>
              <w:rPr/>
            </w:pPr>
            <w:r>
              <w:rPr/>
            </w:r>
          </w:p>
        </w:tc>
        <w:tc>
          <w:tcPr>
            <w:tcW w:w="6900" w:type="dxa"/>
            <w:tcBorders/>
            <w:shd w:fill="auto" w:val="clear"/>
          </w:tcPr>
          <w:p>
            <w:pPr>
              <w:pStyle w:val="Normal"/>
              <w:jc w:val="both"/>
              <w:rPr/>
            </w:pPr>
            <w:r>
              <w:rPr/>
              <w:t>- содержание двухвалентного железа в исходной воде, мг/л;</w:t>
            </w:r>
          </w:p>
          <w:p>
            <w:pPr>
              <w:pStyle w:val="Normal"/>
              <w:rPr/>
            </w:pPr>
            <w:r>
              <w:rPr/>
              <w:t xml:space="preserve">  </w:t>
            </w:r>
          </w:p>
          <w:p>
            <w:pPr>
              <w:pStyle w:val="Normal"/>
              <w:rPr/>
            </w:pPr>
            <w:r>
              <w:rPr/>
            </w:r>
          </w:p>
        </w:tc>
      </w:tr>
      <w:tr>
        <w:trPr/>
        <w:tc>
          <w:tcPr>
            <w:tcW w:w="450" w:type="dxa"/>
            <w:tcBorders/>
            <w:shd w:fill="auto" w:val="clear"/>
          </w:tcPr>
          <w:p>
            <w:pPr>
              <w:pStyle w:val="Normal"/>
              <w:rPr/>
            </w:pPr>
            <w:r>
              <w:rPr/>
              <w:t xml:space="preserve">  </w:t>
            </w:r>
          </w:p>
          <w:p>
            <w:pPr>
              <w:pStyle w:val="Normal"/>
              <w:rPr/>
            </w:pPr>
            <w:r>
              <w:rPr/>
            </w:r>
          </w:p>
        </w:tc>
        <w:tc>
          <w:tcPr>
            <w:tcW w:w="750" w:type="dxa"/>
            <w:tcBorders/>
            <w:shd w:fill="auto" w:val="clear"/>
          </w:tcPr>
          <w:p>
            <w:pPr>
              <w:pStyle w:val="Normal"/>
              <w:rPr/>
            </w:pPr>
            <w:r>
              <w:rPr/>
              <w:drawing>
                <wp:inline distT="0" distB="0" distL="0" distR="0">
                  <wp:extent cx="207645" cy="184150"/>
                  <wp:effectExtent l="0" t="0" r="0" b="0"/>
                  <wp:docPr id="142" name="Изображение1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Изображение142" descr="" title=""/>
                          <pic:cNvPicPr>
                            <a:picLocks noChangeAspect="1" noChangeArrowheads="1"/>
                          </pic:cNvPicPr>
                        </pic:nvPicPr>
                        <pic:blipFill>
                          <a:blip r:embed="rId143"/>
                          <a:stretch>
                            <a:fillRect/>
                          </a:stretch>
                        </pic:blipFill>
                        <pic:spPr bwMode="auto">
                          <a:xfrm>
                            <a:off x="0" y="0"/>
                            <a:ext cx="207645" cy="184150"/>
                          </a:xfrm>
                          <a:prstGeom prst="rect">
                            <a:avLst/>
                          </a:prstGeom>
                        </pic:spPr>
                      </pic:pic>
                    </a:graphicData>
                  </a:graphic>
                </wp:inline>
              </w:drawing>
            </w:r>
            <w:r>
              <w:rPr/>
              <w:t xml:space="preserve"> </w:t>
            </w:r>
          </w:p>
          <w:p>
            <w:pPr>
              <w:pStyle w:val="Normal"/>
              <w:rPr/>
            </w:pPr>
            <w:r>
              <w:rPr/>
            </w:r>
          </w:p>
        </w:tc>
        <w:tc>
          <w:tcPr>
            <w:tcW w:w="6900" w:type="dxa"/>
            <w:tcBorders/>
            <w:shd w:fill="auto" w:val="clear"/>
          </w:tcPr>
          <w:p>
            <w:pPr>
              <w:pStyle w:val="Normal"/>
              <w:jc w:val="both"/>
              <w:rPr/>
            </w:pPr>
            <w:r>
              <w:rPr/>
              <w:t xml:space="preserve">- доза коагулянта (по безводному веществу), мг/л; </w:t>
            </w:r>
          </w:p>
          <w:p>
            <w:pPr>
              <w:pStyle w:val="Normal"/>
              <w:rPr/>
            </w:pPr>
            <w:r>
              <w:rPr/>
              <w:t xml:space="preserve">  </w:t>
            </w:r>
          </w:p>
          <w:p>
            <w:pPr>
              <w:pStyle w:val="Normal"/>
              <w:rPr/>
            </w:pPr>
            <w:r>
              <w:rPr/>
            </w:r>
          </w:p>
        </w:tc>
      </w:tr>
      <w:tr>
        <w:trPr/>
        <w:tc>
          <w:tcPr>
            <w:tcW w:w="450" w:type="dxa"/>
            <w:tcBorders/>
            <w:shd w:fill="auto" w:val="clear"/>
          </w:tcPr>
          <w:p>
            <w:pPr>
              <w:pStyle w:val="Normal"/>
              <w:rPr/>
            </w:pPr>
            <w:r>
              <w:rPr/>
              <w:t xml:space="preserve">  </w:t>
            </w:r>
          </w:p>
          <w:p>
            <w:pPr>
              <w:pStyle w:val="Normal"/>
              <w:rPr/>
            </w:pPr>
            <w:r>
              <w:rPr/>
            </w:r>
          </w:p>
        </w:tc>
        <w:tc>
          <w:tcPr>
            <w:tcW w:w="750" w:type="dxa"/>
            <w:tcBorders/>
            <w:shd w:fill="auto" w:val="clear"/>
          </w:tcPr>
          <w:p>
            <w:pPr>
              <w:pStyle w:val="Normal"/>
              <w:rPr/>
            </w:pPr>
            <w:r>
              <w:rPr/>
              <w:drawing>
                <wp:inline distT="0" distB="0" distL="0" distR="0">
                  <wp:extent cx="149860" cy="184150"/>
                  <wp:effectExtent l="0" t="0" r="0" b="0"/>
                  <wp:docPr id="143" name="Изображение1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143" descr="" title=""/>
                          <pic:cNvPicPr>
                            <a:picLocks noChangeAspect="1" noChangeArrowheads="1"/>
                          </pic:cNvPicPr>
                        </pic:nvPicPr>
                        <pic:blipFill>
                          <a:blip r:embed="rId144"/>
                          <a:stretch>
                            <a:fillRect/>
                          </a:stretch>
                        </pic:blipFill>
                        <pic:spPr bwMode="auto">
                          <a:xfrm>
                            <a:off x="0" y="0"/>
                            <a:ext cx="149860" cy="184150"/>
                          </a:xfrm>
                          <a:prstGeom prst="rect">
                            <a:avLst/>
                          </a:prstGeom>
                        </pic:spPr>
                      </pic:pic>
                    </a:graphicData>
                  </a:graphic>
                </wp:inline>
              </w:drawing>
            </w:r>
            <w:r>
              <w:rPr/>
              <w:t xml:space="preserve">  </w:t>
            </w:r>
          </w:p>
          <w:p>
            <w:pPr>
              <w:pStyle w:val="Normal"/>
              <w:rPr/>
            </w:pPr>
            <w:r>
              <w:rPr/>
            </w:r>
          </w:p>
        </w:tc>
        <w:tc>
          <w:tcPr>
            <w:tcW w:w="6900" w:type="dxa"/>
            <w:tcBorders/>
            <w:shd w:fill="auto" w:val="clear"/>
          </w:tcPr>
          <w:p>
            <w:pPr>
              <w:pStyle w:val="Normal"/>
              <w:jc w:val="both"/>
              <w:rPr/>
            </w:pPr>
            <w:r>
              <w:rPr/>
              <w:t>- эквивалентная масса коагулянта (безводного), мг/мг-экв.</w:t>
            </w:r>
          </w:p>
          <w:p>
            <w:pPr>
              <w:pStyle w:val="Normal"/>
              <w:jc w:val="both"/>
              <w:rPr/>
            </w:pPr>
            <w:r>
              <w:rPr/>
            </w:r>
          </w:p>
          <w:p>
            <w:pPr>
              <w:pStyle w:val="Normal"/>
              <w:rPr/>
            </w:pPr>
            <w:r>
              <w:rPr/>
              <w:t xml:space="preserve">  </w:t>
            </w:r>
          </w:p>
          <w:p>
            <w:pPr>
              <w:pStyle w:val="Normal"/>
              <w:rPr/>
            </w:pPr>
            <w:r>
              <w:rPr/>
            </w:r>
          </w:p>
        </w:tc>
      </w:tr>
    </w:tbl>
    <w:p>
      <w:pPr>
        <w:pStyle w:val="Normal"/>
        <w:jc w:val="end"/>
        <w:rPr/>
      </w:pPr>
      <w:r>
        <w:rPr/>
      </w:r>
    </w:p>
    <w:p>
      <w:pPr>
        <w:pStyle w:val="Normal"/>
        <w:jc w:val="end"/>
        <w:rPr/>
      </w:pPr>
      <w:r>
        <w:rPr/>
        <w:t xml:space="preserve">  </w:t>
      </w:r>
      <w:r>
        <w:rPr/>
        <w:t xml:space="preserve">Таблица 29 </w:t>
      </w:r>
    </w:p>
    <w:p>
      <w:pPr>
        <w:pStyle w:val="Normal"/>
        <w:ind w:firstLine="270"/>
        <w:jc w:val="both"/>
        <w:rPr/>
      </w:pPr>
      <w:r>
        <w:rPr/>
      </w:r>
    </w:p>
    <w:p>
      <w:pPr>
        <w:pStyle w:val="Normal"/>
        <w:ind w:firstLine="270"/>
        <w:jc w:val="both"/>
        <w:rPr/>
      </w:pPr>
      <w:r>
        <w:rPr/>
      </w:r>
    </w:p>
    <w:tbl>
      <w:tblPr>
        <w:tblW w:w="7910" w:type="dxa"/>
        <w:jc w:val="start"/>
        <w:tblInd w:w="30" w:type="dxa"/>
        <w:tblBorders>
          <w:top w:val="single" w:sz="2" w:space="0" w:color="000000"/>
          <w:start w:val="single" w:sz="2" w:space="0" w:color="000000"/>
          <w:bottom w:val="single" w:sz="2" w:space="0" w:color="000000"/>
          <w:insideH w:val="single" w:sz="2" w:space="0" w:color="000000"/>
        </w:tblBorders>
        <w:tblCellMar>
          <w:top w:w="0" w:type="dxa"/>
          <w:start w:w="27" w:type="dxa"/>
          <w:bottom w:w="0" w:type="dxa"/>
          <w:end w:w="30" w:type="dxa"/>
        </w:tblCellMar>
      </w:tblPr>
      <w:tblGrid>
        <w:gridCol w:w="1305"/>
        <w:gridCol w:w="1380"/>
        <w:gridCol w:w="1410"/>
        <w:gridCol w:w="1545"/>
        <w:gridCol w:w="885"/>
        <w:gridCol w:w="30"/>
        <w:gridCol w:w="1355"/>
      </w:tblGrid>
      <w:tr>
        <w:trPr/>
        <w:tc>
          <w:tcPr>
            <w:tcW w:w="6525" w:type="dxa"/>
            <w:gridSpan w:val="5"/>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jc w:val="center"/>
              <w:rPr/>
            </w:pPr>
            <w:r>
              <w:rPr>
                <w:vanish/>
              </w:rPr>
              <w:t>#G0</w:t>
            </w:r>
            <w:r>
              <w:rPr/>
              <w:t xml:space="preserve">Характеристика фильтрующих слоев при обезжелезивании воды </w:t>
            </w:r>
          </w:p>
          <w:p>
            <w:pPr>
              <w:pStyle w:val="Normal"/>
              <w:jc w:val="center"/>
              <w:rPr/>
            </w:pPr>
            <w:r>
              <w:rPr/>
              <w:t xml:space="preserve">упрощенной аэрацией </w:t>
            </w:r>
          </w:p>
          <w:p>
            <w:pPr>
              <w:pStyle w:val="Normal"/>
              <w:jc w:val="center"/>
              <w:rPr/>
            </w:pPr>
            <w:r>
              <w:rPr/>
            </w:r>
          </w:p>
        </w:tc>
        <w:tc>
          <w:tcPr>
            <w:tcW w:w="1385" w:type="dxa"/>
            <w:gridSpan w:val="2"/>
            <w:tcBorders>
              <w:top w:val="single" w:sz="2" w:space="0" w:color="000000"/>
              <w:start w:val="single" w:sz="2" w:space="0" w:color="000000"/>
              <w:end w:val="single" w:sz="2" w:space="0" w:color="000000"/>
              <w:insideV w:val="single" w:sz="2" w:space="0" w:color="000000"/>
            </w:tcBorders>
            <w:shd w:fill="auto" w:val="clear"/>
            <w:tcMar>
              <w:start w:w="27" w:type="dxa"/>
            </w:tcMar>
          </w:tcPr>
          <w:p>
            <w:pPr>
              <w:pStyle w:val="Normal"/>
              <w:rPr/>
            </w:pPr>
            <w:r>
              <w:rPr/>
              <w:t xml:space="preserve">Расчетная скорость </w:t>
            </w:r>
          </w:p>
          <w:p>
            <w:pPr>
              <w:pStyle w:val="Normal"/>
              <w:rPr/>
            </w:pPr>
            <w:r>
              <w:rPr/>
            </w:r>
          </w:p>
        </w:tc>
      </w:tr>
      <w:tr>
        <w:trPr/>
        <w:tc>
          <w:tcPr>
            <w:tcW w:w="130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Минимальный диаметр зерен, мм </w:t>
            </w:r>
          </w:p>
          <w:p>
            <w:pPr>
              <w:pStyle w:val="Normal"/>
              <w:rPr/>
            </w:pPr>
            <w:r>
              <w:rPr/>
            </w:r>
          </w:p>
        </w:tc>
        <w:tc>
          <w:tcPr>
            <w:tcW w:w="138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Максимальный диаметр зерен, мм </w:t>
            </w:r>
          </w:p>
          <w:p>
            <w:pPr>
              <w:pStyle w:val="Normal"/>
              <w:rPr/>
            </w:pPr>
            <w:r>
              <w:rPr/>
            </w:r>
          </w:p>
        </w:tc>
        <w:tc>
          <w:tcPr>
            <w:tcW w:w="141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Эквивалентный диаметр зерен, мм </w:t>
            </w:r>
          </w:p>
          <w:p>
            <w:pPr>
              <w:pStyle w:val="Normal"/>
              <w:rPr/>
            </w:pPr>
            <w:r>
              <w:rPr/>
            </w:r>
          </w:p>
        </w:tc>
        <w:tc>
          <w:tcPr>
            <w:tcW w:w="154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Коэффициент неоднородности </w:t>
            </w:r>
          </w:p>
          <w:p>
            <w:pPr>
              <w:pStyle w:val="Normal"/>
              <w:rPr/>
            </w:pPr>
            <w:r>
              <w:rPr/>
            </w:r>
          </w:p>
        </w:tc>
        <w:tc>
          <w:tcPr>
            <w:tcW w:w="915" w:type="dxa"/>
            <w:gridSpan w:val="2"/>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Высота слоя, мм </w:t>
            </w:r>
          </w:p>
          <w:p>
            <w:pPr>
              <w:pStyle w:val="Normal"/>
              <w:rPr/>
            </w:pPr>
            <w:r>
              <w:rPr/>
            </w:r>
          </w:p>
        </w:tc>
        <w:tc>
          <w:tcPr>
            <w:tcW w:w="135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фильтрования, м/ч </w:t>
            </w:r>
          </w:p>
          <w:p>
            <w:pPr>
              <w:pStyle w:val="Normal"/>
              <w:rPr/>
            </w:pPr>
            <w:r>
              <w:rPr/>
            </w:r>
          </w:p>
        </w:tc>
      </w:tr>
      <w:tr>
        <w:trPr/>
        <w:tc>
          <w:tcPr>
            <w:tcW w:w="1305" w:type="dxa"/>
            <w:tcBorders>
              <w:start w:val="single" w:sz="2" w:space="0" w:color="000000"/>
            </w:tcBorders>
            <w:shd w:fill="auto" w:val="clear"/>
            <w:tcMar>
              <w:start w:w="27" w:type="dxa"/>
            </w:tcMar>
          </w:tcPr>
          <w:p>
            <w:pPr>
              <w:pStyle w:val="Normal"/>
              <w:rPr/>
            </w:pPr>
            <w:r>
              <w:rPr/>
              <w:t xml:space="preserve">0,8 </w:t>
            </w:r>
          </w:p>
          <w:p>
            <w:pPr>
              <w:pStyle w:val="Normal"/>
              <w:rPr/>
            </w:pPr>
            <w:r>
              <w:rPr/>
            </w:r>
          </w:p>
        </w:tc>
        <w:tc>
          <w:tcPr>
            <w:tcW w:w="1380" w:type="dxa"/>
            <w:tcBorders>
              <w:start w:val="single" w:sz="2" w:space="0" w:color="000000"/>
            </w:tcBorders>
            <w:shd w:fill="auto" w:val="clear"/>
            <w:tcMar>
              <w:start w:w="27" w:type="dxa"/>
            </w:tcMar>
          </w:tcPr>
          <w:p>
            <w:pPr>
              <w:pStyle w:val="Normal"/>
              <w:rPr/>
            </w:pPr>
            <w:r>
              <w:rPr/>
              <w:t xml:space="preserve">1,8 </w:t>
            </w:r>
          </w:p>
          <w:p>
            <w:pPr>
              <w:pStyle w:val="Normal"/>
              <w:rPr/>
            </w:pPr>
            <w:r>
              <w:rPr/>
            </w:r>
          </w:p>
        </w:tc>
        <w:tc>
          <w:tcPr>
            <w:tcW w:w="1410" w:type="dxa"/>
            <w:tcBorders>
              <w:start w:val="single" w:sz="2" w:space="0" w:color="000000"/>
            </w:tcBorders>
            <w:shd w:fill="auto" w:val="clear"/>
            <w:tcMar>
              <w:start w:w="27" w:type="dxa"/>
            </w:tcMar>
          </w:tcPr>
          <w:p>
            <w:pPr>
              <w:pStyle w:val="Normal"/>
              <w:rPr/>
            </w:pPr>
            <w:r>
              <w:rPr/>
              <w:t xml:space="preserve">0,9 - 1,0 </w:t>
            </w:r>
          </w:p>
          <w:p>
            <w:pPr>
              <w:pStyle w:val="Normal"/>
              <w:rPr/>
            </w:pPr>
            <w:r>
              <w:rPr/>
            </w:r>
          </w:p>
        </w:tc>
        <w:tc>
          <w:tcPr>
            <w:tcW w:w="1545" w:type="dxa"/>
            <w:tcBorders>
              <w:start w:val="single" w:sz="2" w:space="0" w:color="000000"/>
            </w:tcBorders>
            <w:shd w:fill="auto" w:val="clear"/>
            <w:tcMar>
              <w:start w:w="27" w:type="dxa"/>
            </w:tcMar>
          </w:tcPr>
          <w:p>
            <w:pPr>
              <w:pStyle w:val="Normal"/>
              <w:rPr/>
            </w:pPr>
            <w:r>
              <w:rPr/>
              <w:t xml:space="preserve">1,5  - 2 </w:t>
            </w:r>
          </w:p>
          <w:p>
            <w:pPr>
              <w:pStyle w:val="Normal"/>
              <w:rPr/>
            </w:pPr>
            <w:r>
              <w:rPr/>
            </w:r>
          </w:p>
        </w:tc>
        <w:tc>
          <w:tcPr>
            <w:tcW w:w="915" w:type="dxa"/>
            <w:gridSpan w:val="2"/>
            <w:tcBorders>
              <w:start w:val="single" w:sz="2" w:space="0" w:color="000000"/>
            </w:tcBorders>
            <w:shd w:fill="auto" w:val="clear"/>
            <w:tcMar>
              <w:start w:w="27" w:type="dxa"/>
            </w:tcMar>
          </w:tcPr>
          <w:p>
            <w:pPr>
              <w:pStyle w:val="Normal"/>
              <w:rPr/>
            </w:pPr>
            <w:r>
              <w:rPr/>
              <w:t xml:space="preserve">1000 </w:t>
            </w:r>
          </w:p>
          <w:p>
            <w:pPr>
              <w:pStyle w:val="Normal"/>
              <w:rPr/>
            </w:pPr>
            <w:r>
              <w:rPr/>
            </w:r>
          </w:p>
        </w:tc>
        <w:tc>
          <w:tcPr>
            <w:tcW w:w="135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5 - 7 </w:t>
            </w:r>
          </w:p>
          <w:p>
            <w:pPr>
              <w:pStyle w:val="Normal"/>
              <w:rPr/>
            </w:pPr>
            <w:r>
              <w:rPr/>
            </w:r>
          </w:p>
        </w:tc>
      </w:tr>
      <w:tr>
        <w:trPr/>
        <w:tc>
          <w:tcPr>
            <w:tcW w:w="1305" w:type="dxa"/>
            <w:tcBorders>
              <w:start w:val="single" w:sz="2" w:space="0" w:color="000000"/>
            </w:tcBorders>
            <w:shd w:fill="auto" w:val="clear"/>
            <w:tcMar>
              <w:start w:w="27" w:type="dxa"/>
            </w:tcMar>
          </w:tcPr>
          <w:p>
            <w:pPr>
              <w:pStyle w:val="Normal"/>
              <w:rPr/>
            </w:pPr>
            <w:r>
              <w:rPr/>
              <w:t xml:space="preserve">1 </w:t>
            </w:r>
          </w:p>
          <w:p>
            <w:pPr>
              <w:pStyle w:val="Normal"/>
              <w:rPr/>
            </w:pPr>
            <w:r>
              <w:rPr/>
            </w:r>
          </w:p>
        </w:tc>
        <w:tc>
          <w:tcPr>
            <w:tcW w:w="1380" w:type="dxa"/>
            <w:tcBorders>
              <w:start w:val="single" w:sz="2" w:space="0" w:color="000000"/>
            </w:tcBorders>
            <w:shd w:fill="auto" w:val="clear"/>
            <w:tcMar>
              <w:start w:w="27" w:type="dxa"/>
            </w:tcMar>
          </w:tcPr>
          <w:p>
            <w:pPr>
              <w:pStyle w:val="Normal"/>
              <w:rPr/>
            </w:pPr>
            <w:r>
              <w:rPr/>
              <w:t xml:space="preserve">2 </w:t>
            </w:r>
          </w:p>
          <w:p>
            <w:pPr>
              <w:pStyle w:val="Normal"/>
              <w:rPr/>
            </w:pPr>
            <w:r>
              <w:rPr/>
            </w:r>
          </w:p>
        </w:tc>
        <w:tc>
          <w:tcPr>
            <w:tcW w:w="1410" w:type="dxa"/>
            <w:tcBorders>
              <w:start w:val="single" w:sz="2" w:space="0" w:color="000000"/>
            </w:tcBorders>
            <w:shd w:fill="auto" w:val="clear"/>
            <w:tcMar>
              <w:start w:w="27" w:type="dxa"/>
            </w:tcMar>
          </w:tcPr>
          <w:p>
            <w:pPr>
              <w:pStyle w:val="Normal"/>
              <w:rPr/>
            </w:pPr>
            <w:r>
              <w:rPr/>
              <w:t xml:space="preserve">1,2 -  1,3 </w:t>
            </w:r>
          </w:p>
          <w:p>
            <w:pPr>
              <w:pStyle w:val="Normal"/>
              <w:rPr/>
            </w:pPr>
            <w:r>
              <w:rPr/>
            </w:r>
          </w:p>
        </w:tc>
        <w:tc>
          <w:tcPr>
            <w:tcW w:w="1545" w:type="dxa"/>
            <w:tcBorders>
              <w:start w:val="single" w:sz="2" w:space="0" w:color="000000"/>
            </w:tcBorders>
            <w:shd w:fill="auto" w:val="clear"/>
            <w:tcMar>
              <w:start w:w="27" w:type="dxa"/>
            </w:tcMar>
          </w:tcPr>
          <w:p>
            <w:pPr>
              <w:pStyle w:val="Normal"/>
              <w:rPr/>
            </w:pPr>
            <w:r>
              <w:rPr/>
              <w:t xml:space="preserve">1,5  - 2 </w:t>
            </w:r>
          </w:p>
          <w:p>
            <w:pPr>
              <w:pStyle w:val="Normal"/>
              <w:rPr/>
            </w:pPr>
            <w:r>
              <w:rPr/>
            </w:r>
          </w:p>
        </w:tc>
        <w:tc>
          <w:tcPr>
            <w:tcW w:w="915" w:type="dxa"/>
            <w:gridSpan w:val="2"/>
            <w:tcBorders>
              <w:start w:val="single" w:sz="2" w:space="0" w:color="000000"/>
            </w:tcBorders>
            <w:shd w:fill="auto" w:val="clear"/>
            <w:tcMar>
              <w:start w:w="27" w:type="dxa"/>
            </w:tcMar>
          </w:tcPr>
          <w:p>
            <w:pPr>
              <w:pStyle w:val="Normal"/>
              <w:rPr/>
            </w:pPr>
            <w:r>
              <w:rPr/>
              <w:t xml:space="preserve">1200 </w:t>
            </w:r>
          </w:p>
          <w:p>
            <w:pPr>
              <w:pStyle w:val="Normal"/>
              <w:rPr/>
            </w:pPr>
            <w:r>
              <w:rPr/>
            </w:r>
          </w:p>
        </w:tc>
        <w:tc>
          <w:tcPr>
            <w:tcW w:w="135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7 - 10 </w:t>
            </w:r>
          </w:p>
          <w:p>
            <w:pPr>
              <w:pStyle w:val="Normal"/>
              <w:rPr/>
            </w:pPr>
            <w:r>
              <w:rPr/>
            </w:r>
          </w:p>
          <w:p>
            <w:pPr>
              <w:pStyle w:val="Normal"/>
              <w:rPr/>
            </w:pPr>
            <w:r>
              <w:rPr/>
            </w:r>
          </w:p>
        </w:tc>
      </w:tr>
      <w:tr>
        <w:trPr/>
        <w:tc>
          <w:tcPr>
            <w:tcW w:w="7910" w:type="dxa"/>
            <w:gridSpan w:val="7"/>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Примечания: 1. При наличии в воде сероводорода надлежит принимать меньшие значения скорости фильтрования.</w:t>
            </w:r>
          </w:p>
          <w:p>
            <w:pPr>
              <w:pStyle w:val="Normal"/>
              <w:rPr/>
            </w:pPr>
            <w:r>
              <w:rPr/>
              <w:t xml:space="preserve">     </w:t>
            </w:r>
          </w:p>
          <w:p>
            <w:pPr>
              <w:pStyle w:val="Normal"/>
              <w:rPr/>
            </w:pPr>
            <w:r>
              <w:rPr/>
              <w:t xml:space="preserve">     </w:t>
            </w:r>
            <w:r>
              <w:rPr/>
              <w:t>2. Количество фильтров надлежит принимать не менее двух.</w:t>
            </w:r>
          </w:p>
          <w:p>
            <w:pPr>
              <w:pStyle w:val="Normal"/>
              <w:rPr/>
            </w:pPr>
            <w:r>
              <w:rPr/>
              <w:t xml:space="preserve">     </w:t>
            </w:r>
          </w:p>
          <w:p>
            <w:pPr>
              <w:pStyle w:val="Normal"/>
              <w:rPr/>
            </w:pPr>
            <w:r>
              <w:rPr/>
              <w:t xml:space="preserve">     </w:t>
            </w:r>
            <w:r>
              <w:rPr/>
              <w:t>3. Для станций производительностью до 100 куб.м/сут с напорными фильтрами при обосновании допускается применение одного фильтра.</w:t>
            </w:r>
          </w:p>
          <w:p>
            <w:pPr>
              <w:pStyle w:val="Normal"/>
              <w:rPr/>
            </w:pPr>
            <w:r>
              <w:rPr/>
              <w:t xml:space="preserve">  </w:t>
            </w:r>
          </w:p>
          <w:p>
            <w:pPr>
              <w:pStyle w:val="Normal"/>
              <w:rPr/>
            </w:pPr>
            <w:r>
              <w:rPr/>
            </w:r>
          </w:p>
        </w:tc>
      </w:tr>
    </w:tbl>
    <w:p>
      <w:pPr>
        <w:pStyle w:val="Normal"/>
        <w:jc w:val="both"/>
        <w:rPr/>
      </w:pPr>
      <w:r>
        <w:rPr/>
      </w:r>
    </w:p>
    <w:p>
      <w:pPr>
        <w:pStyle w:val="Normal"/>
        <w:ind w:firstLine="270"/>
        <w:jc w:val="both"/>
        <w:rPr/>
      </w:pPr>
      <w:r>
        <w:rPr/>
        <w:t>6.184. Система повторного использования промывных вод и устройства для обработки осадка станций обезжелезивания должны приниматься согласно пп. 6.195-6.200.</w:t>
      </w:r>
    </w:p>
    <w:p>
      <w:pPr>
        <w:pStyle w:val="Normal"/>
        <w:ind w:firstLine="45"/>
        <w:jc w:val="both"/>
        <w:rPr/>
      </w:pPr>
      <w:r>
        <w:rPr/>
      </w:r>
    </w:p>
    <w:p>
      <w:pPr>
        <w:pStyle w:val="Normal"/>
        <w:ind w:firstLine="225"/>
        <w:jc w:val="both"/>
        <w:rPr/>
      </w:pPr>
      <w:r>
        <w:rPr/>
      </w:r>
    </w:p>
    <w:p>
      <w:pPr>
        <w:pStyle w:val="Normal"/>
        <w:ind w:firstLine="225"/>
        <w:jc w:val="both"/>
        <w:rPr/>
      </w:pPr>
      <w:r>
        <w:rPr/>
      </w:r>
    </w:p>
    <w:p>
      <w:pPr>
        <w:pStyle w:val="Heading"/>
        <w:jc w:val="center"/>
        <w:rPr/>
      </w:pPr>
      <w:r>
        <w:rPr/>
        <w:t xml:space="preserve">ФТОРИРОВАНИЕ ВОДЫ </w:t>
      </w:r>
    </w:p>
    <w:p>
      <w:pPr>
        <w:pStyle w:val="Normal"/>
        <w:ind w:firstLine="225"/>
        <w:jc w:val="both"/>
        <w:rPr/>
      </w:pPr>
      <w:r>
        <w:rPr/>
      </w:r>
    </w:p>
    <w:p>
      <w:pPr>
        <w:pStyle w:val="Normal"/>
        <w:ind w:firstLine="270"/>
        <w:jc w:val="both"/>
        <w:rPr/>
      </w:pPr>
      <w:r>
        <w:rPr/>
      </w:r>
    </w:p>
    <w:p>
      <w:pPr>
        <w:pStyle w:val="Normal"/>
        <w:ind w:firstLine="270"/>
        <w:jc w:val="both"/>
        <w:rPr/>
      </w:pPr>
      <w:r>
        <w:rPr/>
        <w:t>6.185. Необходимость фторирования воды на хозяйственно-питьевые нужды в каждом отдельном случае определяется органами санитарно-эпидемиологической службы.</w:t>
      </w:r>
    </w:p>
    <w:p>
      <w:pPr>
        <w:pStyle w:val="Normal"/>
        <w:ind w:firstLine="225"/>
        <w:jc w:val="both"/>
        <w:rPr/>
      </w:pPr>
      <w:r>
        <w:rPr/>
      </w:r>
    </w:p>
    <w:p>
      <w:pPr>
        <w:pStyle w:val="Normal"/>
        <w:ind w:firstLine="270"/>
        <w:jc w:val="both"/>
        <w:rPr/>
      </w:pPr>
      <w:r>
        <w:rPr/>
        <w:t>Проектирование установок фторирования воды следует выполнять согласно рекомендуемому прил. 6.</w:t>
      </w:r>
    </w:p>
    <w:p>
      <w:pPr>
        <w:pStyle w:val="Normal"/>
        <w:ind w:firstLine="270"/>
        <w:jc w:val="both"/>
        <w:rPr/>
      </w:pPr>
      <w:r>
        <w:rPr/>
      </w:r>
    </w:p>
    <w:p>
      <w:pPr>
        <w:pStyle w:val="Normal"/>
        <w:ind w:firstLine="225"/>
        <w:jc w:val="both"/>
        <w:rPr/>
      </w:pPr>
      <w:r>
        <w:rPr/>
      </w:r>
    </w:p>
    <w:p>
      <w:pPr>
        <w:pStyle w:val="Heading"/>
        <w:jc w:val="center"/>
        <w:rPr/>
      </w:pPr>
      <w:r>
        <w:rPr/>
        <w:t>УДАЛЕНИЕ ИЗ ВОДЫ МАРГАНЦА,</w:t>
      </w:r>
    </w:p>
    <w:p>
      <w:pPr>
        <w:pStyle w:val="Heading"/>
        <w:jc w:val="center"/>
        <w:rPr/>
      </w:pPr>
      <w:r>
        <w:rPr/>
        <w:t>ФТОРА И СЕРОВОДОРОДА</w:t>
      </w:r>
    </w:p>
    <w:p>
      <w:pPr>
        <w:pStyle w:val="Heading"/>
        <w:jc w:val="center"/>
        <w:rPr/>
      </w:pPr>
      <w:r>
        <w:rPr/>
      </w:r>
    </w:p>
    <w:p>
      <w:pPr>
        <w:pStyle w:val="Normal"/>
        <w:ind w:firstLine="270"/>
        <w:jc w:val="both"/>
        <w:rPr/>
      </w:pPr>
      <w:r>
        <w:rPr/>
      </w:r>
    </w:p>
    <w:p>
      <w:pPr>
        <w:pStyle w:val="Normal"/>
        <w:ind w:firstLine="270"/>
        <w:jc w:val="both"/>
        <w:rPr/>
      </w:pPr>
      <w:r>
        <w:rPr/>
        <w:t>6.186. Выбор методов очистки воды, расчетных параметров сооружений, а также вида и доз реагентов надлежит осуществлять на основании технологических изысканий, проводимых непосредственно у источника водоснабжения (для вод, содержащих избыточные количества марганца и сероводорода).</w:t>
      </w:r>
    </w:p>
    <w:p>
      <w:pPr>
        <w:pStyle w:val="Normal"/>
        <w:ind w:firstLine="135"/>
        <w:jc w:val="both"/>
        <w:rPr/>
      </w:pPr>
      <w:r>
        <w:rPr/>
      </w:r>
    </w:p>
    <w:p>
      <w:pPr>
        <w:pStyle w:val="Normal"/>
        <w:ind w:firstLine="225"/>
        <w:jc w:val="both"/>
        <w:rPr/>
      </w:pPr>
      <w:r>
        <w:rPr/>
        <w:t>6.187. Очистку воды от марганца следует производить безреагентным методом или с применением реагентов.</w:t>
      </w:r>
    </w:p>
    <w:p>
      <w:pPr>
        <w:pStyle w:val="Normal"/>
        <w:ind w:firstLine="225"/>
        <w:jc w:val="both"/>
        <w:rPr/>
      </w:pPr>
      <w:r>
        <w:rPr/>
      </w:r>
    </w:p>
    <w:p>
      <w:pPr>
        <w:pStyle w:val="Normal"/>
        <w:ind w:firstLine="225"/>
        <w:jc w:val="both"/>
        <w:rPr/>
      </w:pPr>
      <w:r>
        <w:rPr/>
        <w:t>В случае если безреагентный метод не обеспечивает требуемую степень очистки, следует предусматривать обработку воды реагентами-окислителями (перманганат калия, озон и др.) с введением флокулянта и последующим фильтрованием.</w:t>
      </w:r>
    </w:p>
    <w:p>
      <w:pPr>
        <w:pStyle w:val="Normal"/>
        <w:ind w:firstLine="225"/>
        <w:jc w:val="both"/>
        <w:rPr/>
      </w:pPr>
      <w:r>
        <w:rPr/>
      </w:r>
    </w:p>
    <w:p>
      <w:pPr>
        <w:pStyle w:val="Normal"/>
        <w:ind w:firstLine="225"/>
        <w:jc w:val="both"/>
        <w:rPr/>
      </w:pPr>
      <w:r>
        <w:rPr/>
        <w:t xml:space="preserve">При использовании подземных вод, в которых марганец присутствует совместно с железом, надлежит проверить возможность удаления его непосредственно в процессе обезжелезивания без дополнительного применения реагентов. </w:t>
      </w:r>
    </w:p>
    <w:p>
      <w:pPr>
        <w:pStyle w:val="Normal"/>
        <w:ind w:firstLine="225"/>
        <w:jc w:val="both"/>
        <w:rPr/>
      </w:pPr>
      <w:r>
        <w:rPr/>
      </w:r>
    </w:p>
    <w:p>
      <w:pPr>
        <w:pStyle w:val="Normal"/>
        <w:ind w:firstLine="270"/>
        <w:jc w:val="both"/>
        <w:rPr/>
      </w:pPr>
      <w:r>
        <w:rPr/>
        <w:t>6.188. Обесфторивание воды надлежит производить методами контактно-сорбционной коагуляции или с использованием сорбента  - активной окиси алюминия.</w:t>
      </w:r>
    </w:p>
    <w:p>
      <w:pPr>
        <w:pStyle w:val="Normal"/>
        <w:ind w:firstLine="225"/>
        <w:jc w:val="both"/>
        <w:rPr/>
      </w:pPr>
      <w:r>
        <w:rPr/>
      </w:r>
    </w:p>
    <w:p>
      <w:pPr>
        <w:pStyle w:val="Normal"/>
        <w:ind w:firstLine="225"/>
        <w:jc w:val="both"/>
        <w:rPr/>
      </w:pPr>
      <w:r>
        <w:rPr/>
        <w:t>Метод контактно-сорбционной коагуляции следует применять при концентрации фтора в воде до 5 мг/л; с помощью сорбента (активной окиси алюминия)  - при концентрации фтора до 10 мг/л.</w:t>
      </w:r>
    </w:p>
    <w:p>
      <w:pPr>
        <w:pStyle w:val="Normal"/>
        <w:ind w:firstLine="225"/>
        <w:jc w:val="both"/>
        <w:rPr/>
      </w:pPr>
      <w:r>
        <w:rPr/>
      </w:r>
    </w:p>
    <w:p>
      <w:pPr>
        <w:pStyle w:val="Normal"/>
        <w:ind w:firstLine="270"/>
        <w:jc w:val="both"/>
        <w:rPr/>
      </w:pPr>
      <w:r>
        <w:rPr/>
        <w:t>При обосновании допускается применение других методов.</w:t>
      </w:r>
    </w:p>
    <w:p>
      <w:pPr>
        <w:pStyle w:val="Normal"/>
        <w:ind w:firstLine="225"/>
        <w:jc w:val="both"/>
        <w:rPr/>
      </w:pPr>
      <w:r>
        <w:rPr/>
      </w:r>
    </w:p>
    <w:p>
      <w:pPr>
        <w:pStyle w:val="Normal"/>
        <w:ind w:firstLine="270"/>
        <w:jc w:val="both"/>
        <w:rPr/>
      </w:pPr>
      <w:r>
        <w:rPr/>
        <w:t>6.189. Для очистки воды от сероводорода следует применять аэрационный и химический методы. Аэрационный метод допускается применять при содержании сероводорода в воде до 3 мг/л, химический до 10 мг/л.</w:t>
      </w:r>
    </w:p>
    <w:p>
      <w:pPr>
        <w:pStyle w:val="Normal"/>
        <w:ind w:firstLine="270"/>
        <w:jc w:val="both"/>
        <w:rPr/>
      </w:pPr>
      <w:r>
        <w:rPr/>
      </w:r>
    </w:p>
    <w:p>
      <w:pPr>
        <w:pStyle w:val="Normal"/>
        <w:ind w:firstLine="225"/>
        <w:jc w:val="both"/>
        <w:rPr/>
      </w:pPr>
      <w:r>
        <w:rPr/>
        <w:t>При обосновании допускается применение других методов.</w:t>
      </w:r>
    </w:p>
    <w:p>
      <w:pPr>
        <w:pStyle w:val="Normal"/>
        <w:ind w:firstLine="225"/>
        <w:jc w:val="both"/>
        <w:rPr/>
      </w:pPr>
      <w:r>
        <w:rPr/>
      </w:r>
    </w:p>
    <w:p>
      <w:pPr>
        <w:pStyle w:val="Heading"/>
        <w:jc w:val="center"/>
        <w:rPr/>
      </w:pPr>
      <w:r>
        <w:rPr/>
      </w:r>
    </w:p>
    <w:p>
      <w:pPr>
        <w:pStyle w:val="Heading"/>
        <w:jc w:val="center"/>
        <w:rPr/>
      </w:pPr>
      <w:r>
        <w:rPr/>
        <w:t>УМЯГЧЕНИЕ ВОДЫ</w:t>
      </w:r>
    </w:p>
    <w:p>
      <w:pPr>
        <w:pStyle w:val="Heading"/>
        <w:jc w:val="center"/>
        <w:rPr/>
      </w:pPr>
      <w:r>
        <w:rPr/>
      </w:r>
    </w:p>
    <w:p>
      <w:pPr>
        <w:pStyle w:val="Normal"/>
        <w:ind w:firstLine="270"/>
        <w:jc w:val="both"/>
        <w:rPr/>
      </w:pPr>
      <w:r>
        <w:rPr/>
      </w:r>
    </w:p>
    <w:p>
      <w:pPr>
        <w:pStyle w:val="Normal"/>
        <w:ind w:firstLine="270"/>
        <w:jc w:val="both"/>
        <w:rPr/>
      </w:pPr>
      <w:r>
        <w:rPr/>
        <w:t>6.190. Для умягчения воды следует применять следующие методы: для устранения карбонатной жесткости - декарбонизацию известкованием или водород-катионитное умягчение с "голодной" регенерацией катионита;</w:t>
      </w:r>
    </w:p>
    <w:p>
      <w:pPr>
        <w:pStyle w:val="Normal"/>
        <w:ind w:firstLine="90"/>
        <w:jc w:val="both"/>
        <w:rPr/>
      </w:pPr>
      <w:r>
        <w:rPr/>
      </w:r>
    </w:p>
    <w:p>
      <w:pPr>
        <w:pStyle w:val="Normal"/>
        <w:ind w:firstLine="315"/>
        <w:jc w:val="both"/>
        <w:rPr/>
      </w:pPr>
      <w:r>
        <w:rPr/>
        <w:t>для устранения карбонатной и некарбонатной жесткости -  известково-содовое, натрий-катионитное или водород-натрий-катионитное умягчение.</w:t>
      </w:r>
    </w:p>
    <w:p>
      <w:pPr>
        <w:pStyle w:val="Normal"/>
        <w:ind w:firstLine="225"/>
        <w:jc w:val="both"/>
        <w:rPr/>
      </w:pPr>
      <w:r>
        <w:rPr/>
      </w:r>
    </w:p>
    <w:p>
      <w:pPr>
        <w:pStyle w:val="Normal"/>
        <w:ind w:firstLine="270"/>
        <w:jc w:val="both"/>
        <w:rPr/>
      </w:pPr>
      <w:r>
        <w:rPr/>
        <w:t>6.191. При умягчении подземных вод следует применять катионитные методы; при умягчении поверхностных вод, когда одновременно требуется и осветление воды, известковый или известково-содовый метод, а при необходимости глубокого умягчения воды -  последующее катионирование.</w:t>
      </w:r>
    </w:p>
    <w:p>
      <w:pPr>
        <w:pStyle w:val="Normal"/>
        <w:ind w:firstLine="225"/>
        <w:jc w:val="both"/>
        <w:rPr/>
      </w:pPr>
      <w:r>
        <w:rPr/>
      </w:r>
    </w:p>
    <w:p>
      <w:pPr>
        <w:pStyle w:val="Normal"/>
        <w:ind w:firstLine="270"/>
        <w:jc w:val="both"/>
        <w:rPr/>
      </w:pPr>
      <w:r>
        <w:rPr/>
        <w:t>При умягчении воды на хозяйственно-питьевые нужды надлежит применять реагентные методы (известковый или известково-содовый) и метод частичного Nа-катионирования.</w:t>
      </w:r>
    </w:p>
    <w:p>
      <w:pPr>
        <w:pStyle w:val="Normal"/>
        <w:ind w:firstLine="270"/>
        <w:jc w:val="both"/>
        <w:rPr/>
      </w:pPr>
      <w:r>
        <w:rPr/>
      </w:r>
    </w:p>
    <w:p>
      <w:pPr>
        <w:pStyle w:val="Normal"/>
        <w:ind w:firstLine="225"/>
        <w:jc w:val="both"/>
        <w:rPr/>
      </w:pPr>
      <w:r>
        <w:rPr/>
        <w:t>Реагентное умягчение подземных вод следует применять с учетом ликвидации сточных вод и осадков, образующихся на умягчительных установках.</w:t>
      </w:r>
    </w:p>
    <w:p>
      <w:pPr>
        <w:pStyle w:val="Normal"/>
        <w:ind w:firstLine="270"/>
        <w:jc w:val="both"/>
        <w:rPr/>
      </w:pPr>
      <w:r>
        <w:rPr/>
      </w:r>
    </w:p>
    <w:p>
      <w:pPr>
        <w:pStyle w:val="Normal"/>
        <w:ind w:firstLine="225"/>
        <w:jc w:val="both"/>
        <w:rPr/>
      </w:pPr>
      <w:r>
        <w:rPr/>
        <w:t>6.192. Методы умягчения и расчетные параметры установок надлежит принимать в соответствии с рекомендуемым прил. 7.</w:t>
      </w:r>
    </w:p>
    <w:p>
      <w:pPr>
        <w:pStyle w:val="Normal"/>
        <w:ind w:firstLine="270"/>
        <w:jc w:val="both"/>
        <w:rPr/>
      </w:pPr>
      <w:r>
        <w:rPr/>
      </w:r>
    </w:p>
    <w:p>
      <w:pPr>
        <w:pStyle w:val="Normal"/>
        <w:ind w:firstLine="225"/>
        <w:jc w:val="both"/>
        <w:rPr/>
      </w:pPr>
      <w:r>
        <w:rPr/>
      </w:r>
    </w:p>
    <w:p>
      <w:pPr>
        <w:pStyle w:val="Heading"/>
        <w:jc w:val="center"/>
        <w:rPr/>
      </w:pPr>
      <w:r>
        <w:rPr/>
        <w:t>ОПРЕСНЕНИЕ И ОБЕССОЛИВАНИЕ ВОДЫ</w:t>
      </w:r>
    </w:p>
    <w:p>
      <w:pPr>
        <w:pStyle w:val="Heading"/>
        <w:jc w:val="center"/>
        <w:rPr/>
      </w:pPr>
      <w:r>
        <w:rPr/>
      </w:r>
    </w:p>
    <w:p>
      <w:pPr>
        <w:pStyle w:val="Normal"/>
        <w:ind w:firstLine="270"/>
        <w:jc w:val="both"/>
        <w:rPr/>
      </w:pPr>
      <w:r>
        <w:rPr/>
      </w:r>
    </w:p>
    <w:p>
      <w:pPr>
        <w:pStyle w:val="Normal"/>
        <w:ind w:firstLine="270"/>
        <w:jc w:val="both"/>
        <w:rPr/>
      </w:pPr>
      <w:r>
        <w:rPr/>
        <w:t>6.193. При предварительном выборе способа опреснения и обессоливания воды допускается руководствоваться данными табл. 30.</w:t>
      </w:r>
    </w:p>
    <w:p>
      <w:pPr>
        <w:pStyle w:val="Normal"/>
        <w:ind w:firstLine="270"/>
        <w:jc w:val="both"/>
        <w:rPr/>
      </w:pPr>
      <w:r>
        <w:rPr/>
      </w:r>
    </w:p>
    <w:p>
      <w:pPr>
        <w:pStyle w:val="Normal"/>
        <w:jc w:val="end"/>
        <w:rPr/>
      </w:pPr>
      <w:r>
        <w:rPr/>
        <w:t xml:space="preserve">Таблица 30 </w:t>
      </w:r>
    </w:p>
    <w:p>
      <w:pPr>
        <w:pStyle w:val="Normal"/>
        <w:ind w:firstLine="270"/>
        <w:jc w:val="both"/>
        <w:rPr/>
      </w:pPr>
      <w:r>
        <w:rPr/>
      </w:r>
    </w:p>
    <w:p>
      <w:pPr>
        <w:pStyle w:val="Normal"/>
        <w:ind w:firstLine="270"/>
        <w:jc w:val="both"/>
        <w:rPr/>
      </w:pPr>
      <w:r>
        <w:rPr/>
      </w:r>
    </w:p>
    <w:tbl>
      <w:tblPr>
        <w:tblW w:w="6350" w:type="dxa"/>
        <w:jc w:val="start"/>
        <w:tblInd w:w="30" w:type="dxa"/>
        <w:tblBorders>
          <w:top w:val="single" w:sz="2" w:space="0" w:color="000000"/>
          <w:start w:val="single" w:sz="2" w:space="0" w:color="000000"/>
        </w:tblBorders>
        <w:tblCellMar>
          <w:top w:w="0" w:type="dxa"/>
          <w:start w:w="27" w:type="dxa"/>
          <w:bottom w:w="0" w:type="dxa"/>
          <w:end w:w="30" w:type="dxa"/>
        </w:tblCellMar>
      </w:tblPr>
      <w:tblGrid>
        <w:gridCol w:w="2145"/>
        <w:gridCol w:w="2145"/>
        <w:gridCol w:w="2045"/>
        <w:gridCol w:w="15"/>
      </w:tblGrid>
      <w:tr>
        <w:trPr/>
        <w:tc>
          <w:tcPr>
            <w:tcW w:w="2145" w:type="dxa"/>
            <w:tcBorders>
              <w:top w:val="single" w:sz="2" w:space="0" w:color="000000"/>
              <w:start w:val="single" w:sz="2" w:space="0" w:color="000000"/>
            </w:tcBorders>
            <w:shd w:fill="auto" w:val="clear"/>
            <w:tcMar>
              <w:start w:w="27" w:type="dxa"/>
            </w:tcMar>
          </w:tcPr>
          <w:p>
            <w:pPr>
              <w:pStyle w:val="Normal"/>
              <w:jc w:val="center"/>
              <w:rPr/>
            </w:pPr>
            <w:r>
              <w:rPr>
                <w:vanish/>
              </w:rPr>
              <w:t>#G0</w:t>
            </w:r>
            <w:r>
              <w:rPr/>
              <w:t xml:space="preserve">Способы опреснения и </w:t>
            </w:r>
          </w:p>
          <w:p>
            <w:pPr>
              <w:pStyle w:val="Normal"/>
              <w:jc w:val="center"/>
              <w:rPr/>
            </w:pPr>
            <w:r>
              <w:rPr/>
            </w:r>
          </w:p>
        </w:tc>
        <w:tc>
          <w:tcPr>
            <w:tcW w:w="4205" w:type="dxa"/>
            <w:gridSpan w:val="2"/>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Солесодержание воды, мг/л </w:t>
            </w:r>
          </w:p>
          <w:p>
            <w:pPr>
              <w:pStyle w:val="Normal"/>
              <w:rPr/>
            </w:pPr>
            <w:r>
              <w:rPr/>
            </w:r>
          </w:p>
        </w:tc>
      </w:tr>
      <w:tr>
        <w:trPr/>
        <w:tc>
          <w:tcPr>
            <w:tcW w:w="214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обессоливания </w:t>
            </w:r>
          </w:p>
          <w:p>
            <w:pPr>
              <w:pStyle w:val="Normal"/>
              <w:rPr/>
            </w:pPr>
            <w:r>
              <w:rPr/>
            </w:r>
          </w:p>
        </w:tc>
        <w:tc>
          <w:tcPr>
            <w:tcW w:w="214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исходной </w:t>
            </w:r>
          </w:p>
          <w:p>
            <w:pPr>
              <w:pStyle w:val="Normal"/>
              <w:rPr/>
            </w:pPr>
            <w:r>
              <w:rPr/>
            </w:r>
          </w:p>
        </w:tc>
        <w:tc>
          <w:tcPr>
            <w:tcW w:w="204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опресненной</w:t>
            </w:r>
          </w:p>
          <w:p>
            <w:pPr>
              <w:pStyle w:val="Normal"/>
              <w:rPr/>
            </w:pPr>
            <w:r>
              <w:rPr/>
              <w:t xml:space="preserve">и обессоленной </w:t>
            </w:r>
          </w:p>
          <w:p>
            <w:pPr>
              <w:pStyle w:val="Normal"/>
              <w:rPr/>
            </w:pPr>
            <w:r>
              <w:rPr/>
            </w:r>
          </w:p>
        </w:tc>
      </w:tr>
      <w:tr>
        <w:trPr/>
        <w:tc>
          <w:tcPr>
            <w:tcW w:w="2145" w:type="dxa"/>
            <w:tcBorders>
              <w:start w:val="single" w:sz="2" w:space="0" w:color="000000"/>
            </w:tcBorders>
            <w:shd w:fill="auto" w:val="clear"/>
            <w:tcMar>
              <w:start w:w="27" w:type="dxa"/>
            </w:tcMar>
          </w:tcPr>
          <w:p>
            <w:pPr>
              <w:pStyle w:val="Normal"/>
              <w:jc w:val="both"/>
              <w:rPr/>
            </w:pPr>
            <w:r>
              <w:rPr/>
              <w:t xml:space="preserve">Ионный обмен </w:t>
            </w:r>
          </w:p>
          <w:p>
            <w:pPr>
              <w:pStyle w:val="Normal"/>
              <w:jc w:val="both"/>
              <w:rPr/>
            </w:pPr>
            <w:r>
              <w:rPr/>
            </w:r>
          </w:p>
        </w:tc>
        <w:tc>
          <w:tcPr>
            <w:tcW w:w="2145" w:type="dxa"/>
            <w:tcBorders>
              <w:start w:val="single" w:sz="2" w:space="0" w:color="000000"/>
            </w:tcBorders>
            <w:shd w:fill="auto" w:val="clear"/>
            <w:tcMar>
              <w:start w:w="27" w:type="dxa"/>
            </w:tcMar>
          </w:tcPr>
          <w:p>
            <w:pPr>
              <w:pStyle w:val="Normal"/>
              <w:jc w:val="center"/>
              <w:rPr/>
            </w:pPr>
            <w:r>
              <w:rPr/>
              <w:t xml:space="preserve">1500 - 2000 </w:t>
            </w:r>
          </w:p>
          <w:p>
            <w:pPr>
              <w:pStyle w:val="Normal"/>
              <w:jc w:val="center"/>
              <w:rPr/>
            </w:pPr>
            <w:r>
              <w:rPr/>
            </w:r>
          </w:p>
        </w:tc>
        <w:tc>
          <w:tcPr>
            <w:tcW w:w="204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0,1 - 20 </w:t>
            </w:r>
          </w:p>
          <w:p>
            <w:pPr>
              <w:pStyle w:val="Normal"/>
              <w:rPr/>
            </w:pPr>
            <w:r>
              <w:rPr/>
            </w:r>
          </w:p>
        </w:tc>
      </w:tr>
      <w:tr>
        <w:trPr/>
        <w:tc>
          <w:tcPr>
            <w:tcW w:w="2145" w:type="dxa"/>
            <w:tcBorders>
              <w:start w:val="single" w:sz="2" w:space="0" w:color="000000"/>
            </w:tcBorders>
            <w:shd w:fill="auto" w:val="clear"/>
            <w:tcMar>
              <w:start w:w="27" w:type="dxa"/>
            </w:tcMar>
          </w:tcPr>
          <w:p>
            <w:pPr>
              <w:pStyle w:val="Normal"/>
              <w:jc w:val="both"/>
              <w:rPr/>
            </w:pPr>
            <w:r>
              <w:rPr/>
              <w:t xml:space="preserve">Дистилляция </w:t>
            </w:r>
          </w:p>
          <w:p>
            <w:pPr>
              <w:pStyle w:val="Normal"/>
              <w:jc w:val="both"/>
              <w:rPr/>
            </w:pPr>
            <w:r>
              <w:rPr/>
            </w:r>
          </w:p>
        </w:tc>
        <w:tc>
          <w:tcPr>
            <w:tcW w:w="2145" w:type="dxa"/>
            <w:tcBorders>
              <w:start w:val="single" w:sz="2" w:space="0" w:color="000000"/>
            </w:tcBorders>
            <w:shd w:fill="auto" w:val="clear"/>
            <w:tcMar>
              <w:start w:w="27" w:type="dxa"/>
            </w:tcMar>
          </w:tcPr>
          <w:p>
            <w:pPr>
              <w:pStyle w:val="Normal"/>
              <w:jc w:val="center"/>
              <w:rPr/>
            </w:pPr>
            <w:r>
              <w:rPr/>
              <w:t xml:space="preserve">Более 10 000 </w:t>
            </w:r>
          </w:p>
          <w:p>
            <w:pPr>
              <w:pStyle w:val="Normal"/>
              <w:jc w:val="center"/>
              <w:rPr/>
            </w:pPr>
            <w:r>
              <w:rPr/>
            </w:r>
          </w:p>
        </w:tc>
        <w:tc>
          <w:tcPr>
            <w:tcW w:w="204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0,5 - 50 </w:t>
            </w:r>
          </w:p>
          <w:p>
            <w:pPr>
              <w:pStyle w:val="Normal"/>
              <w:rPr/>
            </w:pPr>
            <w:r>
              <w:rPr/>
            </w:r>
          </w:p>
        </w:tc>
      </w:tr>
      <w:tr>
        <w:trPr/>
        <w:tc>
          <w:tcPr>
            <w:tcW w:w="2145" w:type="dxa"/>
            <w:tcBorders>
              <w:start w:val="single" w:sz="2" w:space="0" w:color="000000"/>
            </w:tcBorders>
            <w:shd w:fill="auto" w:val="clear"/>
            <w:tcMar>
              <w:start w:w="27" w:type="dxa"/>
            </w:tcMar>
          </w:tcPr>
          <w:p>
            <w:pPr>
              <w:pStyle w:val="Normal"/>
              <w:jc w:val="both"/>
              <w:rPr/>
            </w:pPr>
            <w:r>
              <w:rPr/>
              <w:t xml:space="preserve">Электродиализ </w:t>
            </w:r>
          </w:p>
          <w:p>
            <w:pPr>
              <w:pStyle w:val="Normal"/>
              <w:jc w:val="both"/>
              <w:rPr/>
            </w:pPr>
            <w:r>
              <w:rPr/>
            </w:r>
          </w:p>
        </w:tc>
        <w:tc>
          <w:tcPr>
            <w:tcW w:w="2145" w:type="dxa"/>
            <w:tcBorders>
              <w:start w:val="single" w:sz="2" w:space="0" w:color="000000"/>
            </w:tcBorders>
            <w:shd w:fill="auto" w:val="clear"/>
            <w:tcMar>
              <w:start w:w="27" w:type="dxa"/>
            </w:tcMar>
          </w:tcPr>
          <w:p>
            <w:pPr>
              <w:pStyle w:val="Normal"/>
              <w:jc w:val="center"/>
              <w:rPr/>
            </w:pPr>
            <w:r>
              <w:rPr/>
              <w:t xml:space="preserve">1500 -15 000 </w:t>
            </w:r>
          </w:p>
          <w:p>
            <w:pPr>
              <w:pStyle w:val="Normal"/>
              <w:jc w:val="center"/>
              <w:rPr/>
            </w:pPr>
            <w:r>
              <w:rPr/>
            </w:r>
          </w:p>
        </w:tc>
        <w:tc>
          <w:tcPr>
            <w:tcW w:w="204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Не менее 500 </w:t>
            </w:r>
          </w:p>
          <w:p>
            <w:pPr>
              <w:pStyle w:val="Normal"/>
              <w:rPr/>
            </w:pPr>
            <w:r>
              <w:rPr/>
            </w:r>
          </w:p>
        </w:tc>
      </w:tr>
      <w:tr>
        <w:trPr/>
        <w:tc>
          <w:tcPr>
            <w:tcW w:w="2145" w:type="dxa"/>
            <w:tcBorders>
              <w:start w:val="single" w:sz="2" w:space="0" w:color="000000"/>
              <w:bottom w:val="single" w:sz="2" w:space="0" w:color="000000"/>
              <w:insideH w:val="single" w:sz="2" w:space="0" w:color="000000"/>
            </w:tcBorders>
            <w:shd w:fill="auto" w:val="clear"/>
            <w:tcMar>
              <w:start w:w="27" w:type="dxa"/>
            </w:tcMar>
          </w:tcPr>
          <w:p>
            <w:pPr>
              <w:pStyle w:val="Normal"/>
              <w:jc w:val="both"/>
              <w:rPr/>
            </w:pPr>
            <w:r>
              <w:rPr/>
              <w:t>Обратный осмос (гиперфильтрация)</w:t>
            </w:r>
          </w:p>
          <w:p>
            <w:pPr>
              <w:pStyle w:val="Normal"/>
              <w:jc w:val="both"/>
              <w:rPr/>
            </w:pPr>
            <w:r>
              <w:rPr/>
            </w:r>
          </w:p>
        </w:tc>
        <w:tc>
          <w:tcPr>
            <w:tcW w:w="2145" w:type="dxa"/>
            <w:tcBorders>
              <w:start w:val="single" w:sz="2" w:space="0" w:color="000000"/>
              <w:bottom w:val="single" w:sz="2" w:space="0" w:color="000000"/>
              <w:insideH w:val="single" w:sz="2" w:space="0" w:color="000000"/>
            </w:tcBorders>
            <w:shd w:fill="auto" w:val="clear"/>
            <w:tcMar>
              <w:start w:w="27" w:type="dxa"/>
            </w:tcMar>
          </w:tcPr>
          <w:p>
            <w:pPr>
              <w:pStyle w:val="Normal"/>
              <w:jc w:val="center"/>
              <w:rPr/>
            </w:pPr>
            <w:r>
              <w:rPr/>
              <w:t xml:space="preserve">До 40 000 </w:t>
            </w:r>
          </w:p>
          <w:p>
            <w:pPr>
              <w:pStyle w:val="Normal"/>
              <w:jc w:val="center"/>
              <w:rPr/>
            </w:pPr>
            <w:r>
              <w:rPr/>
            </w:r>
          </w:p>
        </w:tc>
        <w:tc>
          <w:tcPr>
            <w:tcW w:w="204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10 - 1000 </w:t>
            </w:r>
          </w:p>
          <w:p>
            <w:pPr>
              <w:pStyle w:val="Normal"/>
              <w:rPr/>
            </w:pPr>
            <w:r>
              <w:rPr/>
            </w:r>
          </w:p>
        </w:tc>
      </w:tr>
    </w:tbl>
    <w:p>
      <w:pPr>
        <w:pStyle w:val="Normal"/>
        <w:jc w:val="both"/>
        <w:rPr/>
      </w:pPr>
      <w:r>
        <w:rPr/>
      </w:r>
    </w:p>
    <w:p>
      <w:pPr>
        <w:pStyle w:val="Normal"/>
        <w:ind w:firstLine="270"/>
        <w:jc w:val="both"/>
        <w:rPr/>
      </w:pPr>
      <w:r>
        <w:rPr/>
        <w:t>6.194. Данные и расчетные параметры для проектирования установок опреснения и обессоливания воды ионным обменом и электродиализом следует принимать в соответствии с указаниями, приведенными в рекомендуемом прил. 8.</w:t>
      </w:r>
    </w:p>
    <w:p>
      <w:pPr>
        <w:pStyle w:val="Normal"/>
        <w:ind w:firstLine="225"/>
        <w:jc w:val="both"/>
        <w:rPr/>
      </w:pPr>
      <w:r>
        <w:rPr/>
      </w:r>
    </w:p>
    <w:p>
      <w:pPr>
        <w:pStyle w:val="Normal"/>
        <w:ind w:firstLine="270"/>
        <w:jc w:val="both"/>
        <w:rPr/>
      </w:pPr>
      <w:r>
        <w:rPr/>
      </w:r>
    </w:p>
    <w:p>
      <w:pPr>
        <w:pStyle w:val="Heading"/>
        <w:jc w:val="center"/>
        <w:rPr/>
      </w:pPr>
      <w:r>
        <w:rPr/>
        <w:t>ОБРАБОТКА ПРОМЫВНЫХ ВОД</w:t>
      </w:r>
    </w:p>
    <w:p>
      <w:pPr>
        <w:pStyle w:val="Heading"/>
        <w:jc w:val="center"/>
        <w:rPr/>
      </w:pPr>
      <w:r>
        <w:rPr/>
        <w:t>И ОСАДКА СТАНЦИЙ ВОДОПОДГОТОВКИ</w:t>
      </w:r>
    </w:p>
    <w:p>
      <w:pPr>
        <w:pStyle w:val="Heading"/>
        <w:jc w:val="center"/>
        <w:rPr/>
      </w:pPr>
      <w:r>
        <w:rPr/>
      </w:r>
    </w:p>
    <w:p>
      <w:pPr>
        <w:pStyle w:val="Normal"/>
        <w:ind w:firstLine="270"/>
        <w:jc w:val="both"/>
        <w:rPr/>
      </w:pPr>
      <w:r>
        <w:rPr/>
      </w:r>
    </w:p>
    <w:p>
      <w:pPr>
        <w:pStyle w:val="Normal"/>
        <w:ind w:firstLine="270"/>
        <w:jc w:val="both"/>
        <w:rPr/>
      </w:pPr>
      <w:r>
        <w:rPr/>
        <w:t>6.195. Требования настоящего раздела распространяются на станции осветления, обезжелезивания и реагентного умягчения природных вод.</w:t>
      </w:r>
    </w:p>
    <w:p>
      <w:pPr>
        <w:pStyle w:val="Normal"/>
        <w:ind w:firstLine="135"/>
        <w:jc w:val="both"/>
        <w:rPr/>
      </w:pPr>
      <w:r>
        <w:rPr/>
      </w:r>
    </w:p>
    <w:p>
      <w:pPr>
        <w:pStyle w:val="Normal"/>
        <w:ind w:firstLine="270"/>
        <w:jc w:val="both"/>
        <w:rPr/>
      </w:pPr>
      <w:r>
        <w:rPr/>
        <w:t>6.196. На станциях осветления и обезжелезивания воды фильтрованием промывные воды фильтровальных сооружений следует отстаивать. Осветленную воду надлежит равномерно перекачивать в трубопроводы перед смесителями или в смесители. Допускается использование осветленной воды для промывки контактных осветлителей с учетом требований п. 6.132.</w:t>
      </w:r>
    </w:p>
    <w:p>
      <w:pPr>
        <w:pStyle w:val="Normal"/>
        <w:ind w:firstLine="225"/>
        <w:jc w:val="both"/>
        <w:rPr/>
      </w:pPr>
      <w:r>
        <w:rPr/>
      </w:r>
    </w:p>
    <w:p>
      <w:pPr>
        <w:pStyle w:val="Normal"/>
        <w:ind w:firstLine="270"/>
        <w:jc w:val="both"/>
        <w:rPr/>
      </w:pPr>
      <w:r>
        <w:rPr/>
        <w:t>На станциях осветления воды отстаиванием с последующим фильтрованием и на станциях реагентного умягчения промывные воды следует равномерно перекачивать в трубопроводы перед смесителями или в смесители с отстаиванием или без него в зависимости от качества воды.</w:t>
      </w:r>
    </w:p>
    <w:p>
      <w:pPr>
        <w:pStyle w:val="Normal"/>
        <w:ind w:firstLine="225"/>
        <w:jc w:val="both"/>
        <w:rPr/>
      </w:pPr>
      <w:r>
        <w:rPr/>
      </w:r>
    </w:p>
    <w:p>
      <w:pPr>
        <w:pStyle w:val="Normal"/>
        <w:ind w:firstLine="270"/>
        <w:jc w:val="both"/>
        <w:rPr/>
      </w:pPr>
      <w:r>
        <w:rPr/>
        <w:t xml:space="preserve">6.197. Для улавливания песка, выносимого при промывке фильтров или контактных осветлителей, надлежит предусматривать песколовки. </w:t>
      </w:r>
    </w:p>
    <w:p>
      <w:pPr>
        <w:pStyle w:val="Normal"/>
        <w:ind w:firstLine="225"/>
        <w:jc w:val="both"/>
        <w:rPr/>
      </w:pPr>
      <w:r>
        <w:rPr/>
      </w:r>
    </w:p>
    <w:p>
      <w:pPr>
        <w:pStyle w:val="Normal"/>
        <w:ind w:firstLine="270"/>
        <w:jc w:val="both"/>
        <w:rPr/>
      </w:pPr>
      <w:r>
        <w:rPr/>
        <w:t>6.198. Осадок от всех отстойных сооружений и реагентного хозяйства надлежит направлять на обезвоживание и складирование с предварительным сгущением или без него.</w:t>
      </w:r>
    </w:p>
    <w:p>
      <w:pPr>
        <w:pStyle w:val="Normal"/>
        <w:ind w:firstLine="225"/>
        <w:jc w:val="both"/>
        <w:rPr/>
      </w:pPr>
      <w:r>
        <w:rPr/>
      </w:r>
    </w:p>
    <w:p>
      <w:pPr>
        <w:pStyle w:val="Normal"/>
        <w:ind w:firstLine="270"/>
        <w:jc w:val="both"/>
        <w:rPr/>
      </w:pPr>
      <w:r>
        <w:rPr/>
        <w:t>Осветленную воду, выделившуюся в процессе сгущения и обезвоживания осадков, надлежит направлять в трубопроводы перед смесителями или в смесители, а также допускается сбрасывать ее в водоток или водоем с учетом указаний п. 6.4 или на канализационные очистные сооружения.</w:t>
      </w:r>
    </w:p>
    <w:p>
      <w:pPr>
        <w:pStyle w:val="Normal"/>
        <w:ind w:firstLine="225"/>
        <w:jc w:val="both"/>
        <w:rPr/>
      </w:pPr>
      <w:r>
        <w:rPr/>
      </w:r>
    </w:p>
    <w:p>
      <w:pPr>
        <w:pStyle w:val="Normal"/>
        <w:ind w:firstLine="270"/>
        <w:jc w:val="both"/>
        <w:rPr/>
      </w:pPr>
      <w:r>
        <w:rPr/>
        <w:t>При отсутствии предварительного хлорирования исходной воды повторно используемую воду надлежит хлорировать дозой от 2 до 4 мг/л.</w:t>
      </w:r>
    </w:p>
    <w:p>
      <w:pPr>
        <w:pStyle w:val="Normal"/>
        <w:ind w:firstLine="225"/>
        <w:jc w:val="both"/>
        <w:rPr/>
      </w:pPr>
      <w:r>
        <w:rPr/>
      </w:r>
    </w:p>
    <w:p>
      <w:pPr>
        <w:pStyle w:val="Normal"/>
        <w:ind w:firstLine="270"/>
        <w:jc w:val="both"/>
        <w:rPr/>
      </w:pPr>
      <w:r>
        <w:rPr/>
        <w:t>6.199. В технологических схемах обработки промывных вод и осадка надлежит предусматривать следующие основные сооружения: резервуары, отстойники, сгустители, накопители или площадки замораживания и подсушивания осадка.</w:t>
      </w:r>
    </w:p>
    <w:p>
      <w:pPr>
        <w:pStyle w:val="Normal"/>
        <w:ind w:firstLine="225"/>
        <w:jc w:val="both"/>
        <w:rPr/>
      </w:pPr>
      <w:r>
        <w:rPr/>
      </w:r>
    </w:p>
    <w:p>
      <w:pPr>
        <w:pStyle w:val="Normal"/>
        <w:ind w:firstLine="270"/>
        <w:jc w:val="both"/>
        <w:rPr/>
      </w:pPr>
      <w:r>
        <w:rPr/>
        <w:t>При обосновании допускается применение методов механического обезвоживания и регенерации коагулянта из осадка.</w:t>
      </w:r>
    </w:p>
    <w:p>
      <w:pPr>
        <w:pStyle w:val="Normal"/>
        <w:ind w:firstLine="225"/>
        <w:jc w:val="both"/>
        <w:rPr/>
      </w:pPr>
      <w:r>
        <w:rPr/>
      </w:r>
    </w:p>
    <w:p>
      <w:pPr>
        <w:pStyle w:val="Normal"/>
        <w:ind w:firstLine="270"/>
        <w:jc w:val="both"/>
        <w:rPr/>
      </w:pPr>
      <w:r>
        <w:rPr/>
        <w:t>6.200. Условия применения и расчетные параметры сооружений для обработки промывных вод и осадка следует принимать согласно рекомендуемому прил. 9.</w:t>
      </w:r>
    </w:p>
    <w:p>
      <w:pPr>
        <w:pStyle w:val="Normal"/>
        <w:ind w:firstLine="225"/>
        <w:jc w:val="both"/>
        <w:rPr/>
      </w:pPr>
      <w:r>
        <w:rPr/>
      </w:r>
    </w:p>
    <w:p>
      <w:pPr>
        <w:pStyle w:val="Normal"/>
        <w:ind w:firstLine="270"/>
        <w:jc w:val="both"/>
        <w:rPr/>
      </w:pPr>
      <w:r>
        <w:rPr/>
      </w:r>
    </w:p>
    <w:p>
      <w:pPr>
        <w:pStyle w:val="Heading"/>
        <w:jc w:val="center"/>
        <w:rPr/>
      </w:pPr>
      <w:r>
        <w:rPr/>
        <w:t>ВСПОМОГАТЕЛЬНЫЕ ПОМЕЩЕНИЯ</w:t>
      </w:r>
    </w:p>
    <w:p>
      <w:pPr>
        <w:pStyle w:val="Heading"/>
        <w:jc w:val="center"/>
        <w:rPr/>
      </w:pPr>
      <w:r>
        <w:rPr/>
        <w:t>СТАНЦИЙ ВОДОПОДГОТОВКИ</w:t>
      </w:r>
    </w:p>
    <w:p>
      <w:pPr>
        <w:pStyle w:val="Heading"/>
        <w:jc w:val="center"/>
        <w:rPr/>
      </w:pPr>
      <w:r>
        <w:rPr/>
      </w:r>
    </w:p>
    <w:p>
      <w:pPr>
        <w:pStyle w:val="Normal"/>
        <w:ind w:firstLine="270"/>
        <w:jc w:val="both"/>
        <w:rPr/>
      </w:pPr>
      <w:r>
        <w:rPr/>
      </w:r>
    </w:p>
    <w:p>
      <w:pPr>
        <w:pStyle w:val="Normal"/>
        <w:ind w:firstLine="270"/>
        <w:jc w:val="both"/>
        <w:rPr/>
      </w:pPr>
      <w:r>
        <w:rPr/>
        <w:t>6.201. В зданиях станций водоподготовки необходимо предусматривать лаборатории, мастерские, бытовые и другие вспомогательные помещения.</w:t>
      </w:r>
    </w:p>
    <w:p>
      <w:pPr>
        <w:pStyle w:val="Normal"/>
        <w:ind w:firstLine="270"/>
        <w:jc w:val="both"/>
        <w:rPr/>
      </w:pPr>
      <w:r>
        <w:rPr/>
      </w:r>
    </w:p>
    <w:p>
      <w:pPr>
        <w:pStyle w:val="Normal"/>
        <w:ind w:firstLine="225"/>
        <w:jc w:val="both"/>
        <w:rPr/>
      </w:pPr>
      <w:r>
        <w:rPr/>
        <w:t>Состав и площади помещений надлежит принимать в зависимости от назначения и производительности станции, а также источника водоснабжения.</w:t>
      </w:r>
    </w:p>
    <w:p>
      <w:pPr>
        <w:pStyle w:val="Normal"/>
        <w:ind w:firstLine="225"/>
        <w:jc w:val="both"/>
        <w:rPr/>
      </w:pPr>
      <w:r>
        <w:rPr/>
      </w:r>
    </w:p>
    <w:p>
      <w:pPr>
        <w:pStyle w:val="Normal"/>
        <w:ind w:firstLine="225"/>
        <w:jc w:val="both"/>
        <w:rPr/>
      </w:pPr>
      <w:r>
        <w:rPr/>
        <w:t>Для станций подготовки воды на хозяйственно-питьевые нужды из поверхностных источников водоснабжения состав и площади помещений следует принимать по табл. 31.</w:t>
      </w:r>
    </w:p>
    <w:p>
      <w:pPr>
        <w:pStyle w:val="Normal"/>
        <w:ind w:firstLine="270"/>
        <w:jc w:val="both"/>
        <w:rPr/>
      </w:pPr>
      <w:r>
        <w:rPr/>
      </w:r>
    </w:p>
    <w:p>
      <w:pPr>
        <w:pStyle w:val="Heading"/>
        <w:jc w:val="center"/>
        <w:rPr/>
      </w:pPr>
      <w:r>
        <w:rPr/>
      </w:r>
    </w:p>
    <w:p>
      <w:pPr>
        <w:pStyle w:val="Heading"/>
        <w:jc w:val="center"/>
        <w:rPr/>
      </w:pPr>
      <w:r>
        <w:rPr/>
        <w:t>СКЛАДЫ РЕАГЕНТОВ</w:t>
      </w:r>
    </w:p>
    <w:p>
      <w:pPr>
        <w:pStyle w:val="Heading"/>
        <w:jc w:val="center"/>
        <w:rPr/>
      </w:pPr>
      <w:r>
        <w:rPr/>
        <w:t>И ФИЛЬТРУЮЩИХ МАТЕРИАЛОВ</w:t>
      </w:r>
    </w:p>
    <w:p>
      <w:pPr>
        <w:pStyle w:val="Heading"/>
        <w:jc w:val="center"/>
        <w:rPr/>
      </w:pPr>
      <w:r>
        <w:rPr/>
      </w:r>
    </w:p>
    <w:p>
      <w:pPr>
        <w:pStyle w:val="Normal"/>
        <w:ind w:firstLine="270"/>
        <w:jc w:val="both"/>
        <w:rPr/>
      </w:pPr>
      <w:r>
        <w:rPr/>
      </w:r>
    </w:p>
    <w:p>
      <w:pPr>
        <w:pStyle w:val="Normal"/>
        <w:ind w:firstLine="270"/>
        <w:jc w:val="both"/>
        <w:rPr/>
      </w:pPr>
      <w:r>
        <w:rPr/>
        <w:t>6.202. Склады реагентов следует рассчитывать на хранение 30-суточного запаса, считая по периоду максимального потребления реагентов, но не менее объема их разовой поставки.</w:t>
      </w:r>
    </w:p>
    <w:p>
      <w:pPr>
        <w:pStyle w:val="Normal"/>
        <w:ind w:firstLine="225"/>
        <w:jc w:val="both"/>
        <w:rPr/>
      </w:pPr>
      <w:r>
        <w:rPr/>
      </w:r>
    </w:p>
    <w:p>
      <w:pPr>
        <w:pStyle w:val="Normal"/>
        <w:ind w:firstLine="270"/>
        <w:jc w:val="both"/>
        <w:rPr/>
      </w:pPr>
      <w:r>
        <w:rPr/>
      </w:r>
    </w:p>
    <w:p>
      <w:pPr>
        <w:pStyle w:val="Normal"/>
        <w:ind w:firstLine="270"/>
        <w:jc w:val="both"/>
        <w:rPr/>
      </w:pPr>
      <w:r>
        <w:rPr/>
        <w:t>Примечания: 1. При обосновании объем складов допускается принимать на другой срок хранения, но не менее 15 сут.</w:t>
      </w:r>
    </w:p>
    <w:p>
      <w:pPr>
        <w:pStyle w:val="Normal"/>
        <w:ind w:firstLine="270"/>
        <w:jc w:val="both"/>
        <w:rPr/>
      </w:pPr>
      <w:r>
        <w:rPr/>
      </w:r>
    </w:p>
    <w:p>
      <w:pPr>
        <w:pStyle w:val="Normal"/>
        <w:ind w:firstLine="225"/>
        <w:jc w:val="both"/>
        <w:rPr/>
      </w:pPr>
      <w:r>
        <w:rPr/>
        <w:t>При наличии центральных (базисных) складов объем складов на станциях подготовки воды допускается принимать на срок хранения не менее 7 сут.</w:t>
      </w:r>
    </w:p>
    <w:p>
      <w:pPr>
        <w:pStyle w:val="Normal"/>
        <w:ind w:firstLine="225"/>
        <w:jc w:val="both"/>
        <w:rPr/>
      </w:pPr>
      <w:r>
        <w:rPr/>
      </w:r>
    </w:p>
    <w:p>
      <w:pPr>
        <w:pStyle w:val="Normal"/>
        <w:ind w:firstLine="225"/>
        <w:jc w:val="both"/>
        <w:rPr/>
      </w:pPr>
      <w:r>
        <w:rPr/>
        <w:t>2. Условия приема разовой поставки не распространяются на склады хлора.</w:t>
      </w:r>
    </w:p>
    <w:p>
      <w:pPr>
        <w:pStyle w:val="Normal"/>
        <w:ind w:firstLine="225"/>
        <w:jc w:val="both"/>
        <w:rPr/>
      </w:pPr>
      <w:r>
        <w:rPr/>
      </w:r>
    </w:p>
    <w:p>
      <w:pPr>
        <w:pStyle w:val="Normal"/>
        <w:ind w:firstLine="225"/>
        <w:jc w:val="both"/>
        <w:rPr/>
      </w:pPr>
      <w:r>
        <w:rPr/>
        <w:t>3. Требования настоящего раздела не распространяются на проектирование базисных складов.</w:t>
      </w:r>
    </w:p>
    <w:p>
      <w:pPr>
        <w:pStyle w:val="Normal"/>
        <w:ind w:firstLine="270"/>
        <w:jc w:val="both"/>
        <w:rPr/>
      </w:pPr>
      <w:r>
        <w:rPr/>
      </w:r>
    </w:p>
    <w:p>
      <w:pPr>
        <w:pStyle w:val="Normal"/>
        <w:jc w:val="end"/>
        <w:rPr/>
      </w:pPr>
      <w:r>
        <w:rPr/>
        <w:t xml:space="preserve">Таблица 31 </w:t>
      </w:r>
    </w:p>
    <w:p>
      <w:pPr>
        <w:pStyle w:val="Normal"/>
        <w:ind w:firstLine="270"/>
        <w:jc w:val="both"/>
        <w:rPr/>
      </w:pPr>
      <w:r>
        <w:rPr/>
      </w:r>
    </w:p>
    <w:p>
      <w:pPr>
        <w:pStyle w:val="Normal"/>
        <w:ind w:firstLine="270"/>
        <w:jc w:val="both"/>
        <w:rPr/>
      </w:pPr>
      <w:r>
        <w:rPr/>
      </w:r>
    </w:p>
    <w:tbl>
      <w:tblPr>
        <w:tblW w:w="6695" w:type="dxa"/>
        <w:jc w:val="start"/>
        <w:tblInd w:w="30" w:type="dxa"/>
        <w:tblBorders>
          <w:top w:val="single" w:sz="2" w:space="0" w:color="000000"/>
          <w:start w:val="single" w:sz="2" w:space="0" w:color="000000"/>
        </w:tblBorders>
        <w:tblCellMar>
          <w:top w:w="0" w:type="dxa"/>
          <w:start w:w="27" w:type="dxa"/>
          <w:bottom w:w="0" w:type="dxa"/>
          <w:end w:w="30" w:type="dxa"/>
        </w:tblCellMar>
      </w:tblPr>
      <w:tblGrid>
        <w:gridCol w:w="2070"/>
        <w:gridCol w:w="705"/>
        <w:gridCol w:w="855"/>
        <w:gridCol w:w="990"/>
        <w:gridCol w:w="990"/>
        <w:gridCol w:w="1070"/>
        <w:gridCol w:w="15"/>
      </w:tblGrid>
      <w:tr>
        <w:trPr/>
        <w:tc>
          <w:tcPr>
            <w:tcW w:w="2070" w:type="dxa"/>
            <w:tcBorders>
              <w:top w:val="single" w:sz="2" w:space="0" w:color="000000"/>
              <w:start w:val="single" w:sz="2" w:space="0" w:color="000000"/>
            </w:tcBorders>
            <w:shd w:fill="auto" w:val="clear"/>
            <w:tcMar>
              <w:start w:w="27" w:type="dxa"/>
            </w:tcMar>
          </w:tcPr>
          <w:p>
            <w:pPr>
              <w:pStyle w:val="Normal"/>
              <w:jc w:val="center"/>
              <w:rPr>
                <w:vanish/>
              </w:rPr>
            </w:pPr>
            <w:r>
              <w:rPr>
                <w:vanish/>
              </w:rPr>
              <w:t>#G0</w:t>
            </w:r>
          </w:p>
          <w:p>
            <w:pPr>
              <w:pStyle w:val="Normal"/>
              <w:jc w:val="center"/>
              <w:rPr/>
            </w:pPr>
            <w:r>
              <w:rPr/>
              <w:t xml:space="preserve">Помещения </w:t>
            </w:r>
          </w:p>
          <w:p>
            <w:pPr>
              <w:pStyle w:val="Normal"/>
              <w:jc w:val="center"/>
              <w:rPr/>
            </w:pPr>
            <w:r>
              <w:rPr/>
            </w:r>
          </w:p>
        </w:tc>
        <w:tc>
          <w:tcPr>
            <w:tcW w:w="4625" w:type="dxa"/>
            <w:gridSpan w:val="5"/>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Площади, кв.м, лабораторий и вспомогательных помещений </w:t>
            </w:r>
          </w:p>
          <w:p>
            <w:pPr>
              <w:pStyle w:val="Normal"/>
              <w:rPr/>
            </w:pPr>
            <w:r>
              <w:rPr/>
              <w:t xml:space="preserve">при производительности станций, куб.м/сут </w:t>
            </w:r>
          </w:p>
          <w:p>
            <w:pPr>
              <w:pStyle w:val="Normal"/>
              <w:rPr/>
            </w:pPr>
            <w:r>
              <w:rPr/>
            </w:r>
          </w:p>
        </w:tc>
      </w:tr>
      <w:tr>
        <w:trPr/>
        <w:tc>
          <w:tcPr>
            <w:tcW w:w="207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  </w:t>
            </w:r>
          </w:p>
          <w:p>
            <w:pPr>
              <w:pStyle w:val="Normal"/>
              <w:rPr/>
            </w:pPr>
            <w:r>
              <w:rPr/>
            </w:r>
          </w:p>
        </w:tc>
        <w:tc>
          <w:tcPr>
            <w:tcW w:w="705" w:type="dxa"/>
            <w:tcBorders>
              <w:start w:val="single" w:sz="2" w:space="0" w:color="000000"/>
              <w:bottom w:val="single" w:sz="2" w:space="0" w:color="000000"/>
              <w:insideH w:val="single" w:sz="2" w:space="0" w:color="000000"/>
            </w:tcBorders>
            <w:shd w:fill="auto" w:val="clear"/>
            <w:tcMar>
              <w:start w:w="27" w:type="dxa"/>
            </w:tcMar>
          </w:tcPr>
          <w:p>
            <w:pPr>
              <w:pStyle w:val="Normal"/>
              <w:jc w:val="center"/>
              <w:rPr/>
            </w:pPr>
            <w:r>
              <w:rPr/>
              <w:t xml:space="preserve">менее 3000 </w:t>
            </w:r>
          </w:p>
          <w:p>
            <w:pPr>
              <w:pStyle w:val="Normal"/>
              <w:jc w:val="center"/>
              <w:rPr/>
            </w:pPr>
            <w:r>
              <w:rPr/>
            </w:r>
          </w:p>
        </w:tc>
        <w:tc>
          <w:tcPr>
            <w:tcW w:w="8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3000</w:t>
            </w:r>
          </w:p>
          <w:p>
            <w:pPr>
              <w:pStyle w:val="Normal"/>
              <w:rPr/>
            </w:pPr>
            <w:r>
              <w:rPr/>
              <w:t xml:space="preserve">-10 000 </w:t>
            </w:r>
          </w:p>
          <w:p>
            <w:pPr>
              <w:pStyle w:val="Normal"/>
              <w:rPr/>
            </w:pPr>
            <w:r>
              <w:rPr/>
            </w:r>
          </w:p>
        </w:tc>
        <w:tc>
          <w:tcPr>
            <w:tcW w:w="99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10 000 </w:t>
            </w:r>
          </w:p>
          <w:p>
            <w:pPr>
              <w:pStyle w:val="Normal"/>
              <w:rPr/>
            </w:pPr>
            <w:r>
              <w:rPr/>
              <w:t xml:space="preserve">- 50 000 </w:t>
            </w:r>
          </w:p>
          <w:p>
            <w:pPr>
              <w:pStyle w:val="Normal"/>
              <w:rPr/>
            </w:pPr>
            <w:r>
              <w:rPr/>
            </w:r>
          </w:p>
        </w:tc>
        <w:tc>
          <w:tcPr>
            <w:tcW w:w="99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50 000 -100 000 </w:t>
            </w:r>
          </w:p>
          <w:p>
            <w:pPr>
              <w:pStyle w:val="Normal"/>
              <w:rPr/>
            </w:pPr>
            <w:r>
              <w:rPr/>
            </w:r>
          </w:p>
        </w:tc>
        <w:tc>
          <w:tcPr>
            <w:tcW w:w="107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100000</w:t>
            </w:r>
          </w:p>
          <w:p>
            <w:pPr>
              <w:pStyle w:val="Normal"/>
              <w:rPr/>
            </w:pPr>
            <w:r>
              <w:rPr/>
              <w:t xml:space="preserve">-300 000 </w:t>
            </w:r>
          </w:p>
          <w:p>
            <w:pPr>
              <w:pStyle w:val="Normal"/>
              <w:rPr/>
            </w:pPr>
            <w:r>
              <w:rPr/>
            </w:r>
          </w:p>
        </w:tc>
      </w:tr>
      <w:tr>
        <w:trPr/>
        <w:tc>
          <w:tcPr>
            <w:tcW w:w="2070" w:type="dxa"/>
            <w:tcBorders>
              <w:start w:val="single" w:sz="2" w:space="0" w:color="000000"/>
            </w:tcBorders>
            <w:shd w:fill="auto" w:val="clear"/>
            <w:tcMar>
              <w:start w:w="27" w:type="dxa"/>
            </w:tcMar>
          </w:tcPr>
          <w:p>
            <w:pPr>
              <w:pStyle w:val="Normal"/>
              <w:jc w:val="both"/>
              <w:rPr/>
            </w:pPr>
            <w:r>
              <w:rPr/>
              <w:t xml:space="preserve">1. Химическая лаборатория </w:t>
            </w:r>
          </w:p>
          <w:p>
            <w:pPr>
              <w:pStyle w:val="Normal"/>
              <w:jc w:val="both"/>
              <w:rPr/>
            </w:pPr>
            <w:r>
              <w:rPr/>
            </w:r>
          </w:p>
        </w:tc>
        <w:tc>
          <w:tcPr>
            <w:tcW w:w="705" w:type="dxa"/>
            <w:tcBorders>
              <w:start w:val="single" w:sz="2" w:space="0" w:color="000000"/>
            </w:tcBorders>
            <w:shd w:fill="auto" w:val="clear"/>
            <w:tcMar>
              <w:start w:w="27" w:type="dxa"/>
            </w:tcMar>
          </w:tcPr>
          <w:p>
            <w:pPr>
              <w:pStyle w:val="Normal"/>
              <w:jc w:val="center"/>
              <w:rPr/>
            </w:pPr>
            <w:r>
              <w:rPr/>
              <w:t xml:space="preserve">30 </w:t>
            </w:r>
          </w:p>
          <w:p>
            <w:pPr>
              <w:pStyle w:val="Normal"/>
              <w:jc w:val="center"/>
              <w:rPr/>
            </w:pPr>
            <w:r>
              <w:rPr/>
            </w:r>
          </w:p>
        </w:tc>
        <w:tc>
          <w:tcPr>
            <w:tcW w:w="855" w:type="dxa"/>
            <w:tcBorders>
              <w:start w:val="single" w:sz="2" w:space="0" w:color="000000"/>
            </w:tcBorders>
            <w:shd w:fill="auto" w:val="clear"/>
            <w:tcMar>
              <w:start w:w="27" w:type="dxa"/>
            </w:tcMar>
          </w:tcPr>
          <w:p>
            <w:pPr>
              <w:pStyle w:val="Normal"/>
              <w:rPr/>
            </w:pPr>
            <w:r>
              <w:rPr/>
              <w:t xml:space="preserve">30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40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40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2 комнаты 40 и 20 </w:t>
            </w:r>
          </w:p>
          <w:p>
            <w:pPr>
              <w:pStyle w:val="Normal"/>
              <w:rPr/>
            </w:pPr>
            <w:r>
              <w:rPr/>
            </w:r>
          </w:p>
        </w:tc>
      </w:tr>
      <w:tr>
        <w:trPr/>
        <w:tc>
          <w:tcPr>
            <w:tcW w:w="2070" w:type="dxa"/>
            <w:tcBorders>
              <w:start w:val="single" w:sz="2" w:space="0" w:color="000000"/>
            </w:tcBorders>
            <w:shd w:fill="auto" w:val="clear"/>
            <w:tcMar>
              <w:start w:w="27" w:type="dxa"/>
            </w:tcMar>
          </w:tcPr>
          <w:p>
            <w:pPr>
              <w:pStyle w:val="Normal"/>
              <w:jc w:val="both"/>
              <w:rPr/>
            </w:pPr>
            <w:r>
              <w:rPr/>
              <w:t xml:space="preserve">2. Весовая </w:t>
            </w:r>
          </w:p>
          <w:p>
            <w:pPr>
              <w:pStyle w:val="Normal"/>
              <w:jc w:val="both"/>
              <w:rPr/>
            </w:pPr>
            <w:r>
              <w:rPr/>
            </w:r>
          </w:p>
        </w:tc>
        <w:tc>
          <w:tcPr>
            <w:tcW w:w="705" w:type="dxa"/>
            <w:tcBorders>
              <w:start w:val="single" w:sz="2" w:space="0" w:color="000000"/>
            </w:tcBorders>
            <w:shd w:fill="auto" w:val="clear"/>
            <w:tcMar>
              <w:start w:w="27" w:type="dxa"/>
            </w:tcMar>
          </w:tcPr>
          <w:p>
            <w:pPr>
              <w:pStyle w:val="Normal"/>
              <w:rPr/>
            </w:pPr>
            <w:r>
              <w:rPr/>
              <w:t xml:space="preserve">     </w:t>
            </w:r>
            <w:r>
              <w:rPr/>
              <w:t>-</w:t>
            </w:r>
          </w:p>
          <w:p>
            <w:pPr>
              <w:pStyle w:val="Normal"/>
              <w:rPr/>
            </w:pPr>
            <w:r>
              <w:rPr/>
            </w:r>
          </w:p>
        </w:tc>
        <w:tc>
          <w:tcPr>
            <w:tcW w:w="855" w:type="dxa"/>
            <w:tcBorders>
              <w:start w:val="single" w:sz="2" w:space="0" w:color="000000"/>
            </w:tcBorders>
            <w:shd w:fill="auto" w:val="clear"/>
            <w:tcMar>
              <w:start w:w="27" w:type="dxa"/>
            </w:tcMar>
          </w:tcPr>
          <w:p>
            <w:pPr>
              <w:pStyle w:val="Normal"/>
              <w:rPr/>
            </w:pPr>
            <w:r>
              <w:rPr/>
              <w:t xml:space="preserve">        </w:t>
            </w:r>
            <w:r>
              <w:rPr/>
              <w:t xml:space="preserve">-  </w:t>
            </w:r>
          </w:p>
          <w:p>
            <w:pPr>
              <w:pStyle w:val="Normal"/>
              <w:rPr/>
            </w:pPr>
            <w:r>
              <w:rPr/>
            </w:r>
          </w:p>
        </w:tc>
        <w:tc>
          <w:tcPr>
            <w:tcW w:w="990" w:type="dxa"/>
            <w:tcBorders>
              <w:start w:val="single" w:sz="2" w:space="0" w:color="000000"/>
            </w:tcBorders>
            <w:shd w:fill="auto" w:val="clear"/>
            <w:tcMar>
              <w:start w:w="27" w:type="dxa"/>
            </w:tcMar>
          </w:tcPr>
          <w:p>
            <w:pPr>
              <w:pStyle w:val="Normal"/>
              <w:jc w:val="center"/>
              <w:rPr/>
            </w:pPr>
            <w:r>
              <w:rPr/>
              <w:t xml:space="preserve">6 </w:t>
            </w:r>
          </w:p>
          <w:p>
            <w:pPr>
              <w:pStyle w:val="Normal"/>
              <w:jc w:val="center"/>
              <w:rPr/>
            </w:pPr>
            <w:r>
              <w:rPr/>
            </w:r>
          </w:p>
        </w:tc>
        <w:tc>
          <w:tcPr>
            <w:tcW w:w="990" w:type="dxa"/>
            <w:tcBorders>
              <w:start w:val="single" w:sz="2" w:space="0" w:color="000000"/>
            </w:tcBorders>
            <w:shd w:fill="auto" w:val="clear"/>
            <w:tcMar>
              <w:start w:w="27" w:type="dxa"/>
            </w:tcMar>
          </w:tcPr>
          <w:p>
            <w:pPr>
              <w:pStyle w:val="Normal"/>
              <w:rPr/>
            </w:pPr>
            <w:r>
              <w:rPr/>
              <w:t xml:space="preserve">6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8 </w:t>
            </w:r>
          </w:p>
          <w:p>
            <w:pPr>
              <w:pStyle w:val="Normal"/>
              <w:rPr/>
            </w:pPr>
            <w:r>
              <w:rPr/>
            </w:r>
          </w:p>
        </w:tc>
      </w:tr>
      <w:tr>
        <w:trPr/>
        <w:tc>
          <w:tcPr>
            <w:tcW w:w="2070" w:type="dxa"/>
            <w:tcBorders>
              <w:start w:val="single" w:sz="2" w:space="0" w:color="000000"/>
            </w:tcBorders>
            <w:shd w:fill="auto" w:val="clear"/>
            <w:tcMar>
              <w:start w:w="27" w:type="dxa"/>
            </w:tcMar>
          </w:tcPr>
          <w:p>
            <w:pPr>
              <w:pStyle w:val="Normal"/>
              <w:jc w:val="both"/>
              <w:rPr/>
            </w:pPr>
            <w:r>
              <w:rPr/>
              <w:t xml:space="preserve">3. Бактериологическая лаборатория автоклавная </w:t>
            </w:r>
          </w:p>
          <w:p>
            <w:pPr>
              <w:pStyle w:val="Normal"/>
              <w:jc w:val="both"/>
              <w:rPr/>
            </w:pPr>
            <w:r>
              <w:rPr/>
            </w:r>
          </w:p>
        </w:tc>
        <w:tc>
          <w:tcPr>
            <w:tcW w:w="705" w:type="dxa"/>
            <w:tcBorders>
              <w:start w:val="single" w:sz="2" w:space="0" w:color="000000"/>
            </w:tcBorders>
            <w:shd w:fill="auto" w:val="clear"/>
            <w:tcMar>
              <w:start w:w="27" w:type="dxa"/>
            </w:tcMar>
          </w:tcPr>
          <w:p>
            <w:pPr>
              <w:pStyle w:val="Normal"/>
              <w:jc w:val="center"/>
              <w:rPr/>
            </w:pPr>
            <w:r>
              <w:rPr/>
              <w:t>20</w:t>
            </w:r>
          </w:p>
          <w:p>
            <w:pPr>
              <w:pStyle w:val="Normal"/>
              <w:jc w:val="center"/>
              <w:rPr/>
            </w:pPr>
            <w:r>
              <w:rPr/>
            </w:r>
          </w:p>
          <w:p>
            <w:pPr>
              <w:pStyle w:val="Normal"/>
              <w:jc w:val="center"/>
              <w:rPr/>
            </w:pPr>
            <w:r>
              <w:rPr/>
            </w:r>
          </w:p>
        </w:tc>
        <w:tc>
          <w:tcPr>
            <w:tcW w:w="855" w:type="dxa"/>
            <w:tcBorders>
              <w:start w:val="single" w:sz="2" w:space="0" w:color="000000"/>
            </w:tcBorders>
            <w:shd w:fill="auto" w:val="clear"/>
            <w:tcMar>
              <w:start w:w="27" w:type="dxa"/>
            </w:tcMar>
          </w:tcPr>
          <w:p>
            <w:pPr>
              <w:pStyle w:val="Normal"/>
              <w:rPr/>
            </w:pPr>
            <w:r>
              <w:rPr/>
              <w:t xml:space="preserve">20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20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30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2 комнаты 20 и 20 </w:t>
            </w:r>
          </w:p>
          <w:p>
            <w:pPr>
              <w:pStyle w:val="Normal"/>
              <w:rPr/>
            </w:pPr>
            <w:r>
              <w:rPr/>
            </w:r>
          </w:p>
        </w:tc>
      </w:tr>
      <w:tr>
        <w:trPr/>
        <w:tc>
          <w:tcPr>
            <w:tcW w:w="2070" w:type="dxa"/>
            <w:tcBorders>
              <w:start w:val="single" w:sz="2" w:space="0" w:color="000000"/>
            </w:tcBorders>
            <w:shd w:fill="auto" w:val="clear"/>
            <w:tcMar>
              <w:start w:w="27" w:type="dxa"/>
            </w:tcMar>
          </w:tcPr>
          <w:p>
            <w:pPr>
              <w:pStyle w:val="Normal"/>
              <w:rPr/>
            </w:pPr>
            <w:r>
              <w:rPr/>
              <w:t xml:space="preserve">  </w:t>
            </w:r>
          </w:p>
          <w:p>
            <w:pPr>
              <w:pStyle w:val="Normal"/>
              <w:rPr/>
            </w:pPr>
            <w:r>
              <w:rPr/>
            </w:r>
          </w:p>
        </w:tc>
        <w:tc>
          <w:tcPr>
            <w:tcW w:w="705" w:type="dxa"/>
            <w:tcBorders>
              <w:start w:val="single" w:sz="2" w:space="0" w:color="000000"/>
            </w:tcBorders>
            <w:shd w:fill="auto" w:val="clear"/>
            <w:tcMar>
              <w:start w:w="27" w:type="dxa"/>
            </w:tcMar>
          </w:tcPr>
          <w:p>
            <w:pPr>
              <w:pStyle w:val="Normal"/>
              <w:jc w:val="center"/>
              <w:rPr/>
            </w:pPr>
            <w:r>
              <w:rPr/>
              <w:t xml:space="preserve">10 </w:t>
            </w:r>
          </w:p>
          <w:p>
            <w:pPr>
              <w:pStyle w:val="Normal"/>
              <w:jc w:val="center"/>
              <w:rPr/>
            </w:pPr>
            <w:r>
              <w:rPr/>
            </w:r>
          </w:p>
        </w:tc>
        <w:tc>
          <w:tcPr>
            <w:tcW w:w="855" w:type="dxa"/>
            <w:tcBorders>
              <w:start w:val="single" w:sz="2" w:space="0" w:color="000000"/>
            </w:tcBorders>
            <w:shd w:fill="auto" w:val="clear"/>
            <w:tcMar>
              <w:start w:w="27" w:type="dxa"/>
            </w:tcMar>
          </w:tcPr>
          <w:p>
            <w:pPr>
              <w:pStyle w:val="Normal"/>
              <w:rPr/>
            </w:pPr>
            <w:r>
              <w:rPr/>
              <w:t xml:space="preserve">10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10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15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15 </w:t>
            </w:r>
          </w:p>
          <w:p>
            <w:pPr>
              <w:pStyle w:val="Normal"/>
              <w:rPr/>
            </w:pPr>
            <w:r>
              <w:rPr/>
            </w:r>
          </w:p>
        </w:tc>
      </w:tr>
      <w:tr>
        <w:trPr/>
        <w:tc>
          <w:tcPr>
            <w:tcW w:w="2070" w:type="dxa"/>
            <w:tcBorders>
              <w:start w:val="single" w:sz="2" w:space="0" w:color="000000"/>
            </w:tcBorders>
            <w:shd w:fill="auto" w:val="clear"/>
            <w:tcMar>
              <w:start w:w="27" w:type="dxa"/>
            </w:tcMar>
          </w:tcPr>
          <w:p>
            <w:pPr>
              <w:pStyle w:val="Normal"/>
              <w:jc w:val="both"/>
              <w:rPr/>
            </w:pPr>
            <w:r>
              <w:rPr/>
              <w:t xml:space="preserve">4. Средоварочная и моечная </w:t>
            </w:r>
          </w:p>
          <w:p>
            <w:pPr>
              <w:pStyle w:val="Normal"/>
              <w:jc w:val="both"/>
              <w:rPr/>
            </w:pPr>
            <w:r>
              <w:rPr/>
            </w:r>
          </w:p>
        </w:tc>
        <w:tc>
          <w:tcPr>
            <w:tcW w:w="705" w:type="dxa"/>
            <w:tcBorders>
              <w:start w:val="single" w:sz="2" w:space="0" w:color="000000"/>
            </w:tcBorders>
            <w:shd w:fill="auto" w:val="clear"/>
            <w:tcMar>
              <w:start w:w="27" w:type="dxa"/>
            </w:tcMar>
          </w:tcPr>
          <w:p>
            <w:pPr>
              <w:pStyle w:val="Normal"/>
              <w:jc w:val="center"/>
              <w:rPr/>
            </w:pPr>
            <w:r>
              <w:rPr/>
              <w:t xml:space="preserve">10 </w:t>
            </w:r>
          </w:p>
          <w:p>
            <w:pPr>
              <w:pStyle w:val="Normal"/>
              <w:jc w:val="center"/>
              <w:rPr/>
            </w:pPr>
            <w:r>
              <w:rPr/>
            </w:r>
          </w:p>
        </w:tc>
        <w:tc>
          <w:tcPr>
            <w:tcW w:w="855" w:type="dxa"/>
            <w:tcBorders>
              <w:start w:val="single" w:sz="2" w:space="0" w:color="000000"/>
            </w:tcBorders>
            <w:shd w:fill="auto" w:val="clear"/>
            <w:tcMar>
              <w:start w:w="27" w:type="dxa"/>
            </w:tcMar>
          </w:tcPr>
          <w:p>
            <w:pPr>
              <w:pStyle w:val="Normal"/>
              <w:rPr/>
            </w:pPr>
            <w:r>
              <w:rPr/>
              <w:t xml:space="preserve">10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10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15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15 </w:t>
            </w:r>
          </w:p>
          <w:p>
            <w:pPr>
              <w:pStyle w:val="Normal"/>
              <w:rPr/>
            </w:pPr>
            <w:r>
              <w:rPr/>
            </w:r>
          </w:p>
        </w:tc>
      </w:tr>
      <w:tr>
        <w:trPr/>
        <w:tc>
          <w:tcPr>
            <w:tcW w:w="2070" w:type="dxa"/>
            <w:tcBorders>
              <w:start w:val="single" w:sz="2" w:space="0" w:color="000000"/>
            </w:tcBorders>
            <w:shd w:fill="auto" w:val="clear"/>
            <w:tcMar>
              <w:start w:w="27" w:type="dxa"/>
            </w:tcMar>
          </w:tcPr>
          <w:p>
            <w:pPr>
              <w:pStyle w:val="Normal"/>
              <w:jc w:val="both"/>
              <w:rPr/>
            </w:pPr>
            <w:r>
              <w:rPr/>
              <w:t>5. Комната для гидробиологических исследований (при водоисточниках, богатых микрофлорой)</w:t>
            </w:r>
          </w:p>
          <w:p>
            <w:pPr>
              <w:pStyle w:val="Normal"/>
              <w:jc w:val="both"/>
              <w:rPr/>
            </w:pPr>
            <w:r>
              <w:rPr/>
            </w:r>
          </w:p>
        </w:tc>
        <w:tc>
          <w:tcPr>
            <w:tcW w:w="705" w:type="dxa"/>
            <w:tcBorders>
              <w:start w:val="single" w:sz="2" w:space="0" w:color="000000"/>
            </w:tcBorders>
            <w:shd w:fill="auto" w:val="clear"/>
            <w:tcMar>
              <w:start w:w="27" w:type="dxa"/>
            </w:tcMar>
          </w:tcPr>
          <w:p>
            <w:pPr>
              <w:pStyle w:val="Normal"/>
              <w:rPr/>
            </w:pPr>
            <w:r>
              <w:rPr/>
              <w:t xml:space="preserve">       </w:t>
            </w:r>
            <w:r>
              <w:rPr/>
              <w:t>-</w:t>
            </w:r>
          </w:p>
          <w:p>
            <w:pPr>
              <w:pStyle w:val="Normal"/>
              <w:rPr/>
            </w:pPr>
            <w:r>
              <w:rPr/>
            </w:r>
          </w:p>
        </w:tc>
        <w:tc>
          <w:tcPr>
            <w:tcW w:w="855" w:type="dxa"/>
            <w:tcBorders>
              <w:start w:val="single" w:sz="2" w:space="0" w:color="000000"/>
            </w:tcBorders>
            <w:shd w:fill="auto" w:val="clear"/>
            <w:tcMar>
              <w:start w:w="27" w:type="dxa"/>
            </w:tcMar>
          </w:tcPr>
          <w:p>
            <w:pPr>
              <w:pStyle w:val="Normal"/>
              <w:rPr/>
            </w:pPr>
            <w:r>
              <w:rPr/>
              <w:t xml:space="preserve">       </w:t>
            </w:r>
            <w:r>
              <w:rPr/>
              <w:t xml:space="preserve">-  </w:t>
            </w:r>
          </w:p>
          <w:p>
            <w:pPr>
              <w:pStyle w:val="Normal"/>
              <w:rPr/>
            </w:pPr>
            <w:r>
              <w:rPr/>
            </w:r>
          </w:p>
        </w:tc>
        <w:tc>
          <w:tcPr>
            <w:tcW w:w="990" w:type="dxa"/>
            <w:tcBorders>
              <w:start w:val="single" w:sz="2" w:space="0" w:color="000000"/>
            </w:tcBorders>
            <w:shd w:fill="auto" w:val="clear"/>
            <w:tcMar>
              <w:start w:w="27" w:type="dxa"/>
            </w:tcMar>
          </w:tcPr>
          <w:p>
            <w:pPr>
              <w:pStyle w:val="Normal"/>
              <w:jc w:val="center"/>
              <w:rPr/>
            </w:pPr>
            <w:r>
              <w:rPr/>
              <w:t xml:space="preserve">8 </w:t>
            </w:r>
          </w:p>
          <w:p>
            <w:pPr>
              <w:pStyle w:val="Normal"/>
              <w:jc w:val="center"/>
              <w:rPr/>
            </w:pPr>
            <w:r>
              <w:rPr/>
            </w:r>
          </w:p>
        </w:tc>
        <w:tc>
          <w:tcPr>
            <w:tcW w:w="990" w:type="dxa"/>
            <w:tcBorders>
              <w:start w:val="single" w:sz="2" w:space="0" w:color="000000"/>
            </w:tcBorders>
            <w:shd w:fill="auto" w:val="clear"/>
            <w:tcMar>
              <w:start w:w="27" w:type="dxa"/>
            </w:tcMar>
          </w:tcPr>
          <w:p>
            <w:pPr>
              <w:pStyle w:val="Normal"/>
              <w:rPr/>
            </w:pPr>
            <w:r>
              <w:rPr/>
              <w:t xml:space="preserve">12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15 </w:t>
            </w:r>
          </w:p>
          <w:p>
            <w:pPr>
              <w:pStyle w:val="Normal"/>
              <w:rPr/>
            </w:pPr>
            <w:r>
              <w:rPr/>
            </w:r>
          </w:p>
        </w:tc>
      </w:tr>
      <w:tr>
        <w:trPr/>
        <w:tc>
          <w:tcPr>
            <w:tcW w:w="2070" w:type="dxa"/>
            <w:tcBorders>
              <w:start w:val="single" w:sz="2" w:space="0" w:color="000000"/>
            </w:tcBorders>
            <w:shd w:fill="auto" w:val="clear"/>
            <w:tcMar>
              <w:start w:w="27" w:type="dxa"/>
            </w:tcMar>
          </w:tcPr>
          <w:p>
            <w:pPr>
              <w:pStyle w:val="Normal"/>
              <w:jc w:val="both"/>
              <w:rPr/>
            </w:pPr>
            <w:r>
              <w:rPr/>
              <w:t xml:space="preserve">6. Помещение для хранения посуды и реактивов </w:t>
            </w:r>
          </w:p>
          <w:p>
            <w:pPr>
              <w:pStyle w:val="Normal"/>
              <w:jc w:val="both"/>
              <w:rPr/>
            </w:pPr>
            <w:r>
              <w:rPr/>
            </w:r>
          </w:p>
        </w:tc>
        <w:tc>
          <w:tcPr>
            <w:tcW w:w="705" w:type="dxa"/>
            <w:tcBorders>
              <w:start w:val="single" w:sz="2" w:space="0" w:color="000000"/>
            </w:tcBorders>
            <w:shd w:fill="auto" w:val="clear"/>
            <w:tcMar>
              <w:start w:w="27" w:type="dxa"/>
            </w:tcMar>
          </w:tcPr>
          <w:p>
            <w:pPr>
              <w:pStyle w:val="Normal"/>
              <w:jc w:val="center"/>
              <w:rPr/>
            </w:pPr>
            <w:r>
              <w:rPr/>
              <w:t xml:space="preserve">10 </w:t>
            </w:r>
          </w:p>
          <w:p>
            <w:pPr>
              <w:pStyle w:val="Normal"/>
              <w:jc w:val="center"/>
              <w:rPr/>
            </w:pPr>
            <w:r>
              <w:rPr/>
            </w:r>
          </w:p>
        </w:tc>
        <w:tc>
          <w:tcPr>
            <w:tcW w:w="855" w:type="dxa"/>
            <w:tcBorders>
              <w:start w:val="single" w:sz="2" w:space="0" w:color="000000"/>
            </w:tcBorders>
            <w:shd w:fill="auto" w:val="clear"/>
            <w:tcMar>
              <w:start w:w="27" w:type="dxa"/>
            </w:tcMar>
          </w:tcPr>
          <w:p>
            <w:pPr>
              <w:pStyle w:val="Normal"/>
              <w:rPr/>
            </w:pPr>
            <w:r>
              <w:rPr/>
              <w:t xml:space="preserve">10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10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15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20 </w:t>
            </w:r>
          </w:p>
          <w:p>
            <w:pPr>
              <w:pStyle w:val="Normal"/>
              <w:rPr/>
            </w:pPr>
            <w:r>
              <w:rPr/>
            </w:r>
          </w:p>
        </w:tc>
      </w:tr>
      <w:tr>
        <w:trPr/>
        <w:tc>
          <w:tcPr>
            <w:tcW w:w="2070" w:type="dxa"/>
            <w:tcBorders>
              <w:start w:val="single" w:sz="2" w:space="0" w:color="000000"/>
            </w:tcBorders>
            <w:shd w:fill="auto" w:val="clear"/>
            <w:tcMar>
              <w:start w:w="27" w:type="dxa"/>
            </w:tcMar>
          </w:tcPr>
          <w:p>
            <w:pPr>
              <w:pStyle w:val="Normal"/>
              <w:jc w:val="both"/>
              <w:rPr/>
            </w:pPr>
            <w:r>
              <w:rPr/>
              <w:t xml:space="preserve">7. Кабинет заведующего лабораторией </w:t>
            </w:r>
          </w:p>
          <w:p>
            <w:pPr>
              <w:pStyle w:val="Normal"/>
              <w:jc w:val="both"/>
              <w:rPr/>
            </w:pPr>
            <w:r>
              <w:rPr/>
            </w:r>
          </w:p>
        </w:tc>
        <w:tc>
          <w:tcPr>
            <w:tcW w:w="705" w:type="dxa"/>
            <w:tcBorders>
              <w:start w:val="single" w:sz="2" w:space="0" w:color="000000"/>
            </w:tcBorders>
            <w:shd w:fill="auto" w:val="clear"/>
            <w:tcMar>
              <w:start w:w="27" w:type="dxa"/>
            </w:tcMar>
          </w:tcPr>
          <w:p>
            <w:pPr>
              <w:pStyle w:val="Normal"/>
              <w:rPr/>
            </w:pPr>
            <w:r>
              <w:rPr/>
              <w:t xml:space="preserve">       </w:t>
            </w:r>
            <w:r>
              <w:rPr/>
              <w:t>-</w:t>
            </w:r>
          </w:p>
          <w:p>
            <w:pPr>
              <w:pStyle w:val="Normal"/>
              <w:rPr/>
            </w:pPr>
            <w:r>
              <w:rPr/>
            </w:r>
          </w:p>
        </w:tc>
        <w:tc>
          <w:tcPr>
            <w:tcW w:w="855" w:type="dxa"/>
            <w:tcBorders>
              <w:start w:val="single" w:sz="2" w:space="0" w:color="000000"/>
            </w:tcBorders>
            <w:shd w:fill="auto" w:val="clear"/>
            <w:tcMar>
              <w:start w:w="27" w:type="dxa"/>
            </w:tcMar>
          </w:tcPr>
          <w:p>
            <w:pPr>
              <w:pStyle w:val="Normal"/>
              <w:rPr/>
            </w:pPr>
            <w:r>
              <w:rPr/>
              <w:t xml:space="preserve">        </w:t>
            </w:r>
            <w:r>
              <w:rPr/>
              <w:t xml:space="preserve">-  </w:t>
            </w:r>
          </w:p>
          <w:p>
            <w:pPr>
              <w:pStyle w:val="Normal"/>
              <w:rPr/>
            </w:pPr>
            <w:r>
              <w:rPr/>
            </w:r>
          </w:p>
        </w:tc>
        <w:tc>
          <w:tcPr>
            <w:tcW w:w="990" w:type="dxa"/>
            <w:tcBorders>
              <w:start w:val="single" w:sz="2" w:space="0" w:color="000000"/>
            </w:tcBorders>
            <w:shd w:fill="auto" w:val="clear"/>
            <w:tcMar>
              <w:start w:w="27" w:type="dxa"/>
            </w:tcMar>
          </w:tcPr>
          <w:p>
            <w:pPr>
              <w:pStyle w:val="Normal"/>
              <w:jc w:val="center"/>
              <w:rPr/>
            </w:pPr>
            <w:r>
              <w:rPr/>
              <w:t xml:space="preserve">8 </w:t>
            </w:r>
          </w:p>
          <w:p>
            <w:pPr>
              <w:pStyle w:val="Normal"/>
              <w:jc w:val="center"/>
              <w:rPr/>
            </w:pPr>
            <w:r>
              <w:rPr/>
            </w:r>
          </w:p>
        </w:tc>
        <w:tc>
          <w:tcPr>
            <w:tcW w:w="990" w:type="dxa"/>
            <w:tcBorders>
              <w:start w:val="single" w:sz="2" w:space="0" w:color="000000"/>
            </w:tcBorders>
            <w:shd w:fill="auto" w:val="clear"/>
            <w:tcMar>
              <w:start w:w="27" w:type="dxa"/>
            </w:tcMar>
          </w:tcPr>
          <w:p>
            <w:pPr>
              <w:pStyle w:val="Normal"/>
              <w:rPr/>
            </w:pPr>
            <w:r>
              <w:rPr/>
              <w:t xml:space="preserve">10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12 </w:t>
            </w:r>
          </w:p>
          <w:p>
            <w:pPr>
              <w:pStyle w:val="Normal"/>
              <w:rPr/>
            </w:pPr>
            <w:r>
              <w:rPr/>
            </w:r>
          </w:p>
        </w:tc>
      </w:tr>
      <w:tr>
        <w:trPr/>
        <w:tc>
          <w:tcPr>
            <w:tcW w:w="2070" w:type="dxa"/>
            <w:tcBorders>
              <w:start w:val="single" w:sz="2" w:space="0" w:color="000000"/>
            </w:tcBorders>
            <w:shd w:fill="auto" w:val="clear"/>
            <w:tcMar>
              <w:start w:w="27" w:type="dxa"/>
            </w:tcMar>
          </w:tcPr>
          <w:p>
            <w:pPr>
              <w:pStyle w:val="Normal"/>
              <w:jc w:val="both"/>
              <w:rPr/>
            </w:pPr>
            <w:r>
              <w:rPr/>
              <w:t xml:space="preserve">8. Местный пункт управления </w:t>
            </w:r>
          </w:p>
          <w:p>
            <w:pPr>
              <w:pStyle w:val="Normal"/>
              <w:jc w:val="both"/>
              <w:rPr/>
            </w:pPr>
            <w:r>
              <w:rPr/>
            </w:r>
          </w:p>
        </w:tc>
        <w:tc>
          <w:tcPr>
            <w:tcW w:w="4625" w:type="dxa"/>
            <w:gridSpan w:val="5"/>
            <w:tcBorders>
              <w:start w:val="single" w:sz="2" w:space="0" w:color="000000"/>
              <w:end w:val="single" w:sz="2" w:space="0" w:color="000000"/>
              <w:insideV w:val="single" w:sz="2" w:space="0" w:color="000000"/>
            </w:tcBorders>
            <w:shd w:fill="auto" w:val="clear"/>
            <w:tcMar>
              <w:start w:w="27" w:type="dxa"/>
            </w:tcMar>
          </w:tcPr>
          <w:p>
            <w:pPr>
              <w:pStyle w:val="Normal"/>
              <w:jc w:val="center"/>
              <w:rPr/>
            </w:pPr>
            <w:r>
              <w:rPr/>
              <w:t xml:space="preserve">Назначается по проекту диспетчеризации и автоматизации </w:t>
            </w:r>
          </w:p>
          <w:p>
            <w:pPr>
              <w:pStyle w:val="Normal"/>
              <w:jc w:val="center"/>
              <w:rPr/>
            </w:pPr>
            <w:r>
              <w:rPr/>
            </w:r>
          </w:p>
        </w:tc>
      </w:tr>
      <w:tr>
        <w:trPr/>
        <w:tc>
          <w:tcPr>
            <w:tcW w:w="2070" w:type="dxa"/>
            <w:tcBorders>
              <w:start w:val="single" w:sz="2" w:space="0" w:color="000000"/>
            </w:tcBorders>
            <w:shd w:fill="auto" w:val="clear"/>
            <w:tcMar>
              <w:start w:w="27" w:type="dxa"/>
            </w:tcMar>
          </w:tcPr>
          <w:p>
            <w:pPr>
              <w:pStyle w:val="Normal"/>
              <w:jc w:val="both"/>
              <w:rPr/>
            </w:pPr>
            <w:r>
              <w:rPr/>
              <w:t xml:space="preserve">9. Комната для дежурного персонала </w:t>
            </w:r>
          </w:p>
          <w:p>
            <w:pPr>
              <w:pStyle w:val="Normal"/>
              <w:jc w:val="both"/>
              <w:rPr/>
            </w:pPr>
            <w:r>
              <w:rPr/>
            </w:r>
          </w:p>
        </w:tc>
        <w:tc>
          <w:tcPr>
            <w:tcW w:w="705" w:type="dxa"/>
            <w:tcBorders>
              <w:start w:val="single" w:sz="2" w:space="0" w:color="000000"/>
            </w:tcBorders>
            <w:shd w:fill="auto" w:val="clear"/>
            <w:tcMar>
              <w:start w:w="27" w:type="dxa"/>
            </w:tcMar>
          </w:tcPr>
          <w:p>
            <w:pPr>
              <w:pStyle w:val="Normal"/>
              <w:jc w:val="center"/>
              <w:rPr/>
            </w:pPr>
            <w:r>
              <w:rPr/>
              <w:t xml:space="preserve">8 </w:t>
            </w:r>
          </w:p>
          <w:p>
            <w:pPr>
              <w:pStyle w:val="Normal"/>
              <w:jc w:val="center"/>
              <w:rPr/>
            </w:pPr>
            <w:r>
              <w:rPr/>
            </w:r>
          </w:p>
        </w:tc>
        <w:tc>
          <w:tcPr>
            <w:tcW w:w="855" w:type="dxa"/>
            <w:tcBorders>
              <w:start w:val="single" w:sz="2" w:space="0" w:color="000000"/>
            </w:tcBorders>
            <w:shd w:fill="auto" w:val="clear"/>
            <w:tcMar>
              <w:start w:w="27" w:type="dxa"/>
            </w:tcMar>
          </w:tcPr>
          <w:p>
            <w:pPr>
              <w:pStyle w:val="Normal"/>
              <w:rPr/>
            </w:pPr>
            <w:r>
              <w:rPr/>
              <w:t xml:space="preserve">10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15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20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25 </w:t>
            </w:r>
          </w:p>
          <w:p>
            <w:pPr>
              <w:pStyle w:val="Normal"/>
              <w:rPr/>
            </w:pPr>
            <w:r>
              <w:rPr/>
            </w:r>
          </w:p>
        </w:tc>
      </w:tr>
      <w:tr>
        <w:trPr/>
        <w:tc>
          <w:tcPr>
            <w:tcW w:w="2070" w:type="dxa"/>
            <w:tcBorders>
              <w:start w:val="single" w:sz="2" w:space="0" w:color="000000"/>
            </w:tcBorders>
            <w:shd w:fill="auto" w:val="clear"/>
            <w:tcMar>
              <w:start w:w="27" w:type="dxa"/>
            </w:tcMar>
          </w:tcPr>
          <w:p>
            <w:pPr>
              <w:pStyle w:val="Normal"/>
              <w:jc w:val="both"/>
              <w:rPr/>
            </w:pPr>
            <w:r>
              <w:rPr/>
              <w:t xml:space="preserve">10. Контрольная лаборатория </w:t>
            </w:r>
          </w:p>
          <w:p>
            <w:pPr>
              <w:pStyle w:val="Normal"/>
              <w:jc w:val="both"/>
              <w:rPr/>
            </w:pPr>
            <w:r>
              <w:rPr/>
            </w:r>
          </w:p>
        </w:tc>
        <w:tc>
          <w:tcPr>
            <w:tcW w:w="705" w:type="dxa"/>
            <w:tcBorders>
              <w:start w:val="single" w:sz="2" w:space="0" w:color="000000"/>
            </w:tcBorders>
            <w:shd w:fill="auto" w:val="clear"/>
            <w:tcMar>
              <w:start w:w="27" w:type="dxa"/>
            </w:tcMar>
          </w:tcPr>
          <w:p>
            <w:pPr>
              <w:pStyle w:val="Normal"/>
              <w:rPr/>
            </w:pPr>
            <w:r>
              <w:rPr/>
              <w:t xml:space="preserve">       </w:t>
            </w:r>
            <w:r>
              <w:rPr/>
              <w:t>-</w:t>
            </w:r>
          </w:p>
          <w:p>
            <w:pPr>
              <w:pStyle w:val="Normal"/>
              <w:rPr/>
            </w:pPr>
            <w:r>
              <w:rPr/>
            </w:r>
          </w:p>
        </w:tc>
        <w:tc>
          <w:tcPr>
            <w:tcW w:w="855" w:type="dxa"/>
            <w:tcBorders>
              <w:start w:val="single" w:sz="2" w:space="0" w:color="000000"/>
            </w:tcBorders>
            <w:shd w:fill="auto" w:val="clear"/>
            <w:tcMar>
              <w:start w:w="27" w:type="dxa"/>
            </w:tcMar>
          </w:tcPr>
          <w:p>
            <w:pPr>
              <w:pStyle w:val="Normal"/>
              <w:jc w:val="center"/>
              <w:rPr/>
            </w:pPr>
            <w:r>
              <w:rPr/>
              <w:t xml:space="preserve">10 </w:t>
            </w:r>
          </w:p>
          <w:p>
            <w:pPr>
              <w:pStyle w:val="Normal"/>
              <w:jc w:val="center"/>
              <w:rPr/>
            </w:pPr>
            <w:r>
              <w:rPr/>
            </w:r>
          </w:p>
        </w:tc>
        <w:tc>
          <w:tcPr>
            <w:tcW w:w="990" w:type="dxa"/>
            <w:tcBorders>
              <w:start w:val="single" w:sz="2" w:space="0" w:color="000000"/>
            </w:tcBorders>
            <w:shd w:fill="auto" w:val="clear"/>
            <w:tcMar>
              <w:start w:w="27" w:type="dxa"/>
            </w:tcMar>
          </w:tcPr>
          <w:p>
            <w:pPr>
              <w:pStyle w:val="Normal"/>
              <w:rPr/>
            </w:pPr>
            <w:r>
              <w:rPr/>
              <w:t xml:space="preserve">10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15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15 </w:t>
            </w:r>
          </w:p>
          <w:p>
            <w:pPr>
              <w:pStyle w:val="Normal"/>
              <w:rPr/>
            </w:pPr>
            <w:r>
              <w:rPr/>
            </w:r>
          </w:p>
        </w:tc>
      </w:tr>
      <w:tr>
        <w:trPr/>
        <w:tc>
          <w:tcPr>
            <w:tcW w:w="2070" w:type="dxa"/>
            <w:tcBorders>
              <w:start w:val="single" w:sz="2" w:space="0" w:color="000000"/>
            </w:tcBorders>
            <w:shd w:fill="auto" w:val="clear"/>
            <w:tcMar>
              <w:start w:w="27" w:type="dxa"/>
            </w:tcMar>
          </w:tcPr>
          <w:p>
            <w:pPr>
              <w:pStyle w:val="Normal"/>
              <w:jc w:val="both"/>
              <w:rPr/>
            </w:pPr>
            <w:r>
              <w:rPr/>
              <w:t xml:space="preserve">11. Кабинет начальника станции </w:t>
            </w:r>
          </w:p>
          <w:p>
            <w:pPr>
              <w:pStyle w:val="Normal"/>
              <w:jc w:val="both"/>
              <w:rPr/>
            </w:pPr>
            <w:r>
              <w:rPr/>
            </w:r>
          </w:p>
        </w:tc>
        <w:tc>
          <w:tcPr>
            <w:tcW w:w="705" w:type="dxa"/>
            <w:tcBorders>
              <w:start w:val="single" w:sz="2" w:space="0" w:color="000000"/>
            </w:tcBorders>
            <w:shd w:fill="auto" w:val="clear"/>
            <w:tcMar>
              <w:start w:w="27" w:type="dxa"/>
            </w:tcMar>
          </w:tcPr>
          <w:p>
            <w:pPr>
              <w:pStyle w:val="Normal"/>
              <w:jc w:val="center"/>
              <w:rPr/>
            </w:pPr>
            <w:r>
              <w:rPr/>
              <w:t xml:space="preserve">6 </w:t>
            </w:r>
          </w:p>
          <w:p>
            <w:pPr>
              <w:pStyle w:val="Normal"/>
              <w:jc w:val="center"/>
              <w:rPr/>
            </w:pPr>
            <w:r>
              <w:rPr/>
            </w:r>
          </w:p>
        </w:tc>
        <w:tc>
          <w:tcPr>
            <w:tcW w:w="855" w:type="dxa"/>
            <w:tcBorders>
              <w:start w:val="single" w:sz="2" w:space="0" w:color="000000"/>
            </w:tcBorders>
            <w:shd w:fill="auto" w:val="clear"/>
            <w:tcMar>
              <w:start w:w="27" w:type="dxa"/>
            </w:tcMar>
          </w:tcPr>
          <w:p>
            <w:pPr>
              <w:pStyle w:val="Normal"/>
              <w:rPr/>
            </w:pPr>
            <w:r>
              <w:rPr/>
              <w:t xml:space="preserve">6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15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15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25 </w:t>
            </w:r>
          </w:p>
          <w:p>
            <w:pPr>
              <w:pStyle w:val="Normal"/>
              <w:rPr/>
            </w:pPr>
            <w:r>
              <w:rPr/>
            </w:r>
          </w:p>
        </w:tc>
      </w:tr>
      <w:tr>
        <w:trPr/>
        <w:tc>
          <w:tcPr>
            <w:tcW w:w="2070" w:type="dxa"/>
            <w:tcBorders>
              <w:start w:val="single" w:sz="2" w:space="0" w:color="000000"/>
            </w:tcBorders>
            <w:shd w:fill="auto" w:val="clear"/>
            <w:tcMar>
              <w:start w:w="27" w:type="dxa"/>
            </w:tcMar>
          </w:tcPr>
          <w:p>
            <w:pPr>
              <w:pStyle w:val="Normal"/>
              <w:jc w:val="both"/>
              <w:rPr/>
            </w:pPr>
            <w:r>
              <w:rPr/>
              <w:t xml:space="preserve">12. Мастерская для текущего ремонта мелкого оборудования и приборов </w:t>
            </w:r>
          </w:p>
          <w:p>
            <w:pPr>
              <w:pStyle w:val="Normal"/>
              <w:jc w:val="both"/>
              <w:rPr/>
            </w:pPr>
            <w:r>
              <w:rPr/>
            </w:r>
          </w:p>
        </w:tc>
        <w:tc>
          <w:tcPr>
            <w:tcW w:w="705" w:type="dxa"/>
            <w:tcBorders>
              <w:start w:val="single" w:sz="2" w:space="0" w:color="000000"/>
            </w:tcBorders>
            <w:shd w:fill="auto" w:val="clear"/>
            <w:tcMar>
              <w:start w:w="27" w:type="dxa"/>
            </w:tcMar>
          </w:tcPr>
          <w:p>
            <w:pPr>
              <w:pStyle w:val="Normal"/>
              <w:jc w:val="center"/>
              <w:rPr/>
            </w:pPr>
            <w:r>
              <w:rPr/>
              <w:t xml:space="preserve">10 </w:t>
            </w:r>
          </w:p>
          <w:p>
            <w:pPr>
              <w:pStyle w:val="Normal"/>
              <w:jc w:val="center"/>
              <w:rPr/>
            </w:pPr>
            <w:r>
              <w:rPr/>
            </w:r>
          </w:p>
        </w:tc>
        <w:tc>
          <w:tcPr>
            <w:tcW w:w="855" w:type="dxa"/>
            <w:tcBorders>
              <w:start w:val="single" w:sz="2" w:space="0" w:color="000000"/>
            </w:tcBorders>
            <w:shd w:fill="auto" w:val="clear"/>
            <w:tcMar>
              <w:start w:w="27" w:type="dxa"/>
            </w:tcMar>
          </w:tcPr>
          <w:p>
            <w:pPr>
              <w:pStyle w:val="Normal"/>
              <w:rPr/>
            </w:pPr>
            <w:r>
              <w:rPr/>
              <w:t xml:space="preserve">10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15 </w:t>
            </w:r>
          </w:p>
          <w:p>
            <w:pPr>
              <w:pStyle w:val="Normal"/>
              <w:rPr/>
            </w:pPr>
            <w:r>
              <w:rPr/>
            </w:r>
          </w:p>
        </w:tc>
        <w:tc>
          <w:tcPr>
            <w:tcW w:w="990" w:type="dxa"/>
            <w:tcBorders>
              <w:start w:val="single" w:sz="2" w:space="0" w:color="000000"/>
            </w:tcBorders>
            <w:shd w:fill="auto" w:val="clear"/>
            <w:tcMar>
              <w:start w:w="27" w:type="dxa"/>
            </w:tcMar>
          </w:tcPr>
          <w:p>
            <w:pPr>
              <w:pStyle w:val="Normal"/>
              <w:rPr/>
            </w:pPr>
            <w:r>
              <w:rPr/>
              <w:t xml:space="preserve">20 </w:t>
            </w:r>
          </w:p>
          <w:p>
            <w:pPr>
              <w:pStyle w:val="Normal"/>
              <w:rPr/>
            </w:pPr>
            <w:r>
              <w:rPr/>
            </w:r>
          </w:p>
        </w:tc>
        <w:tc>
          <w:tcPr>
            <w:tcW w:w="107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25 </w:t>
            </w:r>
          </w:p>
          <w:p>
            <w:pPr>
              <w:pStyle w:val="Normal"/>
              <w:rPr/>
            </w:pPr>
            <w:r>
              <w:rPr/>
            </w:r>
          </w:p>
        </w:tc>
      </w:tr>
      <w:tr>
        <w:trPr/>
        <w:tc>
          <w:tcPr>
            <w:tcW w:w="2070" w:type="dxa"/>
            <w:tcBorders>
              <w:start w:val="single" w:sz="2" w:space="0" w:color="000000"/>
              <w:bottom w:val="single" w:sz="2" w:space="0" w:color="000000"/>
              <w:insideH w:val="single" w:sz="2" w:space="0" w:color="000000"/>
            </w:tcBorders>
            <w:shd w:fill="auto" w:val="clear"/>
            <w:tcMar>
              <w:start w:w="27" w:type="dxa"/>
            </w:tcMar>
          </w:tcPr>
          <w:p>
            <w:pPr>
              <w:pStyle w:val="Normal"/>
              <w:jc w:val="both"/>
              <w:rPr/>
            </w:pPr>
            <w:r>
              <w:rPr/>
              <w:t xml:space="preserve">13. Гардеробная, душ и санитарно-технический узел </w:t>
            </w:r>
          </w:p>
          <w:p>
            <w:pPr>
              <w:pStyle w:val="Normal"/>
              <w:jc w:val="both"/>
              <w:rPr/>
            </w:pPr>
            <w:r>
              <w:rPr/>
            </w:r>
          </w:p>
        </w:tc>
        <w:tc>
          <w:tcPr>
            <w:tcW w:w="4625" w:type="dxa"/>
            <w:gridSpan w:val="5"/>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jc w:val="center"/>
              <w:rPr/>
            </w:pPr>
            <w:r>
              <w:rPr/>
              <w:t xml:space="preserve">По </w:t>
            </w:r>
            <w:r>
              <w:rPr>
                <w:vanish/>
              </w:rPr>
              <w:t>#M12291 5200093</w:t>
            </w:r>
            <w:r>
              <w:rPr/>
              <w:t>СНиП 2.09.04-87*</w:t>
            </w:r>
            <w:r>
              <w:rPr>
                <w:vanish/>
              </w:rPr>
              <w:t>#S</w:t>
            </w:r>
          </w:p>
          <w:p>
            <w:pPr>
              <w:pStyle w:val="Normal"/>
              <w:jc w:val="center"/>
              <w:rPr/>
            </w:pPr>
            <w:r>
              <w:rPr/>
            </w:r>
          </w:p>
        </w:tc>
      </w:tr>
    </w:tbl>
    <w:p>
      <w:pPr>
        <w:pStyle w:val="Normal"/>
        <w:jc w:val="both"/>
        <w:rPr/>
      </w:pPr>
      <w:r>
        <w:rPr/>
      </w:r>
    </w:p>
    <w:p>
      <w:pPr>
        <w:pStyle w:val="Normal"/>
        <w:jc w:val="both"/>
        <w:rPr/>
      </w:pPr>
      <w:r>
        <w:rPr/>
      </w:r>
    </w:p>
    <w:p>
      <w:pPr>
        <w:pStyle w:val="Normal"/>
        <w:ind w:firstLine="270"/>
        <w:jc w:val="both"/>
        <w:rPr/>
      </w:pPr>
      <w:r>
        <w:rPr/>
        <w:t>Примечания: 1. Допускается изменение площадей лаборатории и вспомогательных помещений до 15% указанных в таблице в зависимости от строительных решений зданий.</w:t>
      </w:r>
    </w:p>
    <w:p>
      <w:pPr>
        <w:pStyle w:val="Normal"/>
        <w:ind w:firstLine="270"/>
        <w:jc w:val="both"/>
        <w:rPr/>
      </w:pPr>
      <w:r>
        <w:rPr/>
      </w:r>
    </w:p>
    <w:p>
      <w:pPr>
        <w:pStyle w:val="Normal"/>
        <w:ind w:firstLine="225"/>
        <w:jc w:val="both"/>
        <w:rPr/>
      </w:pPr>
      <w:r>
        <w:rPr/>
        <w:t>2. При централизованном контроле качества воды состав лабораторий и вспомогательных помещений может быть уменьшен по согласованию с органами санитарно-эпидемиологической службы.</w:t>
      </w:r>
    </w:p>
    <w:p>
      <w:pPr>
        <w:pStyle w:val="Normal"/>
        <w:ind w:firstLine="225"/>
        <w:jc w:val="both"/>
        <w:rPr/>
      </w:pPr>
      <w:r>
        <w:rPr/>
      </w:r>
    </w:p>
    <w:p>
      <w:pPr>
        <w:pStyle w:val="Normal"/>
        <w:ind w:firstLine="225"/>
        <w:jc w:val="both"/>
        <w:rPr/>
      </w:pPr>
      <w:r>
        <w:rPr/>
        <w:t>3. При подаче потребителям подземной воды без подготовки с обеззараживанием ее хлором надлежит предусматривать только помещение площадью 6 кв.м для проведения анализа на содержание остаточного хлора.</w:t>
      </w:r>
    </w:p>
    <w:p>
      <w:pPr>
        <w:pStyle w:val="Normal"/>
        <w:ind w:firstLine="225"/>
        <w:jc w:val="both"/>
        <w:rPr/>
      </w:pPr>
      <w:r>
        <w:rPr/>
      </w:r>
    </w:p>
    <w:p>
      <w:pPr>
        <w:pStyle w:val="Normal"/>
        <w:ind w:firstLine="225"/>
        <w:jc w:val="both"/>
        <w:rPr/>
      </w:pPr>
      <w:r>
        <w:rPr/>
        <w:t>4. Для станций производительностью более 300000 куб.м/сут состав помещений следует устанавливать в каждом отельном случае в зависимости от местных условий.</w:t>
      </w:r>
    </w:p>
    <w:p>
      <w:pPr>
        <w:pStyle w:val="Normal"/>
        <w:ind w:firstLine="270"/>
        <w:jc w:val="both"/>
        <w:rPr/>
      </w:pPr>
      <w:r>
        <w:rPr/>
      </w:r>
    </w:p>
    <w:p>
      <w:pPr>
        <w:pStyle w:val="Normal"/>
        <w:ind w:firstLine="270"/>
        <w:jc w:val="both"/>
        <w:rPr/>
      </w:pPr>
      <w:r>
        <w:rPr/>
        <w:t>6.203. Склад в зависимости от вида реагента следует проектировать на сухое или мокрое хранение в виде концентрированного раствора. При объемах разовой поставки, превышающих 30-суточное потребление реагентов, хранящихся в мокром виде, допускается устройство дополнительного склада для сухого хранения части реагентов.</w:t>
      </w:r>
    </w:p>
    <w:p>
      <w:pPr>
        <w:pStyle w:val="Normal"/>
        <w:ind w:firstLine="270"/>
        <w:jc w:val="both"/>
        <w:rPr/>
      </w:pPr>
      <w:r>
        <w:rPr/>
      </w:r>
    </w:p>
    <w:p>
      <w:pPr>
        <w:pStyle w:val="Normal"/>
        <w:ind w:firstLine="225"/>
        <w:jc w:val="both"/>
        <w:rPr/>
      </w:pPr>
      <w:r>
        <w:rPr/>
        <w:t>6.204. Сухое хранение реагентов надлежит предусматривать в закрытых складах.</w:t>
      </w:r>
    </w:p>
    <w:p>
      <w:pPr>
        <w:pStyle w:val="Normal"/>
        <w:ind w:firstLine="225"/>
        <w:jc w:val="both"/>
        <w:rPr/>
      </w:pPr>
      <w:r>
        <w:rPr/>
      </w:r>
    </w:p>
    <w:p>
      <w:pPr>
        <w:pStyle w:val="Normal"/>
        <w:ind w:firstLine="270"/>
        <w:jc w:val="both"/>
        <w:rPr/>
      </w:pPr>
      <w:r>
        <w:rPr/>
        <w:t>При определении площади склада для хранения коагулянта высоту слоя следует принимать 2 м, извести 1,5 м; при механизированной выгрузке высота слоя может быть увеличена: коагулянта до 3,5 м; извести до 2,5 м.</w:t>
      </w:r>
    </w:p>
    <w:p>
      <w:pPr>
        <w:pStyle w:val="Normal"/>
        <w:ind w:firstLine="225"/>
        <w:jc w:val="both"/>
        <w:rPr/>
      </w:pPr>
      <w:r>
        <w:rPr/>
      </w:r>
    </w:p>
    <w:p>
      <w:pPr>
        <w:pStyle w:val="Normal"/>
        <w:ind w:firstLine="270"/>
        <w:jc w:val="both"/>
        <w:rPr/>
      </w:pPr>
      <w:r>
        <w:rPr/>
        <w:t xml:space="preserve">Хранение затаренных заводом-поставщиком реагентов следует предусматривать в таре. </w:t>
      </w:r>
    </w:p>
    <w:p>
      <w:pPr>
        <w:pStyle w:val="Normal"/>
        <w:ind w:firstLine="225"/>
        <w:jc w:val="both"/>
        <w:rPr/>
      </w:pPr>
      <w:r>
        <w:rPr/>
      </w:r>
    </w:p>
    <w:p>
      <w:pPr>
        <w:pStyle w:val="Normal"/>
        <w:ind w:firstLine="270"/>
        <w:jc w:val="both"/>
        <w:rPr/>
      </w:pPr>
      <w:r>
        <w:rPr/>
        <w:t>Разгерметизация тары с хлорным железом и силикатом натрия, замораживание и хранение полиакриламида более 6 месяцев не допускается.</w:t>
      </w:r>
    </w:p>
    <w:p>
      <w:pPr>
        <w:pStyle w:val="Normal"/>
        <w:ind w:firstLine="225"/>
        <w:jc w:val="both"/>
        <w:rPr/>
      </w:pPr>
      <w:r>
        <w:rPr/>
      </w:r>
    </w:p>
    <w:p>
      <w:pPr>
        <w:pStyle w:val="Normal"/>
        <w:ind w:firstLine="270"/>
        <w:jc w:val="both"/>
        <w:rPr/>
      </w:pPr>
      <w:r>
        <w:rPr/>
        <w:t>6.205. При мокром хранении коагулянта в растворных баках с получением в них концентрированного раствора (15-20 %), в зависимости от конструкции баков и крепости раствора реагента объем баков следует определять из расчета 2,2-2,5 куб.м на 1 т товарного неочищенного коагулянта и 1,9 - 2,2 куб.м на 1 т очищенного коагулянта.</w:t>
      </w:r>
    </w:p>
    <w:p>
      <w:pPr>
        <w:pStyle w:val="Normal"/>
        <w:ind w:firstLine="225"/>
        <w:jc w:val="both"/>
        <w:rPr/>
      </w:pPr>
      <w:r>
        <w:rPr/>
      </w:r>
    </w:p>
    <w:p>
      <w:pPr>
        <w:pStyle w:val="Normal"/>
        <w:ind w:firstLine="270"/>
        <w:jc w:val="both"/>
        <w:rPr/>
      </w:pPr>
      <w:r>
        <w:rPr/>
        <w:t>Общая емкость растворных баков должна быть увязана с объемом разовой поставки реагента. Количество растворных баков должно быть не менее трех.</w:t>
      </w:r>
    </w:p>
    <w:p>
      <w:pPr>
        <w:pStyle w:val="Normal"/>
        <w:ind w:firstLine="225"/>
        <w:jc w:val="both"/>
        <w:rPr/>
      </w:pPr>
      <w:r>
        <w:rPr/>
      </w:r>
    </w:p>
    <w:p>
      <w:pPr>
        <w:pStyle w:val="Normal"/>
        <w:ind w:firstLine="270"/>
        <w:jc w:val="both"/>
        <w:rPr/>
      </w:pPr>
      <w:r>
        <w:rPr/>
        <w:t>6.206. При месячном потреблении коагулянта более объема его разовой поставки часть реагента должна храниться в баках-хранилищах концентрированного раствора реагента, объем которых следует определять из расчета 1,5-1,7 куб.м на 1 т товарного коагулянта.</w:t>
      </w:r>
    </w:p>
    <w:p>
      <w:pPr>
        <w:pStyle w:val="Normal"/>
        <w:ind w:firstLine="270"/>
        <w:jc w:val="both"/>
        <w:rPr/>
      </w:pPr>
      <w:r>
        <w:rPr/>
      </w:r>
    </w:p>
    <w:p>
      <w:pPr>
        <w:pStyle w:val="Normal"/>
        <w:ind w:firstLine="225"/>
        <w:jc w:val="both"/>
        <w:rPr/>
      </w:pPr>
      <w:r>
        <w:rPr/>
        <w:t>Допускается размещение растворных баков и баков-хранилищ вне здания. При этом должен быть обеспечен контроль за состоянием стен баков и предусмотрены мероприятия, исключающие проникновение раствора в грунт.</w:t>
      </w:r>
    </w:p>
    <w:p>
      <w:pPr>
        <w:pStyle w:val="Normal"/>
        <w:ind w:firstLine="225"/>
        <w:jc w:val="both"/>
        <w:rPr/>
      </w:pPr>
      <w:r>
        <w:rPr/>
      </w:r>
    </w:p>
    <w:p>
      <w:pPr>
        <w:pStyle w:val="Normal"/>
        <w:ind w:firstLine="270"/>
        <w:jc w:val="both"/>
        <w:rPr/>
      </w:pPr>
      <w:r>
        <w:rPr/>
        <w:t>Количество баков-хранилищ должно быть не менее трех.</w:t>
      </w:r>
    </w:p>
    <w:p>
      <w:pPr>
        <w:pStyle w:val="Normal"/>
        <w:ind w:firstLine="225"/>
        <w:jc w:val="both"/>
        <w:rPr/>
      </w:pPr>
      <w:r>
        <w:rPr/>
      </w:r>
    </w:p>
    <w:p>
      <w:pPr>
        <w:pStyle w:val="Normal"/>
        <w:ind w:firstLine="270"/>
        <w:jc w:val="both"/>
        <w:rPr/>
      </w:pPr>
      <w:r>
        <w:rPr/>
        <w:t>6.207. При использовании комовой извести следует предусматривать ее гашение и хранение в емкостях в виде теста 35-40 % концентрации. Объем емкостей следует определять из расчета 3,5-5 куб.м на 1 т товарной извести. Емкости для гашения следует размещать в изолированном помещении.</w:t>
      </w:r>
    </w:p>
    <w:p>
      <w:pPr>
        <w:pStyle w:val="Normal"/>
        <w:ind w:firstLine="225"/>
        <w:jc w:val="both"/>
        <w:rPr/>
      </w:pPr>
      <w:r>
        <w:rPr/>
      </w:r>
    </w:p>
    <w:p>
      <w:pPr>
        <w:pStyle w:val="Normal"/>
        <w:ind w:firstLine="270"/>
        <w:jc w:val="both"/>
        <w:rPr/>
      </w:pPr>
      <w:r>
        <w:rPr/>
        <w:t>Допускается сухое хранение извести с последующим дроблением и гашением в известегасильных аппаратах.</w:t>
      </w:r>
    </w:p>
    <w:p>
      <w:pPr>
        <w:pStyle w:val="Normal"/>
        <w:ind w:firstLine="270"/>
        <w:jc w:val="both"/>
        <w:rPr/>
      </w:pPr>
      <w:r>
        <w:rPr/>
      </w:r>
    </w:p>
    <w:p>
      <w:pPr>
        <w:pStyle w:val="Normal"/>
        <w:ind w:firstLine="225"/>
        <w:jc w:val="both"/>
        <w:rPr/>
      </w:pPr>
      <w:r>
        <w:rPr/>
        <w:t>При возможности централизованных поставок известкового теста или молока надлежит предусматривать их мокрое хранение.</w:t>
      </w:r>
    </w:p>
    <w:p>
      <w:pPr>
        <w:pStyle w:val="Normal"/>
        <w:ind w:firstLine="225"/>
        <w:jc w:val="both"/>
        <w:rPr/>
      </w:pPr>
      <w:r>
        <w:rPr/>
      </w:r>
    </w:p>
    <w:p>
      <w:pPr>
        <w:pStyle w:val="Normal"/>
        <w:ind w:firstLine="270"/>
        <w:jc w:val="both"/>
        <w:rPr/>
      </w:pPr>
      <w:r>
        <w:rPr/>
        <w:t>6.208. Склад активного угля следует размещать в отдельном помещении. Требования взрывобезопасности к помещению склада не предъявляются, по пожарной опасности его следует относить к категории В.</w:t>
      </w:r>
    </w:p>
    <w:p>
      <w:pPr>
        <w:pStyle w:val="Normal"/>
        <w:ind w:firstLine="270"/>
        <w:jc w:val="both"/>
        <w:rPr/>
      </w:pPr>
      <w:r>
        <w:rPr/>
      </w:r>
    </w:p>
    <w:p>
      <w:pPr>
        <w:pStyle w:val="Normal"/>
        <w:ind w:firstLine="225"/>
        <w:jc w:val="both"/>
        <w:rPr/>
      </w:pPr>
      <w:r>
        <w:rPr/>
        <w:t>6.209. Помещения для хранения запаса катионита и анионита надлежит рассчитывать на объем загрузки двух катионитных фильтров, одного анионитного фильтра со слабоосновным и одного с сильноосновным анионитом в случае его применения.</w:t>
      </w:r>
    </w:p>
    <w:p>
      <w:pPr>
        <w:pStyle w:val="Normal"/>
        <w:ind w:firstLine="270"/>
        <w:jc w:val="both"/>
        <w:rPr/>
      </w:pPr>
      <w:r>
        <w:rPr/>
      </w:r>
    </w:p>
    <w:p>
      <w:pPr>
        <w:pStyle w:val="Normal"/>
        <w:ind w:firstLine="225"/>
        <w:jc w:val="both"/>
        <w:rPr/>
      </w:pPr>
      <w:r>
        <w:rPr/>
        <w:t>6.210. Склады для хранения реагентов (кроме хлора и аммиака) надлежит располагать вблизи помещений для приготовления их растворов и суспензий.</w:t>
      </w:r>
    </w:p>
    <w:p>
      <w:pPr>
        <w:pStyle w:val="Normal"/>
        <w:ind w:firstLine="225"/>
        <w:jc w:val="both"/>
        <w:rPr/>
      </w:pPr>
      <w:r>
        <w:rPr/>
      </w:r>
    </w:p>
    <w:p>
      <w:pPr>
        <w:pStyle w:val="Normal"/>
        <w:ind w:firstLine="270"/>
        <w:jc w:val="both"/>
        <w:rPr/>
      </w:pPr>
      <w:r>
        <w:rPr/>
        <w:t>6.211. Емкость расходного склада хлора не должна превышать 100 т, одного полностью изолированного отсека - 50 т. Склад или отсек должен иметь два выхода с противоположных сторон здания или помещения.</w:t>
      </w:r>
    </w:p>
    <w:p>
      <w:pPr>
        <w:pStyle w:val="Normal"/>
        <w:ind w:firstLine="225"/>
        <w:jc w:val="both"/>
        <w:rPr/>
      </w:pPr>
      <w:r>
        <w:rPr/>
      </w:r>
    </w:p>
    <w:p>
      <w:pPr>
        <w:pStyle w:val="Normal"/>
        <w:ind w:firstLine="270"/>
        <w:jc w:val="both"/>
        <w:rPr/>
      </w:pPr>
      <w:r>
        <w:rPr/>
        <w:t>Склад следует размещать в наземных или полузаглубленных (с устройством двух лестниц) зданиях.</w:t>
      </w:r>
    </w:p>
    <w:p>
      <w:pPr>
        <w:pStyle w:val="Normal"/>
        <w:ind w:firstLine="225"/>
        <w:jc w:val="both"/>
        <w:rPr/>
      </w:pPr>
      <w:r>
        <w:rPr/>
      </w:r>
    </w:p>
    <w:p>
      <w:pPr>
        <w:pStyle w:val="Normal"/>
        <w:ind w:firstLine="270"/>
        <w:jc w:val="both"/>
        <w:rPr/>
      </w:pPr>
      <w:r>
        <w:rPr/>
        <w:t>Хранение хлора должно предусматриваться в баллонах или контейнерах; при суточном расходе хлора более 1 т допускается применять танки заводского изготовления вместимостью до 50 т, при этом розлив хлора в баллоны или контейнеры на станции запрещается.</w:t>
      </w:r>
    </w:p>
    <w:p>
      <w:pPr>
        <w:pStyle w:val="Normal"/>
        <w:ind w:firstLine="270"/>
        <w:jc w:val="both"/>
        <w:rPr/>
      </w:pPr>
      <w:r>
        <w:rPr/>
      </w:r>
    </w:p>
    <w:p>
      <w:pPr>
        <w:pStyle w:val="Normal"/>
        <w:ind w:firstLine="225"/>
        <w:jc w:val="both"/>
        <w:rPr/>
      </w:pPr>
      <w:r>
        <w:rPr/>
        <w:t>В складе следует предусматривать устройства для транспортирования реагентов в нестационарной таре (контейнеры, баллоны).</w:t>
      </w:r>
    </w:p>
    <w:p>
      <w:pPr>
        <w:pStyle w:val="Normal"/>
        <w:ind w:firstLine="225"/>
        <w:jc w:val="both"/>
        <w:rPr/>
      </w:pPr>
      <w:r>
        <w:rPr/>
      </w:r>
    </w:p>
    <w:p>
      <w:pPr>
        <w:pStyle w:val="Normal"/>
        <w:ind w:firstLine="270"/>
        <w:jc w:val="both"/>
        <w:rPr/>
      </w:pPr>
      <w:r>
        <w:rPr/>
        <w:t>Въезд в помещение склада автомобильного транспорта не допускается. Порожнюю тару надлежит хранить в помещении склада.</w:t>
      </w:r>
    </w:p>
    <w:p>
      <w:pPr>
        <w:pStyle w:val="Normal"/>
        <w:ind w:firstLine="225"/>
        <w:jc w:val="both"/>
        <w:rPr/>
      </w:pPr>
      <w:r>
        <w:rPr/>
      </w:r>
    </w:p>
    <w:p>
      <w:pPr>
        <w:pStyle w:val="Normal"/>
        <w:ind w:firstLine="270"/>
        <w:jc w:val="both"/>
        <w:rPr/>
      </w:pPr>
      <w:r>
        <w:rPr/>
        <w:t xml:space="preserve">Сосуды с хлором должны размещаться на подставках или рамках, иметь свободный доступ для строповки и захвата при транспортировании. </w:t>
      </w:r>
    </w:p>
    <w:p>
      <w:pPr>
        <w:pStyle w:val="Normal"/>
        <w:ind w:firstLine="225"/>
        <w:jc w:val="both"/>
        <w:rPr/>
      </w:pPr>
      <w:r>
        <w:rPr/>
      </w:r>
    </w:p>
    <w:p>
      <w:pPr>
        <w:pStyle w:val="Normal"/>
        <w:ind w:firstLine="270"/>
        <w:jc w:val="both"/>
        <w:rPr/>
      </w:pPr>
      <w:r>
        <w:rPr/>
        <w:t>6.212. В помещении склада хлора надлежит предусматривать емкость с нейтрализационным раствором для быстрого погружения аварийных контейнеров или баллонов. Расстояние от стенок емкости до баллона должно быть не менее 200 мм, до контейнера - не менее 500 мм, глубина должна обеспечивать покрытие аварийного сосуда слоем раствора не менее 300 мм.</w:t>
      </w:r>
    </w:p>
    <w:p>
      <w:pPr>
        <w:pStyle w:val="Normal"/>
        <w:ind w:firstLine="225"/>
        <w:jc w:val="both"/>
        <w:rPr/>
      </w:pPr>
      <w:r>
        <w:rPr/>
      </w:r>
    </w:p>
    <w:p>
      <w:pPr>
        <w:pStyle w:val="Normal"/>
        <w:ind w:firstLine="270"/>
        <w:jc w:val="both"/>
        <w:rPr/>
      </w:pPr>
      <w:r>
        <w:rPr/>
        <w:t>На дне емкости должны быть предусмотрены опоры, фиксирующие сосуд.</w:t>
      </w:r>
    </w:p>
    <w:p>
      <w:pPr>
        <w:pStyle w:val="Normal"/>
        <w:ind w:firstLine="270"/>
        <w:jc w:val="both"/>
        <w:rPr/>
      </w:pPr>
      <w:r>
        <w:rPr/>
      </w:r>
    </w:p>
    <w:p>
      <w:pPr>
        <w:pStyle w:val="Normal"/>
        <w:ind w:firstLine="225"/>
        <w:jc w:val="both"/>
        <w:rPr/>
      </w:pPr>
      <w:r>
        <w:rPr/>
        <w:t>Для установки на весах контейнера или баллонов должны предусматриваться опоры для их фиксации.</w:t>
      </w:r>
    </w:p>
    <w:p>
      <w:pPr>
        <w:pStyle w:val="Normal"/>
        <w:ind w:firstLine="270"/>
        <w:jc w:val="both"/>
        <w:rPr/>
      </w:pPr>
      <w:r>
        <w:rPr/>
      </w:r>
    </w:p>
    <w:p>
      <w:pPr>
        <w:pStyle w:val="Normal"/>
        <w:ind w:firstLine="225"/>
        <w:jc w:val="both"/>
        <w:rPr/>
      </w:pPr>
      <w:r>
        <w:rPr/>
        <w:t>Примечание. На проектирование расходных складов хлора с использованием танков настоящие нормы не распространяются.</w:t>
      </w:r>
    </w:p>
    <w:p>
      <w:pPr>
        <w:pStyle w:val="Normal"/>
        <w:ind w:firstLine="270"/>
        <w:jc w:val="both"/>
        <w:rPr/>
      </w:pPr>
      <w:r>
        <w:rPr/>
      </w:r>
    </w:p>
    <w:p>
      <w:pPr>
        <w:pStyle w:val="Normal"/>
        <w:ind w:firstLine="225"/>
        <w:jc w:val="both"/>
        <w:rPr/>
      </w:pPr>
      <w:r>
        <w:rPr/>
        <w:t>6.213. Для поваренной соли следует применять склады мокрого хранения. Объем баков надлежит определять из расчета 1,5 куб.м на 1 т соли. Допускается применение складов сухого хранения, при этом слой соли не должен превышать 2 м.</w:t>
      </w:r>
    </w:p>
    <w:p>
      <w:pPr>
        <w:pStyle w:val="Normal"/>
        <w:ind w:firstLine="270"/>
        <w:jc w:val="both"/>
        <w:rPr/>
      </w:pPr>
      <w:r>
        <w:rPr/>
      </w:r>
    </w:p>
    <w:p>
      <w:pPr>
        <w:pStyle w:val="Normal"/>
        <w:ind w:firstLine="225"/>
        <w:jc w:val="both"/>
        <w:rPr/>
      </w:pPr>
      <w:r>
        <w:rPr/>
        <w:t>6.214. В случаях когда не обеспечено снабжение станции кондиционными фильтрующими материалами и гравием, следует предусматривать специальное хозяйство для хранения, дробления, сортировки, промывки и транспортирования материалов, необходимых для догрузки фильтров.</w:t>
      </w:r>
    </w:p>
    <w:p>
      <w:pPr>
        <w:pStyle w:val="Normal"/>
        <w:ind w:firstLine="225"/>
        <w:jc w:val="both"/>
        <w:rPr/>
      </w:pPr>
      <w:r>
        <w:rPr/>
      </w:r>
    </w:p>
    <w:p>
      <w:pPr>
        <w:pStyle w:val="Normal"/>
        <w:ind w:firstLine="225"/>
        <w:jc w:val="both"/>
        <w:rPr/>
      </w:pPr>
      <w:r>
        <w:rPr/>
        <w:t>6.215. Расчет емкостей для хранения фильтрующих материалов и подбор оборудования следует производить из расчета 10%-ного ежегодного пополнения и обмена фильтрующей загрузки и дополнительного аварийного запаса на перегрузку одного фильтра при количестве их на станции до 20 и двух -  при большем количестве.</w:t>
      </w:r>
    </w:p>
    <w:p>
      <w:pPr>
        <w:pStyle w:val="Normal"/>
        <w:ind w:firstLine="225"/>
        <w:jc w:val="both"/>
        <w:rPr/>
      </w:pPr>
      <w:r>
        <w:rPr/>
      </w:r>
    </w:p>
    <w:p>
      <w:pPr>
        <w:pStyle w:val="Normal"/>
        <w:ind w:firstLine="270"/>
        <w:jc w:val="both"/>
        <w:rPr/>
      </w:pPr>
      <w:r>
        <w:rPr/>
        <w:t>6.216. Транспортирование фильтрующих материалов следует принимать гидротранспортом (водоструйными или песковыми насосами).</w:t>
      </w:r>
    </w:p>
    <w:p>
      <w:pPr>
        <w:pStyle w:val="Normal"/>
        <w:ind w:firstLine="225"/>
        <w:jc w:val="both"/>
        <w:rPr/>
      </w:pPr>
      <w:r>
        <w:rPr/>
      </w:r>
    </w:p>
    <w:p>
      <w:pPr>
        <w:pStyle w:val="Normal"/>
        <w:ind w:firstLine="270"/>
        <w:jc w:val="both"/>
        <w:rPr/>
      </w:pPr>
      <w:r>
        <w:rPr/>
        <w:t>Диаметр трубопровода для транспортирования пульпы надлежит определять из расчета скорости движения пульпы 1,5-2 м/с, но должен приниматься не менее 50 мм; повороты трубопровода следует предусматривать радиусом не менее 8-10 диаметров трубопровода.</w:t>
      </w:r>
    </w:p>
    <w:p>
      <w:pPr>
        <w:pStyle w:val="Normal"/>
        <w:ind w:firstLine="225"/>
        <w:jc w:val="both"/>
        <w:rPr/>
      </w:pPr>
      <w:r>
        <w:rPr/>
      </w:r>
    </w:p>
    <w:p>
      <w:pPr>
        <w:pStyle w:val="Normal"/>
        <w:ind w:firstLine="270"/>
        <w:jc w:val="both"/>
        <w:rPr/>
      </w:pPr>
      <w:r>
        <w:rPr/>
        <w:t>6.217. Разгрузочные работы и транспортирование реагентов на складах и внутри станций должны быть механизированы.</w:t>
      </w:r>
    </w:p>
    <w:p>
      <w:pPr>
        <w:pStyle w:val="Normal"/>
        <w:ind w:firstLine="45"/>
        <w:jc w:val="both"/>
        <w:rPr/>
      </w:pPr>
      <w:r>
        <w:rPr/>
      </w:r>
    </w:p>
    <w:p>
      <w:pPr>
        <w:pStyle w:val="Normal"/>
        <w:ind w:firstLine="225"/>
        <w:jc w:val="both"/>
        <w:rPr/>
      </w:pPr>
      <w:r>
        <w:rPr/>
      </w:r>
    </w:p>
    <w:p>
      <w:pPr>
        <w:pStyle w:val="Heading"/>
        <w:jc w:val="center"/>
        <w:rPr/>
      </w:pPr>
      <w:r>
        <w:rPr/>
      </w:r>
    </w:p>
    <w:p>
      <w:pPr>
        <w:pStyle w:val="Heading"/>
        <w:jc w:val="center"/>
        <w:rPr/>
      </w:pPr>
      <w:r>
        <w:rPr/>
        <w:t>ВЫСОТНОЕ РАСПОЛОЖЕНИЕ СООРУЖЕНИЙ</w:t>
      </w:r>
    </w:p>
    <w:p>
      <w:pPr>
        <w:pStyle w:val="Heading"/>
        <w:jc w:val="center"/>
        <w:rPr/>
      </w:pPr>
      <w:r>
        <w:rPr/>
        <w:t>НА СТАНЦИЯХ ВОДОПОДГОТОВКИ</w:t>
      </w:r>
    </w:p>
    <w:p>
      <w:pPr>
        <w:pStyle w:val="Heading"/>
        <w:jc w:val="center"/>
        <w:rPr/>
      </w:pPr>
      <w:r>
        <w:rPr/>
      </w:r>
    </w:p>
    <w:p>
      <w:pPr>
        <w:pStyle w:val="Normal"/>
        <w:ind w:firstLine="360"/>
        <w:jc w:val="both"/>
        <w:rPr>
          <w:b/>
          <w:b/>
          <w:sz w:val="22"/>
        </w:rPr>
      </w:pPr>
      <w:r>
        <w:rPr>
          <w:b/>
          <w:sz w:val="22"/>
        </w:rPr>
      </w:r>
    </w:p>
    <w:p>
      <w:pPr>
        <w:pStyle w:val="Normal"/>
        <w:ind w:firstLine="270"/>
        <w:jc w:val="both"/>
        <w:rPr/>
      </w:pPr>
      <w:r>
        <w:rPr/>
        <w:t xml:space="preserve">6.218. Сооружения надлежит располагать по естественному склону местности с учетом потерь напора в сооружениях, соединительных коммуникациях и измерительных устройствах. </w:t>
      </w:r>
    </w:p>
    <w:p>
      <w:pPr>
        <w:pStyle w:val="Normal"/>
        <w:ind w:firstLine="225"/>
        <w:jc w:val="both"/>
        <w:rPr/>
      </w:pPr>
      <w:r>
        <w:rPr/>
      </w:r>
    </w:p>
    <w:p>
      <w:pPr>
        <w:pStyle w:val="Normal"/>
        <w:ind w:firstLine="270"/>
        <w:jc w:val="both"/>
        <w:rPr/>
      </w:pPr>
      <w:r>
        <w:rPr/>
        <w:t xml:space="preserve">6.219. Величины перепадов уровней воды в сооружениях и соединительных коммуникациях должны определяться расчетами; для предварительного высотного расположения сооружений потери напора допускается принимать, м: </w:t>
      </w:r>
    </w:p>
    <w:p>
      <w:pPr>
        <w:pStyle w:val="Normal"/>
        <w:ind w:firstLine="270"/>
        <w:jc w:val="both"/>
        <w:rPr/>
      </w:pPr>
      <w:r>
        <w:rPr/>
      </w:r>
    </w:p>
    <w:p>
      <w:pPr>
        <w:pStyle w:val="Normal"/>
        <w:jc w:val="center"/>
        <w:rPr/>
      </w:pPr>
      <w:r>
        <w:rPr/>
        <w:t xml:space="preserve">в сооружениях </w:t>
      </w:r>
    </w:p>
    <w:p>
      <w:pPr>
        <w:pStyle w:val="Normal"/>
        <w:ind w:firstLine="270"/>
        <w:jc w:val="both"/>
        <w:rPr/>
      </w:pPr>
      <w:r>
        <w:rPr/>
      </w:r>
    </w:p>
    <w:p>
      <w:pPr>
        <w:pStyle w:val="Normal"/>
        <w:ind w:firstLine="270"/>
        <w:jc w:val="both"/>
        <w:rPr/>
      </w:pPr>
      <w:r>
        <w:rPr/>
        <w:t xml:space="preserve">на сетчатых барабанных фильтрах </w:t>
      </w:r>
    </w:p>
    <w:p>
      <w:pPr>
        <w:pStyle w:val="Normal"/>
        <w:ind w:firstLine="270"/>
        <w:jc w:val="both"/>
        <w:rPr/>
      </w:pPr>
      <w:r>
        <w:rPr/>
        <w:t xml:space="preserve">(барабанных сетках и микрофильтрах) ...............................0,4-0,6 </w:t>
      </w:r>
    </w:p>
    <w:p>
      <w:pPr>
        <w:pStyle w:val="Normal"/>
        <w:ind w:firstLine="225"/>
        <w:jc w:val="both"/>
        <w:rPr/>
      </w:pPr>
      <w:r>
        <w:rPr/>
      </w:r>
    </w:p>
    <w:p>
      <w:pPr>
        <w:pStyle w:val="Normal"/>
        <w:ind w:firstLine="225"/>
        <w:jc w:val="both"/>
        <w:rPr/>
      </w:pPr>
      <w:r>
        <w:rPr/>
        <w:t xml:space="preserve">во входных (контактных) камерах ..........................................0,3-0,5 </w:t>
      </w:r>
    </w:p>
    <w:p>
      <w:pPr>
        <w:pStyle w:val="Normal"/>
        <w:ind w:firstLine="225"/>
        <w:jc w:val="both"/>
        <w:rPr/>
      </w:pPr>
      <w:r>
        <w:rPr/>
      </w:r>
    </w:p>
    <w:p>
      <w:pPr>
        <w:pStyle w:val="Normal"/>
        <w:ind w:firstLine="225"/>
        <w:jc w:val="both"/>
        <w:rPr/>
      </w:pPr>
      <w:r>
        <w:rPr/>
        <w:t xml:space="preserve">в устройствах ввода реагентов ................................................0,1-0,3 </w:t>
      </w:r>
    </w:p>
    <w:p>
      <w:pPr>
        <w:pStyle w:val="Normal"/>
        <w:ind w:firstLine="225"/>
        <w:jc w:val="both"/>
        <w:rPr/>
      </w:pPr>
      <w:r>
        <w:rPr/>
      </w:r>
    </w:p>
    <w:p>
      <w:pPr>
        <w:pStyle w:val="Normal"/>
        <w:ind w:firstLine="225"/>
        <w:jc w:val="both"/>
        <w:rPr/>
      </w:pPr>
      <w:r>
        <w:rPr/>
        <w:t xml:space="preserve">в гидравлических смесителях ..................................................0,5-0,6 </w:t>
      </w:r>
    </w:p>
    <w:p>
      <w:pPr>
        <w:pStyle w:val="Normal"/>
        <w:ind w:firstLine="225"/>
        <w:jc w:val="both"/>
        <w:rPr/>
      </w:pPr>
      <w:r>
        <w:rPr/>
      </w:r>
    </w:p>
    <w:p>
      <w:pPr>
        <w:pStyle w:val="Normal"/>
        <w:ind w:firstLine="225"/>
        <w:jc w:val="both"/>
        <w:rPr/>
      </w:pPr>
      <w:r>
        <w:rPr/>
        <w:t xml:space="preserve">в механических смесителях .....................................................0,1-0,2 </w:t>
      </w:r>
    </w:p>
    <w:p>
      <w:pPr>
        <w:pStyle w:val="Normal"/>
        <w:ind w:firstLine="225"/>
        <w:jc w:val="both"/>
        <w:rPr/>
      </w:pPr>
      <w:r>
        <w:rPr/>
      </w:r>
    </w:p>
    <w:p>
      <w:pPr>
        <w:pStyle w:val="Normal"/>
        <w:ind w:firstLine="225"/>
        <w:jc w:val="both"/>
        <w:rPr/>
      </w:pPr>
      <w:r>
        <w:rPr/>
        <w:t xml:space="preserve">в гидравлических камерах </w:t>
      </w:r>
    </w:p>
    <w:p>
      <w:pPr>
        <w:pStyle w:val="Normal"/>
        <w:ind w:firstLine="225"/>
        <w:jc w:val="both"/>
        <w:rPr/>
      </w:pPr>
      <w:r>
        <w:rPr/>
        <w:t xml:space="preserve">хлопьеобразования ....................................................................0,4-0,5 </w:t>
      </w:r>
    </w:p>
    <w:p>
      <w:pPr>
        <w:pStyle w:val="Normal"/>
        <w:ind w:firstLine="225"/>
        <w:jc w:val="both"/>
        <w:rPr/>
      </w:pPr>
      <w:r>
        <w:rPr/>
      </w:r>
    </w:p>
    <w:p>
      <w:pPr>
        <w:pStyle w:val="Normal"/>
        <w:ind w:firstLine="225"/>
        <w:jc w:val="both"/>
        <w:rPr/>
      </w:pPr>
      <w:r>
        <w:rPr/>
        <w:t xml:space="preserve">в механических камерах </w:t>
      </w:r>
    </w:p>
    <w:p>
      <w:pPr>
        <w:pStyle w:val="Normal"/>
        <w:ind w:firstLine="225"/>
        <w:jc w:val="both"/>
        <w:rPr/>
      </w:pPr>
      <w:r>
        <w:rPr/>
        <w:t xml:space="preserve">хлопьеобразования ....................................................................0,1-0,2 </w:t>
      </w:r>
    </w:p>
    <w:p>
      <w:pPr>
        <w:pStyle w:val="Normal"/>
        <w:ind w:firstLine="225"/>
        <w:jc w:val="both"/>
        <w:rPr/>
      </w:pPr>
      <w:r>
        <w:rPr/>
      </w:r>
    </w:p>
    <w:p>
      <w:pPr>
        <w:pStyle w:val="Normal"/>
        <w:ind w:firstLine="225"/>
        <w:jc w:val="both"/>
        <w:rPr/>
      </w:pPr>
      <w:r>
        <w:rPr/>
        <w:t xml:space="preserve">в отстойниках ................................................................................0,7-0,8 </w:t>
      </w:r>
    </w:p>
    <w:p>
      <w:pPr>
        <w:pStyle w:val="Normal"/>
        <w:ind w:firstLine="225"/>
        <w:jc w:val="both"/>
        <w:rPr/>
      </w:pPr>
      <w:r>
        <w:rPr/>
      </w:r>
    </w:p>
    <w:p>
      <w:pPr>
        <w:pStyle w:val="Normal"/>
        <w:ind w:firstLine="225"/>
        <w:jc w:val="both"/>
        <w:rPr/>
      </w:pPr>
      <w:r>
        <w:rPr/>
        <w:t xml:space="preserve">в осветлителях со взвешенным осадком..............................0,7-0,8 </w:t>
      </w:r>
    </w:p>
    <w:p>
      <w:pPr>
        <w:pStyle w:val="Normal"/>
        <w:ind w:firstLine="225"/>
        <w:jc w:val="both"/>
        <w:rPr/>
      </w:pPr>
      <w:r>
        <w:rPr/>
      </w:r>
    </w:p>
    <w:p>
      <w:pPr>
        <w:pStyle w:val="Normal"/>
        <w:ind w:firstLine="225"/>
        <w:jc w:val="both"/>
        <w:rPr/>
      </w:pPr>
      <w:r>
        <w:rPr/>
        <w:t xml:space="preserve">на скорых фильтрах ....................................................................3-3,5 </w:t>
      </w:r>
    </w:p>
    <w:p>
      <w:pPr>
        <w:pStyle w:val="Normal"/>
        <w:ind w:firstLine="225"/>
        <w:jc w:val="both"/>
        <w:rPr/>
      </w:pPr>
      <w:r>
        <w:rPr/>
      </w:r>
    </w:p>
    <w:p>
      <w:pPr>
        <w:pStyle w:val="Normal"/>
        <w:ind w:firstLine="225"/>
        <w:jc w:val="both"/>
        <w:rPr/>
      </w:pPr>
      <w:r>
        <w:rPr/>
        <w:t xml:space="preserve">в контактных осветлителях и </w:t>
      </w:r>
    </w:p>
    <w:p>
      <w:pPr>
        <w:pStyle w:val="Normal"/>
        <w:ind w:firstLine="225"/>
        <w:jc w:val="both"/>
        <w:rPr/>
      </w:pPr>
      <w:r>
        <w:rPr/>
        <w:t xml:space="preserve">префильтрах ..................................................................................2-2,5 </w:t>
      </w:r>
    </w:p>
    <w:p>
      <w:pPr>
        <w:pStyle w:val="Normal"/>
        <w:ind w:firstLine="225"/>
        <w:jc w:val="both"/>
        <w:rPr/>
      </w:pPr>
      <w:r>
        <w:rPr/>
      </w:r>
    </w:p>
    <w:p>
      <w:pPr>
        <w:pStyle w:val="Normal"/>
        <w:ind w:firstLine="225"/>
        <w:jc w:val="both"/>
        <w:rPr/>
      </w:pPr>
      <w:r>
        <w:rPr/>
        <w:t>в медленных фильтрах ...............................................................1,5-2</w:t>
      </w:r>
    </w:p>
    <w:p>
      <w:pPr>
        <w:pStyle w:val="Normal"/>
        <w:ind w:firstLine="270"/>
        <w:jc w:val="both"/>
        <w:rPr/>
      </w:pPr>
      <w:r>
        <w:rPr/>
      </w:r>
    </w:p>
    <w:p>
      <w:pPr>
        <w:pStyle w:val="Normal"/>
        <w:jc w:val="center"/>
        <w:rPr/>
      </w:pPr>
      <w:r>
        <w:rPr/>
        <w:t xml:space="preserve">в соединительных коммуникациях </w:t>
      </w:r>
    </w:p>
    <w:p>
      <w:pPr>
        <w:pStyle w:val="Normal"/>
        <w:ind w:firstLine="270"/>
        <w:jc w:val="both"/>
        <w:rPr/>
      </w:pPr>
      <w:r>
        <w:rPr/>
      </w:r>
    </w:p>
    <w:p>
      <w:pPr>
        <w:pStyle w:val="Normal"/>
        <w:ind w:firstLine="270"/>
        <w:jc w:val="both"/>
        <w:rPr/>
      </w:pPr>
      <w:r>
        <w:rPr/>
        <w:t xml:space="preserve">от сетчатых барабанных фильтров </w:t>
      </w:r>
    </w:p>
    <w:p>
      <w:pPr>
        <w:pStyle w:val="Normal"/>
        <w:ind w:firstLine="270"/>
        <w:jc w:val="both"/>
        <w:rPr/>
      </w:pPr>
      <w:r>
        <w:rPr/>
        <w:t xml:space="preserve">или входных камер к смесителям ..........................................0,2 </w:t>
      </w:r>
    </w:p>
    <w:p>
      <w:pPr>
        <w:pStyle w:val="Normal"/>
        <w:ind w:firstLine="270"/>
        <w:jc w:val="both"/>
        <w:rPr/>
      </w:pPr>
      <w:r>
        <w:rPr/>
      </w:r>
    </w:p>
    <w:p>
      <w:pPr>
        <w:pStyle w:val="Normal"/>
        <w:ind w:firstLine="270"/>
        <w:jc w:val="both"/>
        <w:rPr/>
      </w:pPr>
      <w:r>
        <w:rPr/>
        <w:t xml:space="preserve">от смесителей к отстойникам, </w:t>
      </w:r>
    </w:p>
    <w:p>
      <w:pPr>
        <w:pStyle w:val="Normal"/>
        <w:ind w:firstLine="270"/>
        <w:jc w:val="both"/>
        <w:rPr/>
      </w:pPr>
      <w:r>
        <w:rPr/>
        <w:t xml:space="preserve">осветлителям со взвешенным осадком </w:t>
      </w:r>
    </w:p>
    <w:p>
      <w:pPr>
        <w:pStyle w:val="Normal"/>
        <w:ind w:firstLine="270"/>
        <w:jc w:val="both"/>
        <w:rPr/>
      </w:pPr>
      <w:r>
        <w:rPr/>
        <w:t xml:space="preserve">и контактным осветлителям .....................................................0,3-0,4 </w:t>
      </w:r>
    </w:p>
    <w:p>
      <w:pPr>
        <w:pStyle w:val="Normal"/>
        <w:ind w:firstLine="225"/>
        <w:jc w:val="both"/>
        <w:rPr/>
      </w:pPr>
      <w:r>
        <w:rPr/>
      </w:r>
    </w:p>
    <w:p>
      <w:pPr>
        <w:pStyle w:val="Normal"/>
        <w:ind w:firstLine="225"/>
        <w:jc w:val="both"/>
        <w:rPr/>
      </w:pPr>
      <w:r>
        <w:rPr/>
        <w:t xml:space="preserve">от отстойников, осветлителей со </w:t>
      </w:r>
    </w:p>
    <w:p>
      <w:pPr>
        <w:pStyle w:val="Normal"/>
        <w:ind w:firstLine="225"/>
        <w:jc w:val="both"/>
        <w:rPr/>
      </w:pPr>
      <w:r>
        <w:rPr/>
        <w:t xml:space="preserve">взвешенным осадком или префильтров </w:t>
      </w:r>
    </w:p>
    <w:p>
      <w:pPr>
        <w:pStyle w:val="Normal"/>
        <w:ind w:firstLine="225"/>
        <w:jc w:val="both"/>
        <w:rPr/>
      </w:pPr>
      <w:r>
        <w:rPr/>
        <w:t xml:space="preserve">к фильтрам .....................................................................................0,5-0,6 </w:t>
      </w:r>
    </w:p>
    <w:p>
      <w:pPr>
        <w:pStyle w:val="Normal"/>
        <w:ind w:firstLine="225"/>
        <w:jc w:val="both"/>
        <w:rPr/>
      </w:pPr>
      <w:r>
        <w:rPr/>
      </w:r>
    </w:p>
    <w:p>
      <w:pPr>
        <w:pStyle w:val="Normal"/>
        <w:ind w:firstLine="225"/>
        <w:jc w:val="both"/>
        <w:rPr/>
      </w:pPr>
      <w:r>
        <w:rPr/>
        <w:t xml:space="preserve">от фильтров или контактных </w:t>
      </w:r>
    </w:p>
    <w:p>
      <w:pPr>
        <w:pStyle w:val="Normal"/>
        <w:ind w:firstLine="225"/>
        <w:jc w:val="both"/>
        <w:rPr/>
      </w:pPr>
      <w:r>
        <w:rPr/>
        <w:t xml:space="preserve">осветлителей к резервуарам </w:t>
      </w:r>
    </w:p>
    <w:p>
      <w:pPr>
        <w:pStyle w:val="Normal"/>
        <w:ind w:firstLine="225"/>
        <w:jc w:val="both"/>
        <w:rPr/>
      </w:pPr>
      <w:r>
        <w:rPr/>
        <w:t>фильтрованной воды ...................................................................0,5-1</w:t>
      </w:r>
    </w:p>
    <w:p>
      <w:pPr>
        <w:pStyle w:val="Normal"/>
        <w:ind w:firstLine="270"/>
        <w:jc w:val="both"/>
        <w:rPr/>
      </w:pPr>
      <w:r>
        <w:rPr/>
      </w:r>
    </w:p>
    <w:p>
      <w:pPr>
        <w:pStyle w:val="Normal"/>
        <w:ind w:firstLine="270"/>
        <w:jc w:val="both"/>
        <w:rPr/>
      </w:pPr>
      <w:r>
        <w:rPr/>
        <w:t>Примечания: 1. В приведенных значениях учтены потери напора в сборных, подающих и распределительных устройствах сооружений.</w:t>
      </w:r>
    </w:p>
    <w:p>
      <w:pPr>
        <w:pStyle w:val="Normal"/>
        <w:ind w:firstLine="270"/>
        <w:jc w:val="both"/>
        <w:rPr/>
      </w:pPr>
      <w:r>
        <w:rPr/>
      </w:r>
    </w:p>
    <w:p>
      <w:pPr>
        <w:pStyle w:val="Normal"/>
        <w:ind w:firstLine="225"/>
        <w:jc w:val="both"/>
        <w:rPr/>
      </w:pPr>
      <w:r>
        <w:rPr/>
        <w:t xml:space="preserve">2. Потери напора в измерительной аппаратуре должны учитываться дополнительно из расчета: </w:t>
      </w:r>
    </w:p>
    <w:p>
      <w:pPr>
        <w:pStyle w:val="Normal"/>
        <w:ind w:firstLine="225"/>
        <w:jc w:val="both"/>
        <w:rPr/>
      </w:pPr>
      <w:r>
        <w:rPr/>
      </w:r>
    </w:p>
    <w:p>
      <w:pPr>
        <w:pStyle w:val="Normal"/>
        <w:ind w:firstLine="270"/>
        <w:jc w:val="both"/>
        <w:rPr/>
      </w:pPr>
      <w:r>
        <w:rPr/>
        <w:t xml:space="preserve">на выходе и входе со станции - по 0,5 м; </w:t>
      </w:r>
    </w:p>
    <w:p>
      <w:pPr>
        <w:pStyle w:val="Normal"/>
        <w:ind w:firstLine="225"/>
        <w:jc w:val="both"/>
        <w:rPr/>
      </w:pPr>
      <w:r>
        <w:rPr/>
      </w:r>
    </w:p>
    <w:p>
      <w:pPr>
        <w:pStyle w:val="Normal"/>
        <w:ind w:firstLine="270"/>
        <w:jc w:val="both"/>
        <w:rPr/>
      </w:pPr>
      <w:r>
        <w:rPr/>
        <w:t>в индикаторах расхода на отстойниках, осветлителях со взвешенным осадком, фильтрах и контактных осветлителях - по 0,2-0,3 м.</w:t>
      </w:r>
    </w:p>
    <w:p>
      <w:pPr>
        <w:pStyle w:val="Normal"/>
        <w:ind w:firstLine="225"/>
        <w:jc w:val="both"/>
        <w:rPr/>
      </w:pPr>
      <w:r>
        <w:rPr/>
      </w:r>
    </w:p>
    <w:p>
      <w:pPr>
        <w:pStyle w:val="Normal"/>
        <w:ind w:firstLine="270"/>
        <w:jc w:val="both"/>
        <w:rPr/>
      </w:pPr>
      <w:r>
        <w:rPr/>
        <w:t>3. При определении расчетами перепадов уровней воды между сооружениями и потерь напора в соединительных коммуникациях следует принимать расчетные расходы воды с учетом указаний п. 6.8.</w:t>
      </w:r>
    </w:p>
    <w:p>
      <w:pPr>
        <w:pStyle w:val="Normal"/>
        <w:ind w:firstLine="225"/>
        <w:jc w:val="both"/>
        <w:rPr/>
      </w:pPr>
      <w:r>
        <w:rPr/>
      </w:r>
    </w:p>
    <w:p>
      <w:pPr>
        <w:pStyle w:val="Normal"/>
        <w:ind w:firstLine="270"/>
        <w:jc w:val="both"/>
        <w:rPr/>
      </w:pPr>
      <w:r>
        <w:rPr/>
      </w:r>
    </w:p>
    <w:p>
      <w:pPr>
        <w:pStyle w:val="Normal"/>
        <w:ind w:firstLine="270"/>
        <w:jc w:val="both"/>
        <w:rPr/>
      </w:pPr>
      <w:r>
        <w:rPr/>
        <w:t>6.220. На станциях водоподготовки должна предусматриваться система обводных коммуникаций, обеспечивающая возможность отключения отдельных сооружений, а также подачу воды при аварии, минуя сооружения.</w:t>
      </w:r>
    </w:p>
    <w:p>
      <w:pPr>
        <w:pStyle w:val="Normal"/>
        <w:ind w:firstLine="225"/>
        <w:jc w:val="both"/>
        <w:rPr/>
      </w:pPr>
      <w:r>
        <w:rPr/>
      </w:r>
    </w:p>
    <w:p>
      <w:pPr>
        <w:pStyle w:val="Normal"/>
        <w:ind w:firstLine="225"/>
        <w:jc w:val="both"/>
        <w:rPr/>
      </w:pPr>
      <w:r>
        <w:rPr/>
        <w:t>При производительности станций более 100 тыс.куб.м/сут обводные коммуникации допускается не предусматривать.</w:t>
      </w:r>
    </w:p>
    <w:p>
      <w:pPr>
        <w:pStyle w:val="Normal"/>
        <w:ind w:firstLine="270"/>
        <w:jc w:val="both"/>
        <w:rPr/>
      </w:pPr>
      <w:r>
        <w:rPr/>
      </w:r>
    </w:p>
    <w:p>
      <w:pPr>
        <w:pStyle w:val="Normal"/>
        <w:ind w:firstLine="225"/>
        <w:jc w:val="both"/>
        <w:rPr/>
      </w:pPr>
      <w:r>
        <w:rPr/>
        <w:t>Примечание. Запорная арматура на обводных коммуникациях должна быть опломбирована.</w:t>
      </w:r>
    </w:p>
    <w:p>
      <w:pPr>
        <w:pStyle w:val="Normal"/>
        <w:ind w:firstLine="270"/>
        <w:jc w:val="both"/>
        <w:rPr/>
      </w:pPr>
      <w:r>
        <w:rPr/>
      </w:r>
    </w:p>
    <w:p>
      <w:pPr>
        <w:pStyle w:val="Heading"/>
        <w:jc w:val="center"/>
        <w:rPr/>
      </w:pPr>
      <w:r>
        <w:rPr/>
      </w:r>
    </w:p>
    <w:p>
      <w:pPr>
        <w:pStyle w:val="Heading"/>
        <w:jc w:val="center"/>
        <w:rPr/>
      </w:pPr>
      <w:r>
        <w:rPr/>
        <w:t>7. НАСОСНЫЕ СТАНЦИИ</w:t>
      </w:r>
    </w:p>
    <w:p>
      <w:pPr>
        <w:pStyle w:val="Heading"/>
        <w:jc w:val="center"/>
        <w:rPr/>
      </w:pPr>
      <w:r>
        <w:rPr/>
      </w:r>
    </w:p>
    <w:p>
      <w:pPr>
        <w:pStyle w:val="Normal"/>
        <w:ind w:firstLine="270"/>
        <w:jc w:val="both"/>
        <w:rPr/>
      </w:pPr>
      <w:r>
        <w:rPr/>
      </w:r>
    </w:p>
    <w:p>
      <w:pPr>
        <w:pStyle w:val="Normal"/>
        <w:ind w:firstLine="270"/>
        <w:jc w:val="both"/>
        <w:rPr/>
      </w:pPr>
      <w:r>
        <w:rPr/>
        <w:t>7.1. Насосные станции по степени обеспеченности подачи воды следует подразделять на три категории, принимаемые в соответствии с п. 4.4.</w:t>
      </w:r>
    </w:p>
    <w:p>
      <w:pPr>
        <w:pStyle w:val="Normal"/>
        <w:ind w:firstLine="270"/>
        <w:jc w:val="both"/>
        <w:rPr/>
      </w:pPr>
      <w:r>
        <w:rPr/>
      </w:r>
    </w:p>
    <w:p>
      <w:pPr>
        <w:pStyle w:val="Normal"/>
        <w:ind w:firstLine="225"/>
        <w:jc w:val="both"/>
        <w:rPr/>
      </w:pPr>
      <w:r>
        <w:rPr/>
        <w:t>Категорию насосных станций необходимо устанавливать в зависимости от их функционального назначения в общей системе водоснабжения.</w:t>
      </w:r>
    </w:p>
    <w:p>
      <w:pPr>
        <w:pStyle w:val="Normal"/>
        <w:ind w:firstLine="270"/>
        <w:jc w:val="both"/>
        <w:rPr/>
      </w:pPr>
      <w:r>
        <w:rPr/>
      </w:r>
    </w:p>
    <w:p>
      <w:pPr>
        <w:pStyle w:val="Normal"/>
        <w:ind w:firstLine="270"/>
        <w:jc w:val="both"/>
        <w:rPr/>
      </w:pPr>
      <w:r>
        <w:rPr/>
        <w:t>Примечания: 1. Насосные станции, подающие воду непосредственно в сеть противопожарного и объединенного противопожарного водопровода, надлежит относить к I категории.</w:t>
      </w:r>
    </w:p>
    <w:p>
      <w:pPr>
        <w:pStyle w:val="Normal"/>
        <w:ind w:firstLine="270"/>
        <w:jc w:val="both"/>
        <w:rPr/>
      </w:pPr>
      <w:r>
        <w:rPr/>
      </w:r>
    </w:p>
    <w:p>
      <w:pPr>
        <w:pStyle w:val="Normal"/>
        <w:ind w:firstLine="225"/>
        <w:jc w:val="both"/>
        <w:rPr/>
      </w:pPr>
      <w:r>
        <w:rPr/>
        <w:t>2. Насосные станции противопожарного и объединенного противопожарного водопровода объектов, указанных в примеч. 1 п. 2.11, допускается относить к II категории.</w:t>
      </w:r>
    </w:p>
    <w:p>
      <w:pPr>
        <w:pStyle w:val="Normal"/>
        <w:ind w:firstLine="225"/>
        <w:jc w:val="both"/>
        <w:rPr/>
      </w:pPr>
      <w:r>
        <w:rPr/>
      </w:r>
    </w:p>
    <w:p>
      <w:pPr>
        <w:pStyle w:val="Normal"/>
        <w:ind w:firstLine="270"/>
        <w:jc w:val="both"/>
        <w:rPr/>
      </w:pPr>
      <w:r>
        <w:rPr/>
        <w:t>3. Насосные станции, подающие воду по одному трубопроводу, а также на поливку или орошение, следует относить к III категории.</w:t>
      </w:r>
    </w:p>
    <w:p>
      <w:pPr>
        <w:pStyle w:val="Normal"/>
        <w:ind w:firstLine="225"/>
        <w:jc w:val="both"/>
        <w:rPr/>
      </w:pPr>
      <w:r>
        <w:rPr/>
      </w:r>
    </w:p>
    <w:p>
      <w:pPr>
        <w:pStyle w:val="Normal"/>
        <w:ind w:firstLine="270"/>
        <w:jc w:val="both"/>
        <w:rPr/>
      </w:pPr>
      <w:r>
        <w:rPr/>
        <w:t>4. Для установленной категории насосной станции следует принимать такую же категорию надежности электроснабжения по «Правилам устройств электроустановок» (ПУЭ).</w:t>
      </w:r>
    </w:p>
    <w:p>
      <w:pPr>
        <w:pStyle w:val="Normal"/>
        <w:ind w:firstLine="270"/>
        <w:jc w:val="both"/>
        <w:rPr/>
      </w:pPr>
      <w:r>
        <w:rPr/>
      </w:r>
    </w:p>
    <w:p>
      <w:pPr>
        <w:pStyle w:val="Normal"/>
        <w:ind w:firstLine="270"/>
        <w:jc w:val="both"/>
        <w:rPr/>
      </w:pPr>
      <w:r>
        <w:rPr/>
        <w:t>7.2. Выбор типа насосов и количества рабочих агрегатов надлежит производить на основании расчетов совместной работы насосов, водоводов, сетей, регулирующих емкостей, суточного и часового графиков водопотребления, условий пожаротушения, очередности ввода в действие объекта.</w:t>
      </w:r>
    </w:p>
    <w:p>
      <w:pPr>
        <w:pStyle w:val="Normal"/>
        <w:ind w:firstLine="225"/>
        <w:jc w:val="both"/>
        <w:rPr/>
      </w:pPr>
      <w:r>
        <w:rPr/>
      </w:r>
    </w:p>
    <w:p>
      <w:pPr>
        <w:pStyle w:val="Normal"/>
        <w:ind w:firstLine="270"/>
        <w:jc w:val="both"/>
        <w:rPr/>
      </w:pPr>
      <w:r>
        <w:rPr/>
        <w:t>При выборе типа насосных агрегатов надлежит обеспечивать минимальную величину избыточных напоров, развиваемых насосами при всех режимах работы, за счет использования регулирующих емкостей, регулирования числа оборотов, изменения числа и типов насосов, обрезки или замены рабочих колес в соответствии с изменением условий их работы в течение расчетного срока.</w:t>
      </w:r>
    </w:p>
    <w:p>
      <w:pPr>
        <w:pStyle w:val="Normal"/>
        <w:ind w:firstLine="270"/>
        <w:jc w:val="both"/>
        <w:rPr/>
      </w:pPr>
      <w:r>
        <w:rPr/>
      </w:r>
    </w:p>
    <w:p>
      <w:pPr>
        <w:pStyle w:val="Normal"/>
        <w:ind w:firstLine="270"/>
        <w:jc w:val="both"/>
        <w:rPr/>
      </w:pPr>
      <w:r>
        <w:rPr/>
        <w:t>Примечания: 1. В машинных залах допускается установка групп насосов различного назначения.</w:t>
      </w:r>
    </w:p>
    <w:p>
      <w:pPr>
        <w:pStyle w:val="Normal"/>
        <w:ind w:firstLine="225"/>
        <w:jc w:val="both"/>
        <w:rPr/>
      </w:pPr>
      <w:r>
        <w:rPr/>
      </w:r>
    </w:p>
    <w:p>
      <w:pPr>
        <w:pStyle w:val="Normal"/>
        <w:ind w:firstLine="270"/>
        <w:jc w:val="both"/>
        <w:rPr/>
      </w:pPr>
      <w:r>
        <w:rPr/>
        <w:t>2. В насосных станциях, подающих воду на хозяйственно-питьевые нужды, установка насосов, перекачивающих пахучие и ядовитые жидкости, запрещается, за исключением насосов, подающих раствор пенообразователя в систему пожаротушения.</w:t>
      </w:r>
    </w:p>
    <w:p>
      <w:pPr>
        <w:pStyle w:val="Normal"/>
        <w:ind w:firstLine="225"/>
        <w:jc w:val="both"/>
        <w:rPr/>
      </w:pPr>
      <w:r>
        <w:rPr/>
      </w:r>
    </w:p>
    <w:p>
      <w:pPr>
        <w:pStyle w:val="Normal"/>
        <w:ind w:firstLine="270"/>
        <w:jc w:val="both"/>
        <w:rPr/>
      </w:pPr>
      <w:r>
        <w:rPr/>
      </w:r>
    </w:p>
    <w:p>
      <w:pPr>
        <w:pStyle w:val="Normal"/>
        <w:ind w:firstLine="270"/>
        <w:jc w:val="both"/>
        <w:rPr/>
      </w:pPr>
      <w:r>
        <w:rPr/>
        <w:t>7.3*. В насосных станциях для группы насосов одного назначения, подающих воду в одну и ту же сеть или водоводы, количество резервных агрегатов следует принимать согласно табл. 32.</w:t>
      </w:r>
    </w:p>
    <w:p>
      <w:pPr>
        <w:pStyle w:val="Normal"/>
        <w:ind w:firstLine="225"/>
        <w:jc w:val="both"/>
        <w:rPr/>
      </w:pPr>
      <w:r>
        <w:rPr/>
      </w:r>
    </w:p>
    <w:p>
      <w:pPr>
        <w:pStyle w:val="Normal"/>
        <w:ind w:firstLine="270"/>
        <w:jc w:val="both"/>
        <w:rPr/>
      </w:pPr>
      <w:r>
        <w:rPr/>
        <w:t>7.4. Отметку оси насосов следует определять, как правило, из условия установки корпуса насосов под заливом:</w:t>
      </w:r>
    </w:p>
    <w:p>
      <w:pPr>
        <w:pStyle w:val="Normal"/>
        <w:ind w:firstLine="225"/>
        <w:jc w:val="both"/>
        <w:rPr/>
      </w:pPr>
      <w:r>
        <w:rPr/>
      </w:r>
    </w:p>
    <w:p>
      <w:pPr>
        <w:pStyle w:val="Normal"/>
        <w:ind w:firstLine="270"/>
        <w:jc w:val="both"/>
        <w:rPr/>
      </w:pPr>
      <w:r>
        <w:rPr/>
        <w:t>в емкости - от верхнего уровня воды (определяемого от дна) пожарного объема при одном пожаре, среднего - при двух и более пожарах; от уровня воды аварийного объема при отсутствии пожарного объема; от среднего уровня воды при отсутствии пожарного и аварийного объемов;</w:t>
      </w:r>
    </w:p>
    <w:p>
      <w:pPr>
        <w:pStyle w:val="Normal"/>
        <w:ind w:firstLine="270"/>
        <w:jc w:val="both"/>
        <w:rPr/>
      </w:pPr>
      <w:r>
        <w:rPr/>
      </w:r>
    </w:p>
    <w:p>
      <w:pPr>
        <w:pStyle w:val="Normal"/>
        <w:ind w:firstLine="270"/>
        <w:jc w:val="both"/>
        <w:rPr/>
      </w:pPr>
      <w:r>
        <w:rPr/>
        <w:t>в водозаборной скважине - от динамического уровня подземных вод при максимальном водоотборе;</w:t>
      </w:r>
    </w:p>
    <w:p>
      <w:pPr>
        <w:pStyle w:val="Normal"/>
        <w:ind w:firstLine="270"/>
        <w:jc w:val="both"/>
        <w:rPr/>
      </w:pPr>
      <w:r>
        <w:rPr/>
      </w:r>
    </w:p>
    <w:p>
      <w:pPr>
        <w:pStyle w:val="Normal"/>
        <w:ind w:firstLine="225"/>
        <w:jc w:val="both"/>
        <w:rPr/>
      </w:pPr>
      <w:r>
        <w:rPr/>
        <w:t>в водотоке или водоеме - от минимального уровня воды в них по табл. 11 в зависимости от категории водозабора.</w:t>
      </w:r>
    </w:p>
    <w:p>
      <w:pPr>
        <w:pStyle w:val="Normal"/>
        <w:ind w:firstLine="270"/>
        <w:jc w:val="both"/>
        <w:rPr/>
      </w:pPr>
      <w:r>
        <w:rPr/>
      </w:r>
    </w:p>
    <w:p>
      <w:pPr>
        <w:pStyle w:val="Normal"/>
        <w:ind w:firstLine="225"/>
        <w:jc w:val="both"/>
        <w:rPr/>
      </w:pPr>
      <w:r>
        <w:rPr/>
        <w:t>При определении отметки оси насосов следует учитывать допустимую вакуумметрическую высоту всасывания (от расчетного минимального уровня воды) или требуемый заводом-изготовителем необходимый подпор со стороны всасывания, а также потери напора во всасывающем трубопроводе, температурные условия и барометрическое давление.</w:t>
      </w:r>
    </w:p>
    <w:p>
      <w:pPr>
        <w:pStyle w:val="Normal"/>
        <w:ind w:firstLine="225"/>
        <w:jc w:val="both"/>
        <w:rPr/>
      </w:pPr>
      <w:r>
        <w:rPr/>
      </w:r>
    </w:p>
    <w:p>
      <w:pPr>
        <w:pStyle w:val="Normal"/>
        <w:ind w:firstLine="405"/>
        <w:jc w:val="both"/>
        <w:rPr/>
      </w:pPr>
      <w:r>
        <w:rPr/>
        <w:t>Примечания: 1. В насосных станциях II и III категорий допускается установка насосов не под заливом, при этом следует предусматривать вакуум-насосы и вакуум-котел.</w:t>
      </w:r>
    </w:p>
    <w:p>
      <w:pPr>
        <w:pStyle w:val="Normal"/>
        <w:ind w:firstLine="405"/>
        <w:jc w:val="both"/>
        <w:rPr/>
      </w:pPr>
      <w:r>
        <w:rPr/>
      </w:r>
    </w:p>
    <w:p>
      <w:pPr>
        <w:pStyle w:val="Normal"/>
        <w:ind w:firstLine="225"/>
        <w:jc w:val="both"/>
        <w:rPr/>
      </w:pPr>
      <w:r>
        <w:rPr/>
        <w:t>2. Отметку пола машинных залов заглубленных насосных станций следует определять исходя из установки насосов большей производительности или габаритов с учетом примеч. 7 п. 7.3.</w:t>
      </w:r>
    </w:p>
    <w:p>
      <w:pPr>
        <w:pStyle w:val="Normal"/>
        <w:ind w:firstLine="225"/>
        <w:jc w:val="both"/>
        <w:rPr/>
      </w:pPr>
      <w:r>
        <w:rPr/>
      </w:r>
    </w:p>
    <w:p>
      <w:pPr>
        <w:pStyle w:val="Normal"/>
        <w:ind w:firstLine="270"/>
        <w:jc w:val="both"/>
        <w:rPr/>
      </w:pPr>
      <w:r>
        <w:rPr/>
        <w:t>3. В насосных станциях III категории допускается установка на всасывающем трубопроводе приемных клапанов диаметром до 200 мм.</w:t>
      </w:r>
    </w:p>
    <w:p>
      <w:pPr>
        <w:pStyle w:val="Normal"/>
        <w:ind w:firstLine="270"/>
        <w:jc w:val="both"/>
        <w:rPr/>
      </w:pPr>
      <w:r>
        <w:rPr/>
      </w:r>
    </w:p>
    <w:p>
      <w:pPr>
        <w:pStyle w:val="Normal"/>
        <w:jc w:val="end"/>
        <w:rPr/>
      </w:pPr>
      <w:r>
        <w:rPr/>
        <w:t xml:space="preserve">Таблица 32 </w:t>
      </w:r>
    </w:p>
    <w:p>
      <w:pPr>
        <w:pStyle w:val="Normal"/>
        <w:ind w:firstLine="270"/>
        <w:jc w:val="both"/>
        <w:rPr/>
      </w:pPr>
      <w:r>
        <w:rPr/>
      </w:r>
    </w:p>
    <w:p>
      <w:pPr>
        <w:pStyle w:val="Normal"/>
        <w:ind w:firstLine="270"/>
        <w:jc w:val="both"/>
        <w:rPr/>
      </w:pPr>
      <w:r>
        <w:rPr/>
      </w:r>
    </w:p>
    <w:tbl>
      <w:tblPr>
        <w:tblW w:w="6350" w:type="dxa"/>
        <w:jc w:val="start"/>
        <w:tblInd w:w="30" w:type="dxa"/>
        <w:tblBorders>
          <w:top w:val="single" w:sz="2" w:space="0" w:color="000000"/>
          <w:start w:val="single" w:sz="2" w:space="0" w:color="000000"/>
        </w:tblBorders>
        <w:tblCellMar>
          <w:top w:w="0" w:type="dxa"/>
          <w:start w:w="27" w:type="dxa"/>
          <w:bottom w:w="0" w:type="dxa"/>
          <w:end w:w="30" w:type="dxa"/>
        </w:tblCellMar>
      </w:tblPr>
      <w:tblGrid>
        <w:gridCol w:w="2010"/>
        <w:gridCol w:w="1470"/>
        <w:gridCol w:w="1470"/>
        <w:gridCol w:w="1385"/>
        <w:gridCol w:w="15"/>
      </w:tblGrid>
      <w:tr>
        <w:trPr/>
        <w:tc>
          <w:tcPr>
            <w:tcW w:w="2010" w:type="dxa"/>
            <w:tcBorders>
              <w:top w:val="single" w:sz="2" w:space="0" w:color="000000"/>
              <w:start w:val="single" w:sz="2" w:space="0" w:color="000000"/>
            </w:tcBorders>
            <w:shd w:fill="auto" w:val="clear"/>
            <w:tcMar>
              <w:start w:w="27" w:type="dxa"/>
            </w:tcMar>
          </w:tcPr>
          <w:p>
            <w:pPr>
              <w:pStyle w:val="Normal"/>
              <w:jc w:val="center"/>
              <w:rPr/>
            </w:pPr>
            <w:r>
              <w:rPr>
                <w:vanish/>
              </w:rPr>
              <w:t>#G0</w:t>
            </w:r>
            <w:r>
              <w:rPr/>
              <w:t xml:space="preserve">Количество рабочих агрегатов одной  группы </w:t>
            </w:r>
          </w:p>
          <w:p>
            <w:pPr>
              <w:pStyle w:val="Normal"/>
              <w:jc w:val="center"/>
              <w:rPr/>
            </w:pPr>
            <w:r>
              <w:rPr/>
            </w:r>
          </w:p>
        </w:tc>
        <w:tc>
          <w:tcPr>
            <w:tcW w:w="4340" w:type="dxa"/>
            <w:gridSpan w:val="3"/>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Количество резервных агрегатов в насосных станциях </w:t>
            </w:r>
          </w:p>
          <w:p>
            <w:pPr>
              <w:pStyle w:val="Normal"/>
              <w:rPr/>
            </w:pPr>
            <w:r>
              <w:rPr/>
              <w:t xml:space="preserve">для категории </w:t>
            </w:r>
          </w:p>
          <w:p>
            <w:pPr>
              <w:pStyle w:val="Normal"/>
              <w:rPr/>
            </w:pPr>
            <w:r>
              <w:rPr/>
            </w:r>
          </w:p>
        </w:tc>
      </w:tr>
      <w:tr>
        <w:trPr/>
        <w:tc>
          <w:tcPr>
            <w:tcW w:w="2010" w:type="dxa"/>
            <w:tcBorders>
              <w:start w:val="single" w:sz="2" w:space="0" w:color="000000"/>
              <w:bottom w:val="single" w:sz="2" w:space="0" w:color="000000"/>
              <w:insideH w:val="single" w:sz="2" w:space="0" w:color="000000"/>
            </w:tcBorders>
            <w:shd w:fill="auto" w:val="clear"/>
            <w:tcMar>
              <w:start w:w="27" w:type="dxa"/>
            </w:tcMar>
          </w:tcPr>
          <w:p>
            <w:pPr>
              <w:pStyle w:val="Normal"/>
              <w:snapToGrid w:val="false"/>
              <w:rPr/>
            </w:pPr>
            <w:r>
              <w:rPr/>
            </w:r>
          </w:p>
          <w:p>
            <w:pPr>
              <w:pStyle w:val="Normal"/>
              <w:rPr/>
            </w:pPr>
            <w:r>
              <w:rPr/>
            </w:r>
          </w:p>
        </w:tc>
        <w:tc>
          <w:tcPr>
            <w:tcW w:w="147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I </w:t>
            </w:r>
          </w:p>
          <w:p>
            <w:pPr>
              <w:pStyle w:val="Normal"/>
              <w:rPr/>
            </w:pPr>
            <w:r>
              <w:rPr/>
            </w:r>
          </w:p>
        </w:tc>
        <w:tc>
          <w:tcPr>
            <w:tcW w:w="147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II </w:t>
            </w:r>
          </w:p>
          <w:p>
            <w:pPr>
              <w:pStyle w:val="Normal"/>
              <w:rPr/>
            </w:pPr>
            <w:r>
              <w:rPr/>
            </w:r>
          </w:p>
        </w:tc>
        <w:tc>
          <w:tcPr>
            <w:tcW w:w="138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III </w:t>
            </w:r>
          </w:p>
          <w:p>
            <w:pPr>
              <w:pStyle w:val="Normal"/>
              <w:rPr/>
            </w:pPr>
            <w:r>
              <w:rPr/>
            </w:r>
          </w:p>
        </w:tc>
      </w:tr>
      <w:tr>
        <w:trPr/>
        <w:tc>
          <w:tcPr>
            <w:tcW w:w="2010" w:type="dxa"/>
            <w:tcBorders>
              <w:start w:val="single" w:sz="2" w:space="0" w:color="000000"/>
            </w:tcBorders>
            <w:shd w:fill="auto" w:val="clear"/>
            <w:tcMar>
              <w:start w:w="27" w:type="dxa"/>
            </w:tcMar>
          </w:tcPr>
          <w:p>
            <w:pPr>
              <w:pStyle w:val="Normal"/>
              <w:rPr/>
            </w:pPr>
            <w:r>
              <w:rPr/>
              <w:t xml:space="preserve">До 6 </w:t>
            </w:r>
          </w:p>
          <w:p>
            <w:pPr>
              <w:pStyle w:val="Normal"/>
              <w:rPr/>
            </w:pPr>
            <w:r>
              <w:rPr/>
            </w:r>
          </w:p>
        </w:tc>
        <w:tc>
          <w:tcPr>
            <w:tcW w:w="1470" w:type="dxa"/>
            <w:tcBorders>
              <w:start w:val="single" w:sz="2" w:space="0" w:color="000000"/>
            </w:tcBorders>
            <w:shd w:fill="auto" w:val="clear"/>
            <w:tcMar>
              <w:start w:w="27" w:type="dxa"/>
            </w:tcMar>
          </w:tcPr>
          <w:p>
            <w:pPr>
              <w:pStyle w:val="Normal"/>
              <w:rPr/>
            </w:pPr>
            <w:r>
              <w:rPr/>
              <w:t xml:space="preserve">2 </w:t>
            </w:r>
          </w:p>
          <w:p>
            <w:pPr>
              <w:pStyle w:val="Normal"/>
              <w:rPr/>
            </w:pPr>
            <w:r>
              <w:rPr/>
            </w:r>
          </w:p>
        </w:tc>
        <w:tc>
          <w:tcPr>
            <w:tcW w:w="1470" w:type="dxa"/>
            <w:tcBorders>
              <w:start w:val="single" w:sz="2" w:space="0" w:color="000000"/>
            </w:tcBorders>
            <w:shd w:fill="auto" w:val="clear"/>
            <w:tcMar>
              <w:start w:w="27" w:type="dxa"/>
            </w:tcMar>
          </w:tcPr>
          <w:p>
            <w:pPr>
              <w:pStyle w:val="Normal"/>
              <w:rPr/>
            </w:pPr>
            <w:r>
              <w:rPr/>
              <w:t xml:space="preserve">1 </w:t>
            </w:r>
          </w:p>
          <w:p>
            <w:pPr>
              <w:pStyle w:val="Normal"/>
              <w:rPr/>
            </w:pPr>
            <w:r>
              <w:rPr/>
            </w:r>
          </w:p>
        </w:tc>
        <w:tc>
          <w:tcPr>
            <w:tcW w:w="138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1 </w:t>
            </w:r>
          </w:p>
          <w:p>
            <w:pPr>
              <w:pStyle w:val="Normal"/>
              <w:rPr/>
            </w:pPr>
            <w:r>
              <w:rPr/>
            </w:r>
          </w:p>
        </w:tc>
      </w:tr>
      <w:tr>
        <w:trPr/>
        <w:tc>
          <w:tcPr>
            <w:tcW w:w="2010" w:type="dxa"/>
            <w:tcBorders>
              <w:start w:val="single" w:sz="2" w:space="0" w:color="000000"/>
            </w:tcBorders>
            <w:shd w:fill="auto" w:val="clear"/>
            <w:tcMar>
              <w:start w:w="27" w:type="dxa"/>
            </w:tcMar>
          </w:tcPr>
          <w:p>
            <w:pPr>
              <w:pStyle w:val="Normal"/>
              <w:rPr/>
            </w:pPr>
            <w:r>
              <w:rPr/>
              <w:t xml:space="preserve">Св. 6 до 9 </w:t>
            </w:r>
          </w:p>
          <w:p>
            <w:pPr>
              <w:pStyle w:val="Normal"/>
              <w:rPr/>
            </w:pPr>
            <w:r>
              <w:rPr/>
            </w:r>
          </w:p>
        </w:tc>
        <w:tc>
          <w:tcPr>
            <w:tcW w:w="1470" w:type="dxa"/>
            <w:tcBorders>
              <w:start w:val="single" w:sz="2" w:space="0" w:color="000000"/>
            </w:tcBorders>
            <w:shd w:fill="auto" w:val="clear"/>
            <w:tcMar>
              <w:start w:w="27" w:type="dxa"/>
            </w:tcMar>
          </w:tcPr>
          <w:p>
            <w:pPr>
              <w:pStyle w:val="Normal"/>
              <w:rPr/>
            </w:pPr>
            <w:r>
              <w:rPr/>
              <w:t xml:space="preserve">2 </w:t>
            </w:r>
          </w:p>
          <w:p>
            <w:pPr>
              <w:pStyle w:val="Normal"/>
              <w:rPr/>
            </w:pPr>
            <w:r>
              <w:rPr/>
            </w:r>
          </w:p>
        </w:tc>
        <w:tc>
          <w:tcPr>
            <w:tcW w:w="1470" w:type="dxa"/>
            <w:tcBorders>
              <w:start w:val="single" w:sz="2" w:space="0" w:color="000000"/>
            </w:tcBorders>
            <w:shd w:fill="auto" w:val="clear"/>
            <w:tcMar>
              <w:start w:w="27" w:type="dxa"/>
            </w:tcMar>
          </w:tcPr>
          <w:p>
            <w:pPr>
              <w:pStyle w:val="Normal"/>
              <w:rPr/>
            </w:pPr>
            <w:r>
              <w:rPr/>
              <w:t xml:space="preserve">1 </w:t>
            </w:r>
          </w:p>
          <w:p>
            <w:pPr>
              <w:pStyle w:val="Normal"/>
              <w:rPr/>
            </w:pPr>
            <w:r>
              <w:rPr/>
            </w:r>
          </w:p>
        </w:tc>
        <w:tc>
          <w:tcPr>
            <w:tcW w:w="138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             </w:t>
            </w:r>
            <w:r>
              <w:rPr/>
              <w:t>-</w:t>
            </w:r>
          </w:p>
          <w:p>
            <w:pPr>
              <w:pStyle w:val="Normal"/>
              <w:rPr/>
            </w:pPr>
            <w:r>
              <w:rPr/>
            </w:r>
          </w:p>
        </w:tc>
      </w:tr>
      <w:tr>
        <w:trPr/>
        <w:tc>
          <w:tcPr>
            <w:tcW w:w="201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               </w:t>
            </w:r>
            <w:r>
              <w:rPr/>
              <w:t xml:space="preserve">«    9 </w:t>
            </w:r>
          </w:p>
          <w:p>
            <w:pPr>
              <w:pStyle w:val="Normal"/>
              <w:rPr/>
            </w:pPr>
            <w:r>
              <w:rPr/>
            </w:r>
          </w:p>
        </w:tc>
        <w:tc>
          <w:tcPr>
            <w:tcW w:w="1470" w:type="dxa"/>
            <w:tcBorders>
              <w:start w:val="single" w:sz="2" w:space="0" w:color="000000"/>
              <w:bottom w:val="single" w:sz="2" w:space="0" w:color="000000"/>
              <w:insideH w:val="single" w:sz="2" w:space="0" w:color="000000"/>
            </w:tcBorders>
            <w:shd w:fill="auto" w:val="clear"/>
            <w:tcMar>
              <w:start w:w="27" w:type="dxa"/>
            </w:tcMar>
          </w:tcPr>
          <w:p>
            <w:pPr>
              <w:pStyle w:val="Normal"/>
              <w:jc w:val="center"/>
              <w:rPr/>
            </w:pPr>
            <w:r>
              <w:rPr/>
              <w:t xml:space="preserve">2 </w:t>
            </w:r>
          </w:p>
          <w:p>
            <w:pPr>
              <w:pStyle w:val="Normal"/>
              <w:jc w:val="center"/>
              <w:rPr/>
            </w:pPr>
            <w:r>
              <w:rPr/>
            </w:r>
          </w:p>
        </w:tc>
        <w:tc>
          <w:tcPr>
            <w:tcW w:w="147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2 </w:t>
            </w:r>
          </w:p>
          <w:p>
            <w:pPr>
              <w:pStyle w:val="Normal"/>
              <w:rPr/>
            </w:pPr>
            <w:r>
              <w:rPr/>
            </w:r>
          </w:p>
        </w:tc>
        <w:tc>
          <w:tcPr>
            <w:tcW w:w="138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             </w:t>
            </w:r>
            <w:r>
              <w:rPr/>
              <w:t>-</w:t>
            </w:r>
          </w:p>
          <w:p>
            <w:pPr>
              <w:pStyle w:val="Normal"/>
              <w:rPr/>
            </w:pPr>
            <w:r>
              <w:rPr/>
            </w:r>
          </w:p>
        </w:tc>
      </w:tr>
    </w:tbl>
    <w:p>
      <w:pPr>
        <w:pStyle w:val="Normal"/>
        <w:jc w:val="both"/>
        <w:rPr/>
      </w:pPr>
      <w:r>
        <w:rPr/>
      </w:r>
    </w:p>
    <w:p>
      <w:pPr>
        <w:pStyle w:val="Normal"/>
        <w:ind w:firstLine="270"/>
        <w:jc w:val="both"/>
        <w:rPr/>
      </w:pPr>
      <w:r>
        <w:rPr/>
        <w:t>Примечания*: 1. В количество рабочих агрегатов включаются пожарные насосы.</w:t>
      </w:r>
    </w:p>
    <w:p>
      <w:pPr>
        <w:pStyle w:val="Normal"/>
        <w:ind w:firstLine="135"/>
        <w:jc w:val="both"/>
        <w:rPr/>
      </w:pPr>
      <w:r>
        <w:rPr/>
      </w:r>
    </w:p>
    <w:p>
      <w:pPr>
        <w:pStyle w:val="Normal"/>
        <w:ind w:firstLine="225"/>
        <w:jc w:val="both"/>
        <w:rPr/>
      </w:pPr>
      <w:r>
        <w:rPr/>
        <w:t>2. Количество рабочих агрегатов одной группы, кроме пожарных, должно быть не менее двух. В насосных станциях II и III категорий при обосновании допускается установка одного рабочего агрегата.</w:t>
      </w:r>
    </w:p>
    <w:p>
      <w:pPr>
        <w:pStyle w:val="Normal"/>
        <w:ind w:firstLine="225"/>
        <w:jc w:val="both"/>
        <w:rPr/>
      </w:pPr>
      <w:r>
        <w:rPr/>
      </w:r>
    </w:p>
    <w:p>
      <w:pPr>
        <w:pStyle w:val="Normal"/>
        <w:ind w:firstLine="270"/>
        <w:jc w:val="both"/>
        <w:rPr/>
      </w:pPr>
      <w:r>
        <w:rPr/>
        <w:t>3. При установке в одной группе насосов с разными характеристиками количество резервных агрегатов следует принимать для насосов большей производительности по табл. 32, а резервный насос меньшей производительности хранить на складе.</w:t>
      </w:r>
    </w:p>
    <w:p>
      <w:pPr>
        <w:pStyle w:val="Normal"/>
        <w:ind w:firstLine="270"/>
        <w:jc w:val="both"/>
        <w:rPr/>
      </w:pPr>
      <w:r>
        <w:rPr/>
      </w:r>
    </w:p>
    <w:p>
      <w:pPr>
        <w:pStyle w:val="Normal"/>
        <w:ind w:firstLine="225"/>
        <w:jc w:val="both"/>
        <w:rPr/>
      </w:pPr>
      <w:r>
        <w:rPr/>
        <w:t>4. В насосных станциях объединенных противопожарных водопроводов высокого давления или при установке только пожарных насосов следует предусматривать один резервный пожарный агрегат, независимо от количества рабочих агрегатов.</w:t>
      </w:r>
    </w:p>
    <w:p>
      <w:pPr>
        <w:pStyle w:val="Normal"/>
        <w:ind w:firstLine="225"/>
        <w:jc w:val="both"/>
        <w:rPr/>
      </w:pPr>
      <w:r>
        <w:rPr/>
      </w:r>
    </w:p>
    <w:p>
      <w:pPr>
        <w:pStyle w:val="Normal"/>
        <w:ind w:firstLine="225"/>
        <w:jc w:val="both"/>
        <w:rPr/>
      </w:pPr>
      <w:r>
        <w:rPr/>
        <w:t>5. В насосных станциях водопроводов населенных пунктов с числом жителей до 5 тыс. чел. при одном источнике электроснабжения следует устанавливать резервный пожарный насос с двигателем внутреннего сгорания и автоматическим запуском (от аккумуляторов).</w:t>
      </w:r>
    </w:p>
    <w:p>
      <w:pPr>
        <w:pStyle w:val="Normal"/>
        <w:ind w:firstLine="225"/>
        <w:jc w:val="both"/>
        <w:rPr/>
      </w:pPr>
      <w:r>
        <w:rPr/>
      </w:r>
    </w:p>
    <w:p>
      <w:pPr>
        <w:pStyle w:val="Normal"/>
        <w:ind w:firstLine="270"/>
        <w:jc w:val="both"/>
        <w:rPr/>
      </w:pPr>
      <w:r>
        <w:rPr/>
        <w:t>6. В насосных станциях II категории при количестве рабочих агрегатов десять и более один резервный агрегат допускается хранить на складе.</w:t>
      </w:r>
    </w:p>
    <w:p>
      <w:pPr>
        <w:pStyle w:val="Normal"/>
        <w:ind w:firstLine="270"/>
        <w:jc w:val="both"/>
        <w:rPr/>
      </w:pPr>
      <w:r>
        <w:rPr/>
      </w:r>
    </w:p>
    <w:p>
      <w:pPr>
        <w:pStyle w:val="Normal"/>
        <w:ind w:firstLine="225"/>
        <w:jc w:val="both"/>
        <w:rPr/>
      </w:pPr>
      <w:r>
        <w:rPr/>
        <w:t xml:space="preserve">7. Для увеличения производительности заглубленных насосных станций до 20-30 % следует предусматривать возможность замены насосов на большую производительность или устройство резервных фундаментов для установки дополнительных насосов.   </w:t>
      </w:r>
    </w:p>
    <w:p>
      <w:pPr>
        <w:pStyle w:val="Normal"/>
        <w:ind w:firstLine="225"/>
        <w:jc w:val="both"/>
        <w:rPr/>
      </w:pPr>
      <w:r>
        <w:rPr/>
      </w:r>
    </w:p>
    <w:p>
      <w:pPr>
        <w:pStyle w:val="Normal"/>
        <w:ind w:firstLine="90"/>
        <w:jc w:val="both"/>
        <w:rPr/>
      </w:pPr>
      <w:r>
        <w:rPr/>
      </w:r>
    </w:p>
    <w:p>
      <w:pPr>
        <w:pStyle w:val="Normal"/>
        <w:ind w:firstLine="225"/>
        <w:jc w:val="both"/>
        <w:rPr/>
      </w:pPr>
      <w:r>
        <w:rPr/>
        <w:t>7.5. Количество всасывающих линий к насосной станции независимо от числа и групп установленных насосов, включая пожарные, должно быть не менее двух.</w:t>
      </w:r>
    </w:p>
    <w:p>
      <w:pPr>
        <w:pStyle w:val="Normal"/>
        <w:ind w:firstLine="225"/>
        <w:jc w:val="both"/>
        <w:rPr/>
      </w:pPr>
      <w:r>
        <w:rPr/>
      </w:r>
    </w:p>
    <w:p>
      <w:pPr>
        <w:pStyle w:val="Normal"/>
        <w:ind w:firstLine="225"/>
        <w:jc w:val="both"/>
        <w:rPr/>
      </w:pPr>
      <w:r>
        <w:rPr/>
        <w:t>При выключении одной линии остальные должны быть рассчитаны на пропуск полного расчетного расхода для насосных станций I и II категорий и 70% расчетного расхода для III категории.</w:t>
      </w:r>
    </w:p>
    <w:p>
      <w:pPr>
        <w:pStyle w:val="Normal"/>
        <w:ind w:firstLine="225"/>
        <w:jc w:val="both"/>
        <w:rPr/>
      </w:pPr>
      <w:r>
        <w:rPr/>
      </w:r>
    </w:p>
    <w:p>
      <w:pPr>
        <w:pStyle w:val="Normal"/>
        <w:ind w:firstLine="225"/>
        <w:jc w:val="both"/>
        <w:rPr/>
      </w:pPr>
      <w:r>
        <w:rPr/>
        <w:t>Устройство одной всасывающей линии допускается для насосных станций III категории.</w:t>
      </w:r>
    </w:p>
    <w:p>
      <w:pPr>
        <w:pStyle w:val="Normal"/>
        <w:ind w:firstLine="225"/>
        <w:jc w:val="both"/>
        <w:rPr/>
      </w:pPr>
      <w:r>
        <w:rPr/>
      </w:r>
    </w:p>
    <w:p>
      <w:pPr>
        <w:pStyle w:val="Normal"/>
        <w:ind w:firstLine="225"/>
        <w:jc w:val="both"/>
        <w:rPr/>
      </w:pPr>
      <w:r>
        <w:rPr/>
        <w:t>7.6. Количество напорных линий от насосных станций I и II категорий должно быть не менее двух. Для насосных станций III категории допускается устройство одной напорной линии.</w:t>
      </w:r>
    </w:p>
    <w:p>
      <w:pPr>
        <w:pStyle w:val="Normal"/>
        <w:ind w:firstLine="225"/>
        <w:jc w:val="both"/>
        <w:rPr/>
      </w:pPr>
      <w:r>
        <w:rPr/>
      </w:r>
    </w:p>
    <w:p>
      <w:pPr>
        <w:pStyle w:val="Normal"/>
        <w:ind w:firstLine="270"/>
        <w:jc w:val="both"/>
        <w:rPr/>
      </w:pPr>
      <w:r>
        <w:rPr/>
        <w:t>7.7. Размещение запорной арматуры на всасывающих и напорных трубопроводах должно обеспечивать возможность замены или ремонта любого из насосов, обратных клапанов и основной запорной арматуры, а также проверки характеристики насосов без нарушения требований п. 4.4 по обеспеченности подачи воды.</w:t>
      </w:r>
    </w:p>
    <w:p>
      <w:pPr>
        <w:pStyle w:val="Normal"/>
        <w:ind w:firstLine="225"/>
        <w:jc w:val="both"/>
        <w:rPr/>
      </w:pPr>
      <w:r>
        <w:rPr/>
      </w:r>
    </w:p>
    <w:p>
      <w:pPr>
        <w:pStyle w:val="Normal"/>
        <w:ind w:firstLine="270"/>
        <w:jc w:val="both"/>
        <w:rPr/>
      </w:pPr>
      <w:r>
        <w:rPr/>
        <w:t>7.8. Напорная линия каждого насоса должна быть оборудована запорной арматурой и, как правило, обратным клапаном, устанавливаемым между насосом и запорной арматурой.</w:t>
      </w:r>
    </w:p>
    <w:p>
      <w:pPr>
        <w:pStyle w:val="Normal"/>
        <w:ind w:firstLine="225"/>
        <w:jc w:val="both"/>
        <w:rPr/>
      </w:pPr>
      <w:r>
        <w:rPr/>
      </w:r>
    </w:p>
    <w:p>
      <w:pPr>
        <w:pStyle w:val="Normal"/>
        <w:ind w:firstLine="270"/>
        <w:jc w:val="both"/>
        <w:rPr/>
      </w:pPr>
      <w:r>
        <w:rPr/>
        <w:t>При установке монтажных вставок их следует размещать между запорной арматурой и обратным клапаном.</w:t>
      </w:r>
    </w:p>
    <w:p>
      <w:pPr>
        <w:pStyle w:val="Normal"/>
        <w:ind w:firstLine="225"/>
        <w:jc w:val="both"/>
        <w:rPr/>
      </w:pPr>
      <w:r>
        <w:rPr/>
      </w:r>
    </w:p>
    <w:p>
      <w:pPr>
        <w:pStyle w:val="Normal"/>
        <w:ind w:firstLine="270"/>
        <w:jc w:val="both"/>
        <w:rPr/>
      </w:pPr>
      <w:r>
        <w:rPr/>
        <w:t>На всасывающих линиях каждого насоса запорную арматуру следует устанавливать у насосов, расположенных под заливом или присоединенных к общему всасывающему коллектору.</w:t>
      </w:r>
    </w:p>
    <w:p>
      <w:pPr>
        <w:pStyle w:val="Normal"/>
        <w:ind w:firstLine="270"/>
        <w:jc w:val="both"/>
        <w:rPr/>
      </w:pPr>
      <w:r>
        <w:rPr/>
      </w:r>
    </w:p>
    <w:p>
      <w:pPr>
        <w:pStyle w:val="Normal"/>
        <w:ind w:firstLine="225"/>
        <w:jc w:val="both"/>
        <w:rPr/>
      </w:pPr>
      <w:r>
        <w:rPr/>
        <w:t>7.9. Диаметр труб, фасонных частей и арматуры следует принимать на основании технико-экономического расчета исходя из скоростей движения воды в пределах, указанных в табл. 33.</w:t>
      </w:r>
    </w:p>
    <w:p>
      <w:pPr>
        <w:pStyle w:val="Normal"/>
        <w:ind w:firstLine="270"/>
        <w:jc w:val="both"/>
        <w:rPr/>
      </w:pPr>
      <w:r>
        <w:rPr/>
      </w:r>
    </w:p>
    <w:p>
      <w:pPr>
        <w:pStyle w:val="Normal"/>
        <w:jc w:val="end"/>
        <w:rPr/>
      </w:pPr>
      <w:r>
        <w:rPr/>
        <w:t xml:space="preserve">Таблица 33 </w:t>
      </w:r>
    </w:p>
    <w:p>
      <w:pPr>
        <w:pStyle w:val="Normal"/>
        <w:ind w:firstLine="270"/>
        <w:jc w:val="both"/>
        <w:rPr/>
      </w:pPr>
      <w:r>
        <w:rPr/>
      </w:r>
    </w:p>
    <w:p>
      <w:pPr>
        <w:pStyle w:val="Normal"/>
        <w:ind w:firstLine="270"/>
        <w:jc w:val="both"/>
        <w:rPr/>
      </w:pPr>
      <w:r>
        <w:rPr/>
      </w:r>
    </w:p>
    <w:tbl>
      <w:tblPr>
        <w:tblW w:w="6350"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2370"/>
        <w:gridCol w:w="2040"/>
        <w:gridCol w:w="1940"/>
      </w:tblGrid>
      <w:tr>
        <w:trPr/>
        <w:tc>
          <w:tcPr>
            <w:tcW w:w="2370" w:type="dxa"/>
            <w:tcBorders>
              <w:top w:val="single" w:sz="2" w:space="0" w:color="000000"/>
              <w:start w:val="single" w:sz="2" w:space="0" w:color="000000"/>
            </w:tcBorders>
            <w:shd w:fill="auto" w:val="clear"/>
            <w:tcMar>
              <w:start w:w="42" w:type="dxa"/>
            </w:tcMar>
          </w:tcPr>
          <w:p>
            <w:pPr>
              <w:pStyle w:val="Normal"/>
              <w:jc w:val="center"/>
              <w:rPr>
                <w:vanish/>
              </w:rPr>
            </w:pPr>
            <w:r>
              <w:rPr>
                <w:vanish/>
              </w:rPr>
              <w:t>#G0</w:t>
            </w:r>
          </w:p>
          <w:p>
            <w:pPr>
              <w:pStyle w:val="Normal"/>
              <w:jc w:val="center"/>
              <w:rPr/>
            </w:pPr>
            <w:r>
              <w:rPr/>
              <w:t xml:space="preserve">Диаметр труб, мм </w:t>
            </w:r>
          </w:p>
          <w:p>
            <w:pPr>
              <w:pStyle w:val="Normal"/>
              <w:jc w:val="center"/>
              <w:rPr/>
            </w:pPr>
            <w:r>
              <w:rPr/>
            </w:r>
          </w:p>
        </w:tc>
        <w:tc>
          <w:tcPr>
            <w:tcW w:w="3980" w:type="dxa"/>
            <w:gridSpan w:val="2"/>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Скорости движения воды</w:t>
            </w:r>
          </w:p>
          <w:p>
            <w:pPr>
              <w:pStyle w:val="Normal"/>
              <w:rPr/>
            </w:pPr>
            <w:r>
              <w:rPr/>
              <w:t xml:space="preserve">в трубопроводах насосных станций, м/с </w:t>
            </w:r>
          </w:p>
          <w:p>
            <w:pPr>
              <w:pStyle w:val="Normal"/>
              <w:rPr/>
            </w:pPr>
            <w:r>
              <w:rPr/>
            </w:r>
          </w:p>
        </w:tc>
      </w:tr>
      <w:tr>
        <w:trPr/>
        <w:tc>
          <w:tcPr>
            <w:tcW w:w="237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p>
          <w:p>
            <w:pPr>
              <w:pStyle w:val="Normal"/>
              <w:rPr/>
            </w:pPr>
            <w:r>
              <w:rPr/>
            </w:r>
          </w:p>
        </w:tc>
        <w:tc>
          <w:tcPr>
            <w:tcW w:w="2040"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всасывающие </w:t>
            </w:r>
          </w:p>
          <w:p>
            <w:pPr>
              <w:pStyle w:val="Normal"/>
              <w:jc w:val="center"/>
              <w:rPr/>
            </w:pPr>
            <w:r>
              <w:rPr/>
            </w:r>
          </w:p>
        </w:tc>
        <w:tc>
          <w:tcPr>
            <w:tcW w:w="194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напорные </w:t>
            </w:r>
          </w:p>
          <w:p>
            <w:pPr>
              <w:pStyle w:val="Normal"/>
              <w:rPr/>
            </w:pPr>
            <w:r>
              <w:rPr/>
            </w:r>
          </w:p>
        </w:tc>
      </w:tr>
      <w:tr>
        <w:trPr/>
        <w:tc>
          <w:tcPr>
            <w:tcW w:w="2370" w:type="dxa"/>
            <w:tcBorders>
              <w:start w:val="single" w:sz="2" w:space="0" w:color="000000"/>
            </w:tcBorders>
            <w:shd w:fill="auto" w:val="clear"/>
            <w:tcMar>
              <w:start w:w="42" w:type="dxa"/>
            </w:tcMar>
          </w:tcPr>
          <w:p>
            <w:pPr>
              <w:pStyle w:val="Normal"/>
              <w:ind w:firstLine="135"/>
              <w:jc w:val="both"/>
              <w:rPr/>
            </w:pPr>
            <w:r>
              <w:rPr/>
              <w:t xml:space="preserve">До 250 </w:t>
            </w:r>
          </w:p>
          <w:p>
            <w:pPr>
              <w:pStyle w:val="Normal"/>
              <w:ind w:firstLine="135"/>
              <w:jc w:val="both"/>
              <w:rPr/>
            </w:pPr>
            <w:r>
              <w:rPr/>
            </w:r>
          </w:p>
        </w:tc>
        <w:tc>
          <w:tcPr>
            <w:tcW w:w="2040" w:type="dxa"/>
            <w:tcBorders>
              <w:start w:val="single" w:sz="2" w:space="0" w:color="000000"/>
            </w:tcBorders>
            <w:shd w:fill="auto" w:val="clear"/>
            <w:tcMar>
              <w:start w:w="42" w:type="dxa"/>
            </w:tcMar>
          </w:tcPr>
          <w:p>
            <w:pPr>
              <w:pStyle w:val="Normal"/>
              <w:jc w:val="center"/>
              <w:rPr/>
            </w:pPr>
            <w:r>
              <w:rPr/>
              <w:t xml:space="preserve">0,6 - 1 </w:t>
            </w:r>
          </w:p>
          <w:p>
            <w:pPr>
              <w:pStyle w:val="Normal"/>
              <w:jc w:val="center"/>
              <w:rPr/>
            </w:pPr>
            <w:r>
              <w:rPr/>
            </w:r>
          </w:p>
        </w:tc>
        <w:tc>
          <w:tcPr>
            <w:tcW w:w="194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0,8 - 2 </w:t>
            </w:r>
          </w:p>
          <w:p>
            <w:pPr>
              <w:pStyle w:val="Normal"/>
              <w:rPr/>
            </w:pPr>
            <w:r>
              <w:rPr/>
            </w:r>
          </w:p>
        </w:tc>
      </w:tr>
      <w:tr>
        <w:trPr/>
        <w:tc>
          <w:tcPr>
            <w:tcW w:w="2370" w:type="dxa"/>
            <w:tcBorders>
              <w:start w:val="single" w:sz="2" w:space="0" w:color="000000"/>
            </w:tcBorders>
            <w:shd w:fill="auto" w:val="clear"/>
            <w:tcMar>
              <w:start w:w="42" w:type="dxa"/>
            </w:tcMar>
          </w:tcPr>
          <w:p>
            <w:pPr>
              <w:pStyle w:val="Normal"/>
              <w:ind w:firstLine="135"/>
              <w:jc w:val="both"/>
              <w:rPr/>
            </w:pPr>
            <w:r>
              <w:rPr/>
              <w:t xml:space="preserve">Св. 250 до 800 </w:t>
            </w:r>
          </w:p>
          <w:p>
            <w:pPr>
              <w:pStyle w:val="Normal"/>
              <w:ind w:firstLine="135"/>
              <w:jc w:val="both"/>
              <w:rPr/>
            </w:pPr>
            <w:r>
              <w:rPr/>
            </w:r>
          </w:p>
        </w:tc>
        <w:tc>
          <w:tcPr>
            <w:tcW w:w="2040" w:type="dxa"/>
            <w:tcBorders>
              <w:start w:val="single" w:sz="2" w:space="0" w:color="000000"/>
            </w:tcBorders>
            <w:shd w:fill="auto" w:val="clear"/>
            <w:tcMar>
              <w:start w:w="42" w:type="dxa"/>
            </w:tcMar>
          </w:tcPr>
          <w:p>
            <w:pPr>
              <w:pStyle w:val="Normal"/>
              <w:jc w:val="center"/>
              <w:rPr/>
            </w:pPr>
            <w:r>
              <w:rPr/>
              <w:t xml:space="preserve">0,8 - 1,5 </w:t>
            </w:r>
          </w:p>
          <w:p>
            <w:pPr>
              <w:pStyle w:val="Normal"/>
              <w:jc w:val="center"/>
              <w:rPr/>
            </w:pPr>
            <w:r>
              <w:rPr/>
            </w:r>
          </w:p>
        </w:tc>
        <w:tc>
          <w:tcPr>
            <w:tcW w:w="194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  -3 </w:t>
            </w:r>
          </w:p>
          <w:p>
            <w:pPr>
              <w:pStyle w:val="Normal"/>
              <w:rPr/>
            </w:pPr>
            <w:r>
              <w:rPr/>
            </w:r>
          </w:p>
        </w:tc>
      </w:tr>
      <w:tr>
        <w:trPr/>
        <w:tc>
          <w:tcPr>
            <w:tcW w:w="2370" w:type="dxa"/>
            <w:tcBorders>
              <w:start w:val="single" w:sz="2" w:space="0" w:color="000000"/>
              <w:bottom w:val="single" w:sz="2" w:space="0" w:color="000000"/>
              <w:insideH w:val="single" w:sz="2" w:space="0" w:color="000000"/>
            </w:tcBorders>
            <w:shd w:fill="auto" w:val="clear"/>
            <w:tcMar>
              <w:start w:w="42" w:type="dxa"/>
            </w:tcMar>
          </w:tcPr>
          <w:p>
            <w:pPr>
              <w:pStyle w:val="Normal"/>
              <w:ind w:firstLine="135"/>
              <w:jc w:val="both"/>
              <w:rPr/>
            </w:pPr>
            <w:r>
              <w:rPr/>
              <w:t xml:space="preserve">Св. 800 </w:t>
            </w:r>
          </w:p>
          <w:p>
            <w:pPr>
              <w:pStyle w:val="Normal"/>
              <w:ind w:firstLine="135"/>
              <w:jc w:val="both"/>
              <w:rPr/>
            </w:pPr>
            <w:r>
              <w:rPr/>
            </w:r>
          </w:p>
        </w:tc>
        <w:tc>
          <w:tcPr>
            <w:tcW w:w="2040"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1,2 - 2 </w:t>
            </w:r>
          </w:p>
          <w:p>
            <w:pPr>
              <w:pStyle w:val="Normal"/>
              <w:jc w:val="center"/>
              <w:rPr/>
            </w:pPr>
            <w:r>
              <w:rPr/>
            </w:r>
          </w:p>
        </w:tc>
        <w:tc>
          <w:tcPr>
            <w:tcW w:w="194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1,5 -  4 </w:t>
            </w:r>
          </w:p>
          <w:p>
            <w:pPr>
              <w:pStyle w:val="Normal"/>
              <w:rPr/>
            </w:pPr>
            <w:r>
              <w:rPr/>
            </w:r>
          </w:p>
        </w:tc>
      </w:tr>
    </w:tbl>
    <w:p>
      <w:pPr>
        <w:pStyle w:val="Normal"/>
        <w:jc w:val="both"/>
        <w:rPr/>
      </w:pPr>
      <w:r>
        <w:rPr/>
      </w:r>
    </w:p>
    <w:p>
      <w:pPr>
        <w:pStyle w:val="Normal"/>
        <w:ind w:firstLine="225"/>
        <w:jc w:val="both"/>
        <w:rPr/>
      </w:pPr>
      <w:r>
        <w:rPr/>
      </w:r>
    </w:p>
    <w:p>
      <w:pPr>
        <w:pStyle w:val="Normal"/>
        <w:ind w:firstLine="225"/>
        <w:jc w:val="both"/>
        <w:rPr/>
      </w:pPr>
      <w:r>
        <w:rPr/>
        <w:t>7.10. Размеры машинного зала насосной станции надлежит определять с учетом требований разд. 12.</w:t>
      </w:r>
    </w:p>
    <w:p>
      <w:pPr>
        <w:pStyle w:val="Normal"/>
        <w:ind w:firstLine="135"/>
        <w:jc w:val="both"/>
        <w:rPr/>
      </w:pPr>
      <w:r>
        <w:rPr/>
      </w:r>
    </w:p>
    <w:p>
      <w:pPr>
        <w:pStyle w:val="Normal"/>
        <w:ind w:firstLine="225"/>
        <w:jc w:val="both"/>
        <w:rPr/>
      </w:pPr>
      <w:r>
        <w:rPr/>
        <w:t>7.11. Для уменьшения габаритов станции в плане допускается устанавливать насосы с правым и левым вращением вала, при этом рабочее колесо должно вращаться только в одном направлении.</w:t>
      </w:r>
    </w:p>
    <w:p>
      <w:pPr>
        <w:pStyle w:val="Normal"/>
        <w:ind w:firstLine="225"/>
        <w:jc w:val="both"/>
        <w:rPr/>
      </w:pPr>
      <w:r>
        <w:rPr/>
      </w:r>
    </w:p>
    <w:p>
      <w:pPr>
        <w:pStyle w:val="Normal"/>
        <w:ind w:firstLine="225"/>
        <w:jc w:val="both"/>
        <w:rPr/>
      </w:pPr>
      <w:r>
        <w:rPr/>
        <w:t>7.12. Всасывающие и напорные коллекторы с запорной арматурой следует располагать в здании насосной станции, если это не вызывает увеличения пролета машинного зала.</w:t>
      </w:r>
    </w:p>
    <w:p>
      <w:pPr>
        <w:pStyle w:val="Normal"/>
        <w:ind w:firstLine="225"/>
        <w:jc w:val="both"/>
        <w:rPr/>
      </w:pPr>
      <w:r>
        <w:rPr/>
      </w:r>
    </w:p>
    <w:p>
      <w:pPr>
        <w:pStyle w:val="Normal"/>
        <w:ind w:firstLine="270"/>
        <w:jc w:val="both"/>
        <w:rPr/>
      </w:pPr>
      <w:r>
        <w:rPr/>
        <w:t>7.13. Трубопроводы в насосных станциях, а также всасывающие линии за пределами машинного зала, как правило, следует выполнять из стальных труб на сварке с применением фланцев для присоединения к арматуре и насосам.</w:t>
      </w:r>
    </w:p>
    <w:p>
      <w:pPr>
        <w:pStyle w:val="Normal"/>
        <w:ind w:firstLine="270"/>
        <w:jc w:val="both"/>
        <w:rPr/>
      </w:pPr>
      <w:r>
        <w:rPr/>
      </w:r>
    </w:p>
    <w:p>
      <w:pPr>
        <w:pStyle w:val="Normal"/>
        <w:ind w:firstLine="225"/>
        <w:jc w:val="both"/>
        <w:rPr/>
      </w:pPr>
      <w:r>
        <w:rPr/>
        <w:t>7.14. Всасывающий трубопровод, как правило, должен иметь непрерывный подъем к насосу не менее 0,005. В местах изменения диаметров трубопроводов следует применять эксцентрические переходы.</w:t>
      </w:r>
    </w:p>
    <w:p>
      <w:pPr>
        <w:pStyle w:val="Normal"/>
        <w:ind w:firstLine="270"/>
        <w:jc w:val="both"/>
        <w:rPr/>
      </w:pPr>
      <w:r>
        <w:rPr/>
      </w:r>
    </w:p>
    <w:p>
      <w:pPr>
        <w:pStyle w:val="Normal"/>
        <w:ind w:firstLine="225"/>
        <w:jc w:val="both"/>
        <w:rPr/>
      </w:pPr>
      <w:r>
        <w:rPr/>
        <w:t>7.15. В заглубленных и полузаглубленных насосных станциях должны быть предусмотрены мероприятия против возможного затопления агрегатов при аварии в пределах машинного зала на самом крупном по производительности насосе, а также запорной арматуре или трубопроводе путем: расположения электродвигателей насосов на высоте не менее 0,5 м от пола машинного зала; самотечного выпуска аварийного количества воды в канализацию или на поверхность земли с установкой клапана или задвижки; откачки воды из приямка основными насосами производственного назначения.</w:t>
      </w:r>
    </w:p>
    <w:p>
      <w:pPr>
        <w:pStyle w:val="Normal"/>
        <w:ind w:firstLine="225"/>
        <w:jc w:val="both"/>
        <w:rPr/>
      </w:pPr>
      <w:r>
        <w:rPr/>
      </w:r>
    </w:p>
    <w:p>
      <w:pPr>
        <w:pStyle w:val="Normal"/>
        <w:ind w:firstLine="270"/>
        <w:jc w:val="both"/>
        <w:rPr/>
      </w:pPr>
      <w:r>
        <w:rPr/>
        <w:t>При необходимости установки аварийных насосов производительность их надлежит определять из условия откачки воды из машинного зала при ее слое 0,5 м не более 2 ч и предусматривать один резервный агрегат.</w:t>
      </w:r>
    </w:p>
    <w:p>
      <w:pPr>
        <w:pStyle w:val="Normal"/>
        <w:ind w:firstLine="225"/>
        <w:jc w:val="both"/>
        <w:rPr/>
      </w:pPr>
      <w:r>
        <w:rPr/>
      </w:r>
    </w:p>
    <w:p>
      <w:pPr>
        <w:pStyle w:val="Normal"/>
        <w:ind w:firstLine="270"/>
        <w:jc w:val="both"/>
        <w:rPr/>
      </w:pPr>
      <w:r>
        <w:rPr/>
        <w:t>7.16. Для стока воды полы и каналы машинного зала надлежит проектировать с уклоном к сборному приямку. На фундаментах под насосы следует предусматривать бортики, желобки и трубки для отвода воды. При невозможности самотечного отвода воды из приямка следует предусматривать дренажные насосы.</w:t>
      </w:r>
    </w:p>
    <w:p>
      <w:pPr>
        <w:pStyle w:val="Normal"/>
        <w:ind w:firstLine="270"/>
        <w:jc w:val="both"/>
        <w:rPr/>
      </w:pPr>
      <w:r>
        <w:rPr/>
      </w:r>
    </w:p>
    <w:p>
      <w:pPr>
        <w:pStyle w:val="Normal"/>
        <w:ind w:firstLine="225"/>
        <w:jc w:val="both"/>
        <w:rPr/>
      </w:pPr>
      <w:r>
        <w:rPr/>
        <w:t>7.17. В заглубленных насосных станциях, работающих в автоматическом режиме, при заглублении машинного зала 20 м и более, а также в насосных станциях с постоянным обслуживающим персоналом при заглублении 15 м и более следует предусматривать устройство пассажирского лифта.</w:t>
      </w:r>
    </w:p>
    <w:p>
      <w:pPr>
        <w:pStyle w:val="Normal"/>
        <w:ind w:firstLine="225"/>
        <w:jc w:val="both"/>
        <w:rPr/>
      </w:pPr>
      <w:r>
        <w:rPr/>
      </w:r>
    </w:p>
    <w:p>
      <w:pPr>
        <w:pStyle w:val="Normal"/>
        <w:ind w:firstLine="270"/>
        <w:jc w:val="both"/>
        <w:rPr/>
      </w:pPr>
      <w:r>
        <w:rPr/>
        <w:t xml:space="preserve">7.18. Насосные станции размером машинного зала 6х9 м и более должны оборудоваться внутренним противопожарным водопроводом с расходом воды 2,5 л/с. </w:t>
      </w:r>
    </w:p>
    <w:p>
      <w:pPr>
        <w:pStyle w:val="Normal"/>
        <w:ind w:firstLine="225"/>
        <w:jc w:val="both"/>
        <w:rPr/>
      </w:pPr>
      <w:r>
        <w:rPr/>
      </w:r>
    </w:p>
    <w:p>
      <w:pPr>
        <w:pStyle w:val="Normal"/>
        <w:ind w:firstLine="270"/>
        <w:jc w:val="both"/>
        <w:rPr/>
      </w:pPr>
      <w:r>
        <w:rPr/>
        <w:t xml:space="preserve">Кроме того, следует предусматривать: </w:t>
      </w:r>
    </w:p>
    <w:p>
      <w:pPr>
        <w:pStyle w:val="Normal"/>
        <w:ind w:firstLine="225"/>
        <w:jc w:val="both"/>
        <w:rPr/>
      </w:pPr>
      <w:r>
        <w:rPr/>
      </w:r>
    </w:p>
    <w:p>
      <w:pPr>
        <w:pStyle w:val="Normal"/>
        <w:ind w:firstLine="270"/>
        <w:jc w:val="both"/>
        <w:rPr/>
      </w:pPr>
      <w:r>
        <w:rPr/>
        <w:t>при установке электродвигателей напряжением до 1000 В и менее: два ручных пенных огнетушителя, а при двигателях внутреннего сгорания до 300 л.с.- четыре огнетушителя;</w:t>
      </w:r>
    </w:p>
    <w:p>
      <w:pPr>
        <w:pStyle w:val="Normal"/>
        <w:ind w:firstLine="225"/>
        <w:jc w:val="both"/>
        <w:rPr/>
      </w:pPr>
      <w:r>
        <w:rPr/>
      </w:r>
    </w:p>
    <w:p>
      <w:pPr>
        <w:pStyle w:val="Normal"/>
        <w:ind w:firstLine="270"/>
        <w:jc w:val="both"/>
        <w:rPr/>
      </w:pPr>
      <w:r>
        <w:rPr/>
        <w:t>при установке электродвигателей напряжением свыше 1000 В или двигателя внутреннего сгорания мощностью более 300 л.с. следует предусматривать дополнительно два углекислотных огнетушителя, бочку с водой вместимостью 250 л, два куска войлока, асбестового полотна или кошмы размером 2х2 м.</w:t>
      </w:r>
    </w:p>
    <w:p>
      <w:pPr>
        <w:pStyle w:val="Normal"/>
        <w:ind w:firstLine="270"/>
        <w:jc w:val="both"/>
        <w:rPr/>
      </w:pPr>
      <w:r>
        <w:rPr/>
      </w:r>
    </w:p>
    <w:p>
      <w:pPr>
        <w:pStyle w:val="Normal"/>
        <w:ind w:firstLine="270"/>
        <w:jc w:val="both"/>
        <w:rPr/>
      </w:pPr>
      <w:r>
        <w:rPr/>
        <w:t>Примечания: 1. Пожарные краны следует присоединять к напорному коллектору насосов.</w:t>
      </w:r>
    </w:p>
    <w:p>
      <w:pPr>
        <w:pStyle w:val="Normal"/>
        <w:ind w:firstLine="270"/>
        <w:jc w:val="both"/>
        <w:rPr/>
      </w:pPr>
      <w:r>
        <w:rPr/>
      </w:r>
    </w:p>
    <w:p>
      <w:pPr>
        <w:pStyle w:val="Normal"/>
        <w:ind w:firstLine="225"/>
        <w:jc w:val="both"/>
        <w:rPr/>
      </w:pPr>
      <w:r>
        <w:rPr/>
        <w:t>2. В насосных станциях на водозаборных скважинах противопожарный водопровод предусматривать не требуется.</w:t>
      </w:r>
    </w:p>
    <w:p>
      <w:pPr>
        <w:pStyle w:val="Normal"/>
        <w:ind w:firstLine="225"/>
        <w:jc w:val="both"/>
        <w:rPr/>
      </w:pPr>
      <w:r>
        <w:rPr/>
      </w:r>
    </w:p>
    <w:p>
      <w:pPr>
        <w:pStyle w:val="Normal"/>
        <w:ind w:firstLine="270"/>
        <w:jc w:val="both"/>
        <w:rPr/>
      </w:pPr>
      <w:r>
        <w:rPr/>
      </w:r>
    </w:p>
    <w:p>
      <w:pPr>
        <w:pStyle w:val="Normal"/>
        <w:ind w:firstLine="270"/>
        <w:jc w:val="both"/>
        <w:rPr/>
      </w:pPr>
      <w:r>
        <w:rPr/>
        <w:t>7.19. В насосной станции независимо от степени ее автоматизации следует предусматривать санитарный узел (унитаз и раковину), помещение и шкафчик для хранения одежды эксплуатационного персонала (дежурной ремонтной бригады).</w:t>
      </w:r>
    </w:p>
    <w:p>
      <w:pPr>
        <w:pStyle w:val="Normal"/>
        <w:ind w:firstLine="270"/>
        <w:jc w:val="both"/>
        <w:rPr/>
      </w:pPr>
      <w:r>
        <w:rPr/>
      </w:r>
    </w:p>
    <w:p>
      <w:pPr>
        <w:pStyle w:val="Normal"/>
        <w:ind w:firstLine="225"/>
        <w:jc w:val="both"/>
        <w:rPr/>
      </w:pPr>
      <w:r>
        <w:rPr/>
        <w:t>При расположении насосной станции на расстоянии не более 50 м от производственных зданий, имеющих санитарно-бытовые помещения, санитарный узел допускается не предусматривать.</w:t>
      </w:r>
    </w:p>
    <w:p>
      <w:pPr>
        <w:pStyle w:val="Normal"/>
        <w:ind w:firstLine="225"/>
        <w:jc w:val="both"/>
        <w:rPr/>
      </w:pPr>
      <w:r>
        <w:rPr/>
      </w:r>
    </w:p>
    <w:p>
      <w:pPr>
        <w:pStyle w:val="Normal"/>
        <w:ind w:firstLine="270"/>
        <w:jc w:val="both"/>
        <w:rPr/>
      </w:pPr>
      <w:r>
        <w:rPr/>
        <w:t>В насосных станциях над водозаборными скважинами санитарный узел предусматривать не следует.</w:t>
      </w:r>
    </w:p>
    <w:p>
      <w:pPr>
        <w:pStyle w:val="Normal"/>
        <w:ind w:firstLine="270"/>
        <w:jc w:val="both"/>
        <w:rPr/>
      </w:pPr>
      <w:r>
        <w:rPr/>
      </w:r>
    </w:p>
    <w:p>
      <w:pPr>
        <w:pStyle w:val="Normal"/>
        <w:ind w:firstLine="225"/>
        <w:jc w:val="both"/>
        <w:rPr/>
      </w:pPr>
      <w:r>
        <w:rPr/>
        <w:t>Для насосной станции, расположенной вне населенного пункта или объекта, допускается устройство выгреба.</w:t>
      </w:r>
    </w:p>
    <w:p>
      <w:pPr>
        <w:pStyle w:val="Normal"/>
        <w:ind w:firstLine="225"/>
        <w:jc w:val="both"/>
        <w:rPr/>
      </w:pPr>
      <w:r>
        <w:rPr/>
      </w:r>
    </w:p>
    <w:p>
      <w:pPr>
        <w:pStyle w:val="Normal"/>
        <w:ind w:firstLine="270"/>
        <w:jc w:val="both"/>
        <w:rPr/>
      </w:pPr>
      <w:r>
        <w:rPr/>
        <w:t>7.20. В отдельно расположенной насосной станции для производства мелкого ремонта следует предусматривать установку верстака.</w:t>
      </w:r>
    </w:p>
    <w:p>
      <w:pPr>
        <w:pStyle w:val="Normal"/>
        <w:ind w:firstLine="225"/>
        <w:jc w:val="both"/>
        <w:rPr/>
      </w:pPr>
      <w:r>
        <w:rPr/>
      </w:r>
    </w:p>
    <w:p>
      <w:pPr>
        <w:pStyle w:val="Normal"/>
        <w:ind w:firstLine="270"/>
        <w:jc w:val="both"/>
        <w:rPr/>
      </w:pPr>
      <w:r>
        <w:rPr/>
        <w:t>7.21. В насосных станциях с двигателями внутреннего сгорания допускается размещать расходные емкости с жидким топливом (бензина до 250 л, дизельного топлива до 500 л) в помещениях, отделенных от машинного зала несгораемыми конструкциями с пределом огнестойкости не менее 2 ч.</w:t>
      </w:r>
    </w:p>
    <w:p>
      <w:pPr>
        <w:pStyle w:val="Normal"/>
        <w:ind w:firstLine="180"/>
        <w:jc w:val="both"/>
        <w:rPr/>
      </w:pPr>
      <w:r>
        <w:rPr/>
      </w:r>
    </w:p>
    <w:p>
      <w:pPr>
        <w:pStyle w:val="Normal"/>
        <w:ind w:firstLine="225"/>
        <w:jc w:val="both"/>
        <w:rPr/>
      </w:pPr>
      <w:r>
        <w:rPr/>
        <w:t>7.22. В насосных станциях должна быть предусмотрена установка контрольно-измерительной аппаратуры в соответствии с указаниями разд. 13.</w:t>
      </w:r>
    </w:p>
    <w:p>
      <w:pPr>
        <w:pStyle w:val="Normal"/>
        <w:ind w:firstLine="225"/>
        <w:jc w:val="both"/>
        <w:rPr/>
      </w:pPr>
      <w:r>
        <w:rPr/>
      </w:r>
    </w:p>
    <w:p>
      <w:pPr>
        <w:pStyle w:val="Normal"/>
        <w:ind w:firstLine="225"/>
        <w:jc w:val="both"/>
        <w:rPr/>
      </w:pPr>
      <w:r>
        <w:rPr/>
        <w:t>7.23. Насосные станции противопожарного водоснабжения допускается размещать в производственных зданиях, при этом они должны быть отделены противопожарными перегородками.</w:t>
      </w:r>
    </w:p>
    <w:p>
      <w:pPr>
        <w:pStyle w:val="Normal"/>
        <w:ind w:firstLine="270"/>
        <w:jc w:val="both"/>
        <w:rPr/>
      </w:pPr>
      <w:r>
        <w:rPr/>
      </w:r>
    </w:p>
    <w:p>
      <w:pPr>
        <w:pStyle w:val="Heading"/>
        <w:jc w:val="center"/>
        <w:rPr/>
      </w:pPr>
      <w:r>
        <w:rPr/>
      </w:r>
    </w:p>
    <w:p>
      <w:pPr>
        <w:pStyle w:val="Heading"/>
        <w:jc w:val="center"/>
        <w:rPr/>
      </w:pPr>
      <w:r>
        <w:rPr/>
        <w:t>8. ВОДОВОДЫ, ВОДОПРОВОДНЫЕ СЕТИ</w:t>
      </w:r>
    </w:p>
    <w:p>
      <w:pPr>
        <w:pStyle w:val="Heading"/>
        <w:jc w:val="center"/>
        <w:rPr/>
      </w:pPr>
      <w:r>
        <w:rPr/>
        <w:t>И СООРУЖЕНИЯ НА НИХ</w:t>
      </w:r>
    </w:p>
    <w:p>
      <w:pPr>
        <w:pStyle w:val="Heading"/>
        <w:jc w:val="center"/>
        <w:rPr/>
      </w:pPr>
      <w:r>
        <w:rPr/>
      </w:r>
    </w:p>
    <w:p>
      <w:pPr>
        <w:pStyle w:val="Normal"/>
        <w:ind w:firstLine="270"/>
        <w:jc w:val="both"/>
        <w:rPr/>
      </w:pPr>
      <w:r>
        <w:rPr/>
      </w:r>
    </w:p>
    <w:p>
      <w:pPr>
        <w:pStyle w:val="Normal"/>
        <w:ind w:firstLine="270"/>
        <w:jc w:val="both"/>
        <w:rPr/>
      </w:pPr>
      <w:r>
        <w:rPr/>
        <w:t>8.1. Количество линий водоводов надлежит принимать с учетом категории системы водоснабжения и очередности строительства.</w:t>
      </w:r>
    </w:p>
    <w:p>
      <w:pPr>
        <w:pStyle w:val="Normal"/>
        <w:ind w:firstLine="270"/>
        <w:jc w:val="both"/>
        <w:rPr/>
      </w:pPr>
      <w:r>
        <w:rPr/>
      </w:r>
    </w:p>
    <w:p>
      <w:pPr>
        <w:pStyle w:val="Normal"/>
        <w:ind w:firstLine="225"/>
        <w:jc w:val="both"/>
        <w:rPr/>
      </w:pPr>
      <w:r>
        <w:rPr/>
        <w:t>8.2. 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w:t>
      </w:r>
    </w:p>
    <w:p>
      <w:pPr>
        <w:pStyle w:val="Normal"/>
        <w:ind w:firstLine="225"/>
        <w:jc w:val="both"/>
        <w:rPr/>
      </w:pPr>
      <w:r>
        <w:rPr/>
      </w:r>
    </w:p>
    <w:p>
      <w:pPr>
        <w:pStyle w:val="Normal"/>
        <w:ind w:firstLine="270"/>
        <w:jc w:val="both"/>
        <w:rPr/>
      </w:pPr>
      <w:r>
        <w:rPr/>
        <w:t>8.3. При прокладке водовода в одну линию и подаче воды от одного источника должен быть предусмотрен объем воды на время ликвидации аварии на водоводе в соответствии с п. 9.6. При подаче воды от нескольких источников аварийный объем воды может быть уменьшен при условии выполнения требований п. 8.2.</w:t>
      </w:r>
    </w:p>
    <w:p>
      <w:pPr>
        <w:pStyle w:val="Normal"/>
        <w:ind w:firstLine="225"/>
        <w:jc w:val="both"/>
        <w:rPr/>
      </w:pPr>
      <w:r>
        <w:rPr/>
      </w:r>
    </w:p>
    <w:p>
      <w:pPr>
        <w:pStyle w:val="Normal"/>
        <w:ind w:firstLine="270"/>
        <w:jc w:val="both"/>
        <w:rPr/>
      </w:pPr>
      <w:r>
        <w:rPr/>
        <w:t>8.4. Расчетное время ликвидации аварии на трубопроводах систем водоснабжения I категории следует принимать согласно табл. 34. Для систем водоснабжения II и III категорий указанное в таблице время следует увеличивать соответственно в 1,25 и в 1,5 раза.</w:t>
      </w:r>
    </w:p>
    <w:p>
      <w:pPr>
        <w:pStyle w:val="Normal"/>
        <w:ind w:firstLine="270"/>
        <w:jc w:val="both"/>
        <w:rPr/>
      </w:pPr>
      <w:r>
        <w:rPr/>
      </w:r>
    </w:p>
    <w:p>
      <w:pPr>
        <w:pStyle w:val="Normal"/>
        <w:jc w:val="end"/>
        <w:rPr/>
      </w:pPr>
      <w:r>
        <w:rPr/>
        <w:t xml:space="preserve">Таблица 34 </w:t>
      </w:r>
    </w:p>
    <w:p>
      <w:pPr>
        <w:pStyle w:val="Normal"/>
        <w:ind w:firstLine="270"/>
        <w:jc w:val="both"/>
        <w:rPr/>
      </w:pPr>
      <w:r>
        <w:rPr/>
      </w:r>
    </w:p>
    <w:p>
      <w:pPr>
        <w:pStyle w:val="Normal"/>
        <w:ind w:firstLine="270"/>
        <w:jc w:val="both"/>
        <w:rPr/>
      </w:pPr>
      <w:r>
        <w:rPr/>
      </w:r>
    </w:p>
    <w:tbl>
      <w:tblPr>
        <w:tblW w:w="6350"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2445"/>
        <w:gridCol w:w="1995"/>
        <w:gridCol w:w="1895"/>
        <w:gridCol w:w="15"/>
      </w:tblGrid>
      <w:tr>
        <w:trPr/>
        <w:tc>
          <w:tcPr>
            <w:tcW w:w="2445" w:type="dxa"/>
            <w:tcBorders>
              <w:top w:val="single" w:sz="2" w:space="0" w:color="000000"/>
              <w:start w:val="single" w:sz="2" w:space="0" w:color="000000"/>
            </w:tcBorders>
            <w:shd w:fill="auto" w:val="clear"/>
            <w:tcMar>
              <w:start w:w="42" w:type="dxa"/>
            </w:tcMar>
          </w:tcPr>
          <w:p>
            <w:pPr>
              <w:pStyle w:val="Normal"/>
              <w:jc w:val="center"/>
              <w:rPr>
                <w:vanish/>
              </w:rPr>
            </w:pPr>
            <w:r>
              <w:rPr>
                <w:vanish/>
              </w:rPr>
              <w:t>#G0</w:t>
            </w:r>
          </w:p>
          <w:p>
            <w:pPr>
              <w:pStyle w:val="Normal"/>
              <w:jc w:val="center"/>
              <w:rPr/>
            </w:pPr>
            <w:r>
              <w:rPr/>
              <w:t xml:space="preserve">Диаметр труб, мм </w:t>
            </w:r>
          </w:p>
          <w:p>
            <w:pPr>
              <w:pStyle w:val="Normal"/>
              <w:jc w:val="center"/>
              <w:rPr/>
            </w:pPr>
            <w:r>
              <w:rPr/>
            </w:r>
          </w:p>
        </w:tc>
        <w:tc>
          <w:tcPr>
            <w:tcW w:w="3905" w:type="dxa"/>
            <w:gridSpan w:val="2"/>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Расчетное время ликвидации аварий </w:t>
            </w:r>
          </w:p>
          <w:p>
            <w:pPr>
              <w:pStyle w:val="Normal"/>
              <w:rPr/>
            </w:pPr>
            <w:r>
              <w:rPr/>
              <w:t xml:space="preserve">на трубопроводах, ч, при глубине заложения труб, м </w:t>
            </w:r>
          </w:p>
          <w:p>
            <w:pPr>
              <w:pStyle w:val="Normal"/>
              <w:rPr/>
            </w:pPr>
            <w:r>
              <w:rPr/>
            </w:r>
          </w:p>
        </w:tc>
      </w:tr>
      <w:tr>
        <w:trPr/>
        <w:tc>
          <w:tcPr>
            <w:tcW w:w="244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p>
          <w:p>
            <w:pPr>
              <w:pStyle w:val="Normal"/>
              <w:rPr/>
            </w:pPr>
            <w:r>
              <w:rPr/>
            </w:r>
          </w:p>
        </w:tc>
        <w:tc>
          <w:tcPr>
            <w:tcW w:w="1995"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до 2 </w:t>
            </w:r>
          </w:p>
          <w:p>
            <w:pPr>
              <w:pStyle w:val="Normal"/>
              <w:jc w:val="center"/>
              <w:rPr/>
            </w:pPr>
            <w:r>
              <w:rPr/>
            </w:r>
          </w:p>
        </w:tc>
        <w:tc>
          <w:tcPr>
            <w:tcW w:w="189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более 2 </w:t>
            </w:r>
          </w:p>
          <w:p>
            <w:pPr>
              <w:pStyle w:val="Normal"/>
              <w:rPr/>
            </w:pPr>
            <w:r>
              <w:rPr/>
            </w:r>
          </w:p>
        </w:tc>
      </w:tr>
      <w:tr>
        <w:trPr/>
        <w:tc>
          <w:tcPr>
            <w:tcW w:w="2445" w:type="dxa"/>
            <w:tcBorders>
              <w:start w:val="single" w:sz="2" w:space="0" w:color="000000"/>
            </w:tcBorders>
            <w:shd w:fill="auto" w:val="clear"/>
            <w:tcMar>
              <w:start w:w="42" w:type="dxa"/>
            </w:tcMar>
          </w:tcPr>
          <w:p>
            <w:pPr>
              <w:pStyle w:val="Normal"/>
              <w:ind w:firstLine="135"/>
              <w:jc w:val="both"/>
              <w:rPr/>
            </w:pPr>
            <w:r>
              <w:rPr/>
              <w:t xml:space="preserve">До 400 </w:t>
            </w:r>
          </w:p>
          <w:p>
            <w:pPr>
              <w:pStyle w:val="Normal"/>
              <w:ind w:firstLine="135"/>
              <w:jc w:val="both"/>
              <w:rPr/>
            </w:pPr>
            <w:r>
              <w:rPr/>
            </w:r>
          </w:p>
        </w:tc>
        <w:tc>
          <w:tcPr>
            <w:tcW w:w="1995" w:type="dxa"/>
            <w:tcBorders>
              <w:start w:val="single" w:sz="2" w:space="0" w:color="000000"/>
            </w:tcBorders>
            <w:shd w:fill="auto" w:val="clear"/>
            <w:tcMar>
              <w:start w:w="42" w:type="dxa"/>
            </w:tcMar>
          </w:tcPr>
          <w:p>
            <w:pPr>
              <w:pStyle w:val="Normal"/>
              <w:jc w:val="center"/>
              <w:rPr/>
            </w:pPr>
            <w:r>
              <w:rPr/>
              <w:t xml:space="preserve">8 </w:t>
            </w:r>
          </w:p>
          <w:p>
            <w:pPr>
              <w:pStyle w:val="Normal"/>
              <w:jc w:val="center"/>
              <w:rPr/>
            </w:pPr>
            <w:r>
              <w:rPr/>
            </w:r>
          </w:p>
        </w:tc>
        <w:tc>
          <w:tcPr>
            <w:tcW w:w="1895"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12 </w:t>
            </w:r>
          </w:p>
          <w:p>
            <w:pPr>
              <w:pStyle w:val="Normal"/>
              <w:rPr/>
            </w:pPr>
            <w:r>
              <w:rPr/>
            </w:r>
          </w:p>
        </w:tc>
      </w:tr>
      <w:tr>
        <w:trPr/>
        <w:tc>
          <w:tcPr>
            <w:tcW w:w="2445" w:type="dxa"/>
            <w:tcBorders>
              <w:start w:val="single" w:sz="2" w:space="0" w:color="000000"/>
            </w:tcBorders>
            <w:shd w:fill="auto" w:val="clear"/>
            <w:tcMar>
              <w:start w:w="42" w:type="dxa"/>
            </w:tcMar>
          </w:tcPr>
          <w:p>
            <w:pPr>
              <w:pStyle w:val="Normal"/>
              <w:ind w:firstLine="135"/>
              <w:jc w:val="both"/>
              <w:rPr/>
            </w:pPr>
            <w:r>
              <w:rPr/>
              <w:t xml:space="preserve">Св. 400 до 1000 </w:t>
            </w:r>
          </w:p>
          <w:p>
            <w:pPr>
              <w:pStyle w:val="Normal"/>
              <w:ind w:firstLine="135"/>
              <w:jc w:val="both"/>
              <w:rPr/>
            </w:pPr>
            <w:r>
              <w:rPr/>
            </w:r>
          </w:p>
        </w:tc>
        <w:tc>
          <w:tcPr>
            <w:tcW w:w="1995" w:type="dxa"/>
            <w:tcBorders>
              <w:start w:val="single" w:sz="2" w:space="0" w:color="000000"/>
            </w:tcBorders>
            <w:shd w:fill="auto" w:val="clear"/>
            <w:tcMar>
              <w:start w:w="42" w:type="dxa"/>
            </w:tcMar>
          </w:tcPr>
          <w:p>
            <w:pPr>
              <w:pStyle w:val="Normal"/>
              <w:jc w:val="center"/>
              <w:rPr/>
            </w:pPr>
            <w:r>
              <w:rPr/>
              <w:t xml:space="preserve">12 </w:t>
            </w:r>
          </w:p>
          <w:p>
            <w:pPr>
              <w:pStyle w:val="Normal"/>
              <w:jc w:val="center"/>
              <w:rPr/>
            </w:pPr>
            <w:r>
              <w:rPr/>
            </w:r>
          </w:p>
        </w:tc>
        <w:tc>
          <w:tcPr>
            <w:tcW w:w="1895"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18 </w:t>
            </w:r>
          </w:p>
          <w:p>
            <w:pPr>
              <w:pStyle w:val="Normal"/>
              <w:rPr/>
            </w:pPr>
            <w:r>
              <w:rPr/>
            </w:r>
          </w:p>
        </w:tc>
      </w:tr>
      <w:tr>
        <w:trPr/>
        <w:tc>
          <w:tcPr>
            <w:tcW w:w="2445" w:type="dxa"/>
            <w:tcBorders>
              <w:start w:val="single" w:sz="2" w:space="0" w:color="000000"/>
              <w:bottom w:val="single" w:sz="2" w:space="0" w:color="000000"/>
              <w:insideH w:val="single" w:sz="2" w:space="0" w:color="000000"/>
            </w:tcBorders>
            <w:shd w:fill="auto" w:val="clear"/>
            <w:tcMar>
              <w:start w:w="42" w:type="dxa"/>
            </w:tcMar>
          </w:tcPr>
          <w:p>
            <w:pPr>
              <w:pStyle w:val="Normal"/>
              <w:ind w:firstLine="135"/>
              <w:jc w:val="both"/>
              <w:rPr/>
            </w:pPr>
            <w:r>
              <w:rPr/>
              <w:t xml:space="preserve">Св. 1000 </w:t>
            </w:r>
          </w:p>
          <w:p>
            <w:pPr>
              <w:pStyle w:val="Normal"/>
              <w:ind w:firstLine="135"/>
              <w:jc w:val="both"/>
              <w:rPr/>
            </w:pPr>
            <w:r>
              <w:rPr/>
            </w:r>
          </w:p>
        </w:tc>
        <w:tc>
          <w:tcPr>
            <w:tcW w:w="1995"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18 </w:t>
            </w:r>
          </w:p>
          <w:p>
            <w:pPr>
              <w:pStyle w:val="Normal"/>
              <w:jc w:val="center"/>
              <w:rPr/>
            </w:pPr>
            <w:r>
              <w:rPr/>
            </w:r>
          </w:p>
        </w:tc>
        <w:tc>
          <w:tcPr>
            <w:tcW w:w="189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24 </w:t>
            </w:r>
          </w:p>
          <w:p>
            <w:pPr>
              <w:pStyle w:val="Normal"/>
              <w:rPr/>
            </w:pPr>
            <w:r>
              <w:rPr/>
            </w:r>
          </w:p>
        </w:tc>
      </w:tr>
    </w:tbl>
    <w:p>
      <w:pPr>
        <w:pStyle w:val="Normal"/>
        <w:jc w:val="both"/>
        <w:rPr/>
      </w:pPr>
      <w:r>
        <w:rPr/>
      </w:r>
    </w:p>
    <w:p>
      <w:pPr>
        <w:pStyle w:val="Normal"/>
        <w:ind w:firstLine="270"/>
        <w:jc w:val="both"/>
        <w:rPr/>
      </w:pPr>
      <w:r>
        <w:rPr/>
        <w:t>Примечания: 1. В зависимости от материала и диаметра труб, особенностей трассы водоводов, условий прокладки труб, наличия дорог, транспортных средств и средств ликвидации аварии указанное время может быть изменено, но должно приниматься не менее 6 ч.</w:t>
      </w:r>
    </w:p>
    <w:p>
      <w:pPr>
        <w:pStyle w:val="Normal"/>
        <w:ind w:firstLine="180"/>
        <w:jc w:val="both"/>
        <w:rPr/>
      </w:pPr>
      <w:r>
        <w:rPr/>
      </w:r>
    </w:p>
    <w:p>
      <w:pPr>
        <w:pStyle w:val="Normal"/>
        <w:ind w:firstLine="315"/>
        <w:jc w:val="both"/>
        <w:rPr/>
      </w:pPr>
      <w:r>
        <w:rPr/>
        <w:t>2. Допускается увеличивать время ликвидации аварии при условии, что длительность перерывов подачи воды и снижения ее подачи не будет превосходить пределов, указанных в п. 4.4.</w:t>
      </w:r>
    </w:p>
    <w:p>
      <w:pPr>
        <w:pStyle w:val="Normal"/>
        <w:ind w:firstLine="225"/>
        <w:jc w:val="both"/>
        <w:rPr/>
      </w:pPr>
      <w:r>
        <w:rPr/>
      </w:r>
    </w:p>
    <w:p>
      <w:pPr>
        <w:pStyle w:val="Normal"/>
        <w:ind w:firstLine="270"/>
        <w:jc w:val="both"/>
        <w:rPr/>
      </w:pPr>
      <w:r>
        <w:rPr/>
        <w:t>3. При необходимости дезинфекции трубопроводов после ликвидации аварии указанное в таблице время следует увеличивать на 12 ч.</w:t>
      </w:r>
    </w:p>
    <w:p>
      <w:pPr>
        <w:pStyle w:val="Normal"/>
        <w:ind w:firstLine="270"/>
        <w:jc w:val="both"/>
        <w:rPr/>
      </w:pPr>
      <w:r>
        <w:rPr/>
      </w:r>
    </w:p>
    <w:p>
      <w:pPr>
        <w:pStyle w:val="Normal"/>
        <w:ind w:firstLine="270"/>
        <w:jc w:val="both"/>
        <w:rPr/>
      </w:pPr>
      <w:r>
        <w:rPr/>
        <w:t>8.5. Водопроводные сети должны быть кольцевыми. Тупиковые линии водопроводов допускается применять:</w:t>
      </w:r>
    </w:p>
    <w:p>
      <w:pPr>
        <w:pStyle w:val="Normal"/>
        <w:ind w:firstLine="270"/>
        <w:jc w:val="both"/>
        <w:rPr/>
      </w:pPr>
      <w:r>
        <w:rPr/>
      </w:r>
    </w:p>
    <w:p>
      <w:pPr>
        <w:pStyle w:val="Normal"/>
        <w:ind w:firstLine="225"/>
        <w:jc w:val="both"/>
        <w:rPr/>
      </w:pPr>
      <w:r>
        <w:rPr/>
        <w:t>для подачи воды на производственные нужды - при допустимости перерыва в водоснабжении на время ликвидации аварии;</w:t>
      </w:r>
    </w:p>
    <w:p>
      <w:pPr>
        <w:pStyle w:val="Normal"/>
        <w:ind w:firstLine="225"/>
        <w:jc w:val="both"/>
        <w:rPr/>
      </w:pPr>
      <w:r>
        <w:rPr/>
      </w:r>
    </w:p>
    <w:p>
      <w:pPr>
        <w:pStyle w:val="Normal"/>
        <w:ind w:firstLine="225"/>
        <w:jc w:val="both"/>
        <w:rPr/>
      </w:pPr>
      <w:r>
        <w:rPr/>
        <w:t>для подачи воды на хозяйственно-питьевые нужды - при диаметре труб не свыше 100 мм;</w:t>
      </w:r>
    </w:p>
    <w:p>
      <w:pPr>
        <w:pStyle w:val="Normal"/>
        <w:ind w:firstLine="225"/>
        <w:jc w:val="both"/>
        <w:rPr/>
      </w:pPr>
      <w:r>
        <w:rPr/>
      </w:r>
    </w:p>
    <w:p>
      <w:pPr>
        <w:pStyle w:val="Normal"/>
        <w:ind w:firstLine="270"/>
        <w:jc w:val="both"/>
        <w:rPr/>
      </w:pPr>
      <w:r>
        <w:rPr/>
        <w:t>для подачи воды на противопожарные или на хозяйственно-противопожарные нужды независимо от расхода воды на пожаротушение - при длине линий не свыше 200 м.</w:t>
      </w:r>
    </w:p>
    <w:p>
      <w:pPr>
        <w:pStyle w:val="Normal"/>
        <w:ind w:firstLine="225"/>
        <w:jc w:val="both"/>
        <w:rPr/>
      </w:pPr>
      <w:r>
        <w:rPr/>
      </w:r>
    </w:p>
    <w:p>
      <w:pPr>
        <w:pStyle w:val="Normal"/>
        <w:ind w:firstLine="270"/>
        <w:jc w:val="both"/>
        <w:rPr/>
      </w:pPr>
      <w:r>
        <w:rPr/>
        <w:t>Кольцевание наружных водопроводных сетей внутренними водопроводными сетями зданий и сооружений не допускается.</w:t>
      </w:r>
    </w:p>
    <w:p>
      <w:pPr>
        <w:pStyle w:val="Normal"/>
        <w:ind w:firstLine="270"/>
        <w:jc w:val="both"/>
        <w:rPr/>
      </w:pPr>
      <w:r>
        <w:rPr/>
      </w:r>
    </w:p>
    <w:p>
      <w:pPr>
        <w:pStyle w:val="Normal"/>
        <w:ind w:firstLine="270"/>
        <w:jc w:val="both"/>
        <w:rPr/>
      </w:pPr>
      <w:r>
        <w:rPr/>
        <w:t>Примечание. В населенных пунктах с числом жителей до 5 тыс. чел. и расходом воды на наружное пожаротушение до 10 л/с или при количестве внутренних пожарных кранов в здании до 12 допускаются тупиковые линии длиной более 200 м при условии устройства противопожарных резервуаров или водоемов, водонапорной башни или контррезервуара в конце тупика.</w:t>
      </w:r>
    </w:p>
    <w:p>
      <w:pPr>
        <w:pStyle w:val="Normal"/>
        <w:ind w:firstLine="270"/>
        <w:jc w:val="both"/>
        <w:rPr/>
      </w:pPr>
      <w:r>
        <w:rPr/>
      </w:r>
    </w:p>
    <w:p>
      <w:pPr>
        <w:pStyle w:val="Normal"/>
        <w:ind w:firstLine="270"/>
        <w:jc w:val="both"/>
        <w:rPr/>
      </w:pPr>
      <w:r>
        <w:rPr/>
        <w:t>8.6. При выключении одного участка (между расчетными узлами) суммарная подача воды на хозяйственно-питьевые нужды по остальным линиям должна быть не менее 70 % расчетного расхода, а подача воды к наиболее неблагоприятно расположенным местам водоотбора - не менее 25 % расчетного расхода воды, при этом свободный напор должен быть не менее 10 м.</w:t>
      </w:r>
    </w:p>
    <w:p>
      <w:pPr>
        <w:pStyle w:val="Normal"/>
        <w:ind w:firstLine="270"/>
        <w:jc w:val="both"/>
        <w:rPr/>
      </w:pPr>
      <w:r>
        <w:rPr/>
      </w:r>
    </w:p>
    <w:p>
      <w:pPr>
        <w:pStyle w:val="Normal"/>
        <w:ind w:firstLine="225"/>
        <w:jc w:val="both"/>
        <w:rPr/>
      </w:pPr>
      <w:r>
        <w:rPr/>
        <w:t>8.7. Устройство сопроводительных линий для присоединения попутных потребителей допускается при диаметре магистральных линий и водоводов 800 мм и более и транзитном расходе не менее 80 % суммарного расхода; для меньших диаметров - при обосновании.</w:t>
      </w:r>
    </w:p>
    <w:p>
      <w:pPr>
        <w:pStyle w:val="Normal"/>
        <w:ind w:firstLine="225"/>
        <w:jc w:val="both"/>
        <w:rPr/>
      </w:pPr>
      <w:r>
        <w:rPr/>
      </w:r>
    </w:p>
    <w:p>
      <w:pPr>
        <w:pStyle w:val="Normal"/>
        <w:ind w:firstLine="270"/>
        <w:jc w:val="both"/>
        <w:rPr/>
      </w:pPr>
      <w:r>
        <w:rPr/>
        <w:t>При ширине проездов более 20 м допускается прокладка дублирующих линий, исключающих пересечение проездов вводами.</w:t>
      </w:r>
    </w:p>
    <w:p>
      <w:pPr>
        <w:pStyle w:val="Normal"/>
        <w:ind w:firstLine="270"/>
        <w:jc w:val="both"/>
        <w:rPr/>
      </w:pPr>
      <w:r>
        <w:rPr/>
      </w:r>
    </w:p>
    <w:p>
      <w:pPr>
        <w:pStyle w:val="Normal"/>
        <w:ind w:firstLine="225"/>
        <w:jc w:val="both"/>
        <w:rPr/>
      </w:pPr>
      <w:r>
        <w:rPr/>
        <w:t>В этих случаях пожарные гидранты следует устанавливать на сопроводительных или дублирующих линиях.</w:t>
      </w:r>
    </w:p>
    <w:p>
      <w:pPr>
        <w:pStyle w:val="Normal"/>
        <w:ind w:firstLine="225"/>
        <w:jc w:val="both"/>
        <w:rPr/>
      </w:pPr>
      <w:r>
        <w:rPr/>
      </w:r>
    </w:p>
    <w:p>
      <w:pPr>
        <w:pStyle w:val="Normal"/>
        <w:ind w:firstLine="270"/>
        <w:jc w:val="both"/>
        <w:rPr/>
      </w:pPr>
      <w:r>
        <w:rPr/>
        <w:t>При ширине улиц в пределах красных линий 60 м и более следует рассматривать также вариант прокладки сетей водопровода по обеим сторонам улиц.</w:t>
      </w:r>
    </w:p>
    <w:p>
      <w:pPr>
        <w:pStyle w:val="Normal"/>
        <w:ind w:firstLine="270"/>
        <w:jc w:val="both"/>
        <w:rPr/>
      </w:pPr>
      <w:r>
        <w:rPr/>
      </w:r>
    </w:p>
    <w:p>
      <w:pPr>
        <w:pStyle w:val="Normal"/>
        <w:ind w:firstLine="225"/>
        <w:jc w:val="both"/>
        <w:rPr/>
      </w:pPr>
      <w:r>
        <w:rPr/>
        <w:t>8.8. Соединение сетей хозяйственно-питьевых водопроводов с сетями водопроводов, подающих воду непитьевого качества, не допускается.</w:t>
      </w:r>
    </w:p>
    <w:p>
      <w:pPr>
        <w:pStyle w:val="Normal"/>
        <w:ind w:firstLine="270"/>
        <w:jc w:val="both"/>
        <w:rPr/>
      </w:pPr>
      <w:r>
        <w:rPr/>
      </w:r>
    </w:p>
    <w:p>
      <w:pPr>
        <w:pStyle w:val="Normal"/>
        <w:ind w:firstLine="270"/>
        <w:jc w:val="both"/>
        <w:rPr/>
      </w:pPr>
      <w:r>
        <w:rPr/>
        <w:t>Примечание. В исключительных случаях, по согласованию с органами санитарно-эпидемиологической службы, допускается использование хозяйственно-питьевого водопровода в качестве резерва для водопровода, подающего воду непитьевого качества. Конструкция перемычки в этих случаях должна обеспечивать воздушный разрыв между сетями и исключать возможность обратного тока воды.</w:t>
      </w:r>
    </w:p>
    <w:p>
      <w:pPr>
        <w:pStyle w:val="Normal"/>
        <w:ind w:firstLine="225"/>
        <w:jc w:val="both"/>
        <w:rPr/>
      </w:pPr>
      <w:r>
        <w:rPr/>
      </w:r>
    </w:p>
    <w:p>
      <w:pPr>
        <w:pStyle w:val="Normal"/>
        <w:ind w:firstLine="270"/>
        <w:jc w:val="both"/>
        <w:rPr/>
      </w:pPr>
      <w:r>
        <w:rPr/>
      </w:r>
    </w:p>
    <w:p>
      <w:pPr>
        <w:pStyle w:val="Normal"/>
        <w:ind w:firstLine="270"/>
        <w:jc w:val="both"/>
        <w:rPr/>
      </w:pPr>
      <w:r>
        <w:rPr/>
        <w:t>8.9. На водоводах и линиях водопроводной сети в необходимых случаях надлежит предусматривать установку:</w:t>
      </w:r>
    </w:p>
    <w:p>
      <w:pPr>
        <w:pStyle w:val="Normal"/>
        <w:ind w:firstLine="270"/>
        <w:jc w:val="both"/>
        <w:rPr/>
      </w:pPr>
      <w:r>
        <w:rPr/>
      </w:r>
    </w:p>
    <w:p>
      <w:pPr>
        <w:pStyle w:val="Normal"/>
        <w:ind w:firstLine="225"/>
        <w:jc w:val="both"/>
        <w:rPr/>
      </w:pPr>
      <w:r>
        <w:rPr/>
        <w:t>поворотных затворов (задвижек) для выделения ремонтных участков;</w:t>
      </w:r>
    </w:p>
    <w:p>
      <w:pPr>
        <w:pStyle w:val="Normal"/>
        <w:ind w:firstLine="225"/>
        <w:jc w:val="both"/>
        <w:rPr/>
      </w:pPr>
      <w:r>
        <w:rPr/>
      </w:r>
    </w:p>
    <w:p>
      <w:pPr>
        <w:pStyle w:val="Normal"/>
        <w:ind w:firstLine="225"/>
        <w:jc w:val="both"/>
        <w:rPr/>
      </w:pPr>
      <w:r>
        <w:rPr/>
        <w:t xml:space="preserve">клапанов для впуска и выпуска воздуха при опорожнении и заполнении трубопроводов; </w:t>
      </w:r>
    </w:p>
    <w:p>
      <w:pPr>
        <w:pStyle w:val="Normal"/>
        <w:ind w:firstLine="225"/>
        <w:jc w:val="both"/>
        <w:rPr/>
      </w:pPr>
      <w:r>
        <w:rPr/>
      </w:r>
    </w:p>
    <w:p>
      <w:pPr>
        <w:pStyle w:val="Normal"/>
        <w:ind w:firstLine="270"/>
        <w:jc w:val="both"/>
        <w:rPr/>
      </w:pPr>
      <w:r>
        <w:rPr/>
        <w:t xml:space="preserve">клапанов для впуска и защемления воздуха; </w:t>
      </w:r>
    </w:p>
    <w:p>
      <w:pPr>
        <w:pStyle w:val="Normal"/>
        <w:ind w:firstLine="270"/>
        <w:jc w:val="both"/>
        <w:rPr/>
      </w:pPr>
      <w:r>
        <w:rPr/>
      </w:r>
    </w:p>
    <w:p>
      <w:pPr>
        <w:pStyle w:val="Normal"/>
        <w:ind w:firstLine="225"/>
        <w:jc w:val="both"/>
        <w:rPr/>
      </w:pPr>
      <w:r>
        <w:rPr/>
        <w:t>вантузов для выпуска воздуха в процессе работы трубопроводов;</w:t>
      </w:r>
    </w:p>
    <w:p>
      <w:pPr>
        <w:pStyle w:val="Normal"/>
        <w:ind w:firstLine="225"/>
        <w:jc w:val="both"/>
        <w:rPr/>
      </w:pPr>
      <w:r>
        <w:rPr/>
      </w:r>
    </w:p>
    <w:p>
      <w:pPr>
        <w:pStyle w:val="Normal"/>
        <w:ind w:firstLine="225"/>
        <w:jc w:val="both"/>
        <w:rPr/>
      </w:pPr>
      <w:r>
        <w:rPr/>
        <w:t xml:space="preserve">выпусков для сброса воды при опорожнении трубопроводов; </w:t>
      </w:r>
    </w:p>
    <w:p>
      <w:pPr>
        <w:pStyle w:val="Normal"/>
        <w:ind w:firstLine="225"/>
        <w:jc w:val="both"/>
        <w:rPr/>
      </w:pPr>
      <w:r>
        <w:rPr/>
      </w:r>
    </w:p>
    <w:p>
      <w:pPr>
        <w:pStyle w:val="Normal"/>
        <w:ind w:firstLine="225"/>
        <w:jc w:val="both"/>
        <w:rPr/>
      </w:pPr>
      <w:r>
        <w:rPr/>
        <w:t xml:space="preserve">компенсаторов; </w:t>
      </w:r>
    </w:p>
    <w:p>
      <w:pPr>
        <w:pStyle w:val="Normal"/>
        <w:ind w:firstLine="225"/>
        <w:jc w:val="both"/>
        <w:rPr/>
      </w:pPr>
      <w:r>
        <w:rPr/>
      </w:r>
    </w:p>
    <w:p>
      <w:pPr>
        <w:pStyle w:val="Normal"/>
        <w:ind w:firstLine="225"/>
        <w:jc w:val="both"/>
        <w:rPr/>
      </w:pPr>
      <w:r>
        <w:rPr/>
        <w:t>монтажных вставок;</w:t>
      </w:r>
    </w:p>
    <w:p>
      <w:pPr>
        <w:pStyle w:val="Normal"/>
        <w:ind w:firstLine="225"/>
        <w:jc w:val="both"/>
        <w:rPr/>
      </w:pPr>
      <w:r>
        <w:rPr/>
      </w:r>
    </w:p>
    <w:p>
      <w:pPr>
        <w:pStyle w:val="Normal"/>
        <w:ind w:firstLine="270"/>
        <w:jc w:val="both"/>
        <w:rPr/>
      </w:pPr>
      <w:r>
        <w:rPr/>
        <w:t>обратных клапанов или других типов клапанов автоматического действия для выключения ремонтных участков;</w:t>
      </w:r>
    </w:p>
    <w:p>
      <w:pPr>
        <w:pStyle w:val="Normal"/>
        <w:ind w:firstLine="225"/>
        <w:jc w:val="both"/>
        <w:rPr/>
      </w:pPr>
      <w:r>
        <w:rPr/>
      </w:r>
    </w:p>
    <w:p>
      <w:pPr>
        <w:pStyle w:val="Normal"/>
        <w:ind w:firstLine="270"/>
        <w:jc w:val="both"/>
        <w:rPr/>
      </w:pPr>
      <w:r>
        <w:rPr/>
        <w:t xml:space="preserve">регуляторов давления; </w:t>
      </w:r>
    </w:p>
    <w:p>
      <w:pPr>
        <w:pStyle w:val="Normal"/>
        <w:ind w:firstLine="225"/>
        <w:jc w:val="both"/>
        <w:rPr/>
      </w:pPr>
      <w:r>
        <w:rPr/>
      </w:r>
    </w:p>
    <w:p>
      <w:pPr>
        <w:pStyle w:val="Normal"/>
        <w:ind w:firstLine="225"/>
        <w:jc w:val="both"/>
        <w:rPr/>
      </w:pPr>
      <w:r>
        <w:rPr/>
        <w:t>аппаратов для предупреждения повышения давления при гидравлических ударах или при неисправности регуляторов давления.</w:t>
      </w:r>
    </w:p>
    <w:p>
      <w:pPr>
        <w:pStyle w:val="Normal"/>
        <w:ind w:firstLine="225"/>
        <w:jc w:val="both"/>
        <w:rPr/>
      </w:pPr>
      <w:r>
        <w:rPr/>
      </w:r>
    </w:p>
    <w:p>
      <w:pPr>
        <w:pStyle w:val="Normal"/>
        <w:ind w:firstLine="270"/>
        <w:jc w:val="both"/>
        <w:rPr/>
      </w:pPr>
      <w:r>
        <w:rPr/>
        <w:t>На трубопроводах диаметром 800 мм и более допускается устройство лазов (для осмотра и чистки труб, ремонта запорно-регулирующей арматуры и др.).</w:t>
      </w:r>
    </w:p>
    <w:p>
      <w:pPr>
        <w:pStyle w:val="Normal"/>
        <w:ind w:firstLine="270"/>
        <w:jc w:val="both"/>
        <w:rPr/>
      </w:pPr>
      <w:r>
        <w:rPr/>
      </w:r>
    </w:p>
    <w:p>
      <w:pPr>
        <w:pStyle w:val="Normal"/>
        <w:ind w:firstLine="270"/>
        <w:jc w:val="both"/>
        <w:rPr/>
      </w:pPr>
      <w:r>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pPr>
        <w:pStyle w:val="Normal"/>
        <w:ind w:firstLine="270"/>
        <w:jc w:val="both"/>
        <w:rPr/>
      </w:pPr>
      <w:r>
        <w:rPr/>
      </w:r>
    </w:p>
    <w:p>
      <w:pPr>
        <w:pStyle w:val="Normal"/>
        <w:ind w:firstLine="270"/>
        <w:jc w:val="both"/>
        <w:rPr/>
      </w:pPr>
      <w:r>
        <w:rPr/>
        <w:t>Примечание. Применение задвижек взамен поворотных затворов допускается в случае необходимости систематической очистки внутренней поверхности трубопроводов специальными агрегатами.</w:t>
      </w:r>
    </w:p>
    <w:p>
      <w:pPr>
        <w:pStyle w:val="Normal"/>
        <w:ind w:firstLine="270"/>
        <w:jc w:val="both"/>
        <w:rPr/>
      </w:pPr>
      <w:r>
        <w:rPr/>
      </w:r>
    </w:p>
    <w:p>
      <w:pPr>
        <w:pStyle w:val="Normal"/>
        <w:ind w:firstLine="270"/>
        <w:jc w:val="both"/>
        <w:rPr/>
      </w:pPr>
      <w:r>
        <w:rPr/>
        <w:t>8.10. Длину ремонтных участков водоводов следует принимать: при прокладке водоводов в две и более линии и при отсутствии переключений -  не более 5 км; при наличии переключений - равной длине участков между переключениями, но не более 5 км; при прокладке водоводов в одну линию - не более 3 км.</w:t>
      </w:r>
    </w:p>
    <w:p>
      <w:pPr>
        <w:pStyle w:val="Normal"/>
        <w:ind w:firstLine="270"/>
        <w:jc w:val="both"/>
        <w:rPr/>
      </w:pPr>
      <w:r>
        <w:rPr/>
      </w:r>
    </w:p>
    <w:p>
      <w:pPr>
        <w:pStyle w:val="Normal"/>
        <w:ind w:firstLine="270"/>
        <w:jc w:val="both"/>
        <w:rPr/>
      </w:pPr>
      <w:r>
        <w:rPr/>
        <w:t>Примечание. Разделение водопроводной сети на ремонтные участки должно обеспечивать при выключении одного из участков отключение не более пяти пожарных гидрантов и подачу воды потребителям, не допускающим перерыва в водоснабжении.</w:t>
      </w:r>
    </w:p>
    <w:p>
      <w:pPr>
        <w:pStyle w:val="Normal"/>
        <w:ind w:firstLine="225"/>
        <w:jc w:val="both"/>
        <w:rPr/>
      </w:pPr>
      <w:r>
        <w:rPr/>
      </w:r>
    </w:p>
    <w:p>
      <w:pPr>
        <w:pStyle w:val="Normal"/>
        <w:ind w:firstLine="270"/>
        <w:jc w:val="both"/>
        <w:rPr/>
      </w:pPr>
      <w:r>
        <w:rPr/>
        <w:t>При обосновании длина ремонтных участков водоводов может быть увеличена.</w:t>
      </w:r>
    </w:p>
    <w:p>
      <w:pPr>
        <w:pStyle w:val="Normal"/>
        <w:ind w:firstLine="270"/>
        <w:jc w:val="both"/>
        <w:rPr/>
      </w:pPr>
      <w:r>
        <w:rPr/>
      </w:r>
    </w:p>
    <w:p>
      <w:pPr>
        <w:pStyle w:val="Normal"/>
        <w:ind w:firstLine="270"/>
        <w:jc w:val="both"/>
        <w:rPr/>
      </w:pPr>
      <w:r>
        <w:rPr/>
        <w:t>8.11. Клапаны автоматического действия для впуска и выпуска воздуха должны предусматриваться в повышенных переломных точках профиля и в верхних граничных точках ремонтных участков водоводов и сети для предотвращения образования в трубопроводе вакуума, величина которого превосходит допустимую для принятого вида труб, а также для удаления воздуха из трубопровода при его заполнении.</w:t>
      </w:r>
    </w:p>
    <w:p>
      <w:pPr>
        <w:pStyle w:val="Normal"/>
        <w:ind w:firstLine="180"/>
        <w:jc w:val="both"/>
        <w:rPr/>
      </w:pPr>
      <w:r>
        <w:rPr/>
      </w:r>
    </w:p>
    <w:p>
      <w:pPr>
        <w:pStyle w:val="Normal"/>
        <w:ind w:firstLine="315"/>
        <w:jc w:val="both"/>
        <w:rPr/>
      </w:pPr>
      <w:r>
        <w:rPr/>
        <w:t>При величине вакуума, не превосходящей допустимую, могут применяться клапаны с ручным приводом.</w:t>
      </w:r>
    </w:p>
    <w:p>
      <w:pPr>
        <w:pStyle w:val="Normal"/>
        <w:ind w:firstLine="225"/>
        <w:jc w:val="both"/>
        <w:rPr/>
      </w:pPr>
      <w:r>
        <w:rPr/>
      </w:r>
    </w:p>
    <w:p>
      <w:pPr>
        <w:pStyle w:val="Normal"/>
        <w:ind w:firstLine="270"/>
        <w:jc w:val="both"/>
        <w:rPr/>
      </w:pPr>
      <w:r>
        <w:rPr/>
        <w:t>Взамен клапанов автоматического действия для впуска и выпуска воздуха допускается предусматривать клапаны автоматического действия для впуска и защемления воздуха с клапанами (затворами, задвижками) с ручным приводом или вантузами - в зависимости от расхода удаляемого воздуха.</w:t>
      </w:r>
    </w:p>
    <w:p>
      <w:pPr>
        <w:pStyle w:val="Normal"/>
        <w:ind w:firstLine="225"/>
        <w:jc w:val="both"/>
        <w:rPr/>
      </w:pPr>
      <w:r>
        <w:rPr/>
      </w:r>
    </w:p>
    <w:p>
      <w:pPr>
        <w:pStyle w:val="Normal"/>
        <w:ind w:firstLine="270"/>
        <w:jc w:val="both"/>
        <w:rPr/>
      </w:pPr>
      <w:r>
        <w:rPr/>
        <w:t>8.12. Вантузы надлежит предусматривать в повышенных переломных точках профиля на воздухосборниках. Диаметр воздухосборника следует принимать равным диаметру трубопровода, высоту - 200-500 мм в зависимости от диаметра трубопровода.</w:t>
      </w:r>
    </w:p>
    <w:p>
      <w:pPr>
        <w:pStyle w:val="Normal"/>
        <w:ind w:firstLine="225"/>
        <w:jc w:val="both"/>
        <w:rPr/>
      </w:pPr>
      <w:r>
        <w:rPr/>
      </w:r>
    </w:p>
    <w:p>
      <w:pPr>
        <w:pStyle w:val="Normal"/>
        <w:ind w:firstLine="270"/>
        <w:jc w:val="both"/>
        <w:rPr/>
      </w:pPr>
      <w:r>
        <w:rPr/>
        <w:t>При обосновании допускается применять воздухосборники других размеров.</w:t>
      </w:r>
    </w:p>
    <w:p>
      <w:pPr>
        <w:pStyle w:val="Normal"/>
        <w:ind w:firstLine="225"/>
        <w:jc w:val="both"/>
        <w:rPr/>
      </w:pPr>
      <w:r>
        <w:rPr/>
      </w:r>
    </w:p>
    <w:p>
      <w:pPr>
        <w:pStyle w:val="Normal"/>
        <w:ind w:firstLine="270"/>
        <w:jc w:val="both"/>
        <w:rPr/>
      </w:pPr>
      <w:r>
        <w:rPr/>
        <w:t>Диаметр запорной арматуры, отключающей вантуз от воздухосборника, следует принимать равным диаметру присоединительного патрубка вантуза.</w:t>
      </w:r>
    </w:p>
    <w:p>
      <w:pPr>
        <w:pStyle w:val="Normal"/>
        <w:ind w:firstLine="225"/>
        <w:jc w:val="both"/>
        <w:rPr/>
      </w:pPr>
      <w:r>
        <w:rPr/>
      </w:r>
    </w:p>
    <w:p>
      <w:pPr>
        <w:pStyle w:val="Normal"/>
        <w:ind w:firstLine="270"/>
        <w:jc w:val="both"/>
        <w:rPr/>
      </w:pPr>
      <w:r>
        <w:rPr/>
        <w:t>Требуемая пропускная способность вантузов должна определяться расчетом или приниматься равной 4 % максимального расчетного расхода воды, подаваемого по трубопроводу, считая по объему воздуха при нормальном атмосферном давлении.</w:t>
      </w:r>
    </w:p>
    <w:p>
      <w:pPr>
        <w:pStyle w:val="Normal"/>
        <w:ind w:firstLine="225"/>
        <w:jc w:val="both"/>
        <w:rPr/>
      </w:pPr>
      <w:r>
        <w:rPr/>
      </w:r>
    </w:p>
    <w:p>
      <w:pPr>
        <w:pStyle w:val="Normal"/>
        <w:ind w:firstLine="270"/>
        <w:jc w:val="both"/>
        <w:rPr/>
      </w:pPr>
      <w:r>
        <w:rPr/>
        <w:t>Если на водоводе имеется несколько повышенных переломных точек профиля, то во второй и последующих точках (считая по ходу движения воды) требуемую пропускную способность вантузов допускается принимать равной 1% максимального расчетного расхода воды при условии расположения данной переломной точки ниже первой или выше ее не более чем на 20 м и на расстоянии от предшествующей не более 1 км.</w:t>
      </w:r>
    </w:p>
    <w:p>
      <w:pPr>
        <w:pStyle w:val="Normal"/>
        <w:ind w:firstLine="270"/>
        <w:jc w:val="both"/>
        <w:rPr/>
      </w:pPr>
      <w:r>
        <w:rPr/>
      </w:r>
    </w:p>
    <w:p>
      <w:pPr>
        <w:pStyle w:val="Normal"/>
        <w:ind w:firstLine="270"/>
        <w:jc w:val="both"/>
        <w:rPr/>
      </w:pPr>
      <w:r>
        <w:rPr/>
        <w:t>Примечание. При уклоне нисходящего участка трубопровода (после переломной точки профиля) 0,005 и менее вантузы не предусматриваются; при уклоне в пределах 0,005-0,01 в переломной точке профиля взамен вантуза допускается предусматривать на воздухосборнике кран (вентиль).</w:t>
      </w:r>
    </w:p>
    <w:p>
      <w:pPr>
        <w:pStyle w:val="Normal"/>
        <w:ind w:firstLine="270"/>
        <w:jc w:val="both"/>
        <w:rPr/>
      </w:pPr>
      <w:r>
        <w:rPr/>
      </w:r>
    </w:p>
    <w:p>
      <w:pPr>
        <w:pStyle w:val="Normal"/>
        <w:ind w:firstLine="270"/>
        <w:jc w:val="both"/>
        <w:rPr/>
      </w:pPr>
      <w:r>
        <w:rPr/>
        <w:t>8.13. Водоводы и водопроводные сети надлежит проектировать с уклоном не менее 0,001 по направлению к выпуску; при плоском рельефе местности уклон допускается уменьшать до 0,0005.</w:t>
      </w:r>
    </w:p>
    <w:p>
      <w:pPr>
        <w:pStyle w:val="Normal"/>
        <w:ind w:firstLine="270"/>
        <w:jc w:val="both"/>
        <w:rPr/>
      </w:pPr>
      <w:r>
        <w:rPr/>
      </w:r>
    </w:p>
    <w:p>
      <w:pPr>
        <w:pStyle w:val="Normal"/>
        <w:ind w:firstLine="225"/>
        <w:jc w:val="both"/>
        <w:rPr/>
      </w:pPr>
      <w:r>
        <w:rPr/>
        <w:t>8.14. Выпуски следует предусматривать в пониженных точках каждого ремонтного участка, а также в местах выпуска воды от промывки трубопроводов.</w:t>
      </w:r>
    </w:p>
    <w:p>
      <w:pPr>
        <w:pStyle w:val="Normal"/>
        <w:ind w:firstLine="225"/>
        <w:jc w:val="both"/>
        <w:rPr/>
      </w:pPr>
      <w:r>
        <w:rPr/>
      </w:r>
    </w:p>
    <w:p>
      <w:pPr>
        <w:pStyle w:val="Normal"/>
        <w:ind w:firstLine="225"/>
        <w:jc w:val="both"/>
        <w:rPr/>
      </w:pPr>
      <w:r>
        <w:rPr/>
        <w:t>Диаметры выпусков и устройств для впуска воздуха должны обеспечивать опорожнение участков водоводов или сети не более чем за 2 ч.</w:t>
      </w:r>
    </w:p>
    <w:p>
      <w:pPr>
        <w:pStyle w:val="Normal"/>
        <w:ind w:firstLine="225"/>
        <w:jc w:val="both"/>
        <w:rPr/>
      </w:pPr>
      <w:r>
        <w:rPr/>
      </w:r>
    </w:p>
    <w:p>
      <w:pPr>
        <w:pStyle w:val="Normal"/>
        <w:ind w:firstLine="225"/>
        <w:jc w:val="both"/>
        <w:rPr/>
      </w:pPr>
      <w:r>
        <w:rPr/>
        <w:t>Конструкция выпусков для промывки трубопроводов должна обеспечивать возможность создания в трубопроводе скорости движения воды не менее 1,1 максимальной расчетной.</w:t>
      </w:r>
    </w:p>
    <w:p>
      <w:pPr>
        <w:pStyle w:val="Normal"/>
        <w:ind w:firstLine="225"/>
        <w:jc w:val="both"/>
        <w:rPr/>
      </w:pPr>
      <w:r>
        <w:rPr/>
      </w:r>
    </w:p>
    <w:p>
      <w:pPr>
        <w:pStyle w:val="Normal"/>
        <w:ind w:firstLine="270"/>
        <w:jc w:val="both"/>
        <w:rPr/>
      </w:pPr>
      <w:r>
        <w:rPr/>
        <w:t>В качестве запорной арматуры на выпусках надлежит использовать поворотные затворы.</w:t>
      </w:r>
    </w:p>
    <w:p>
      <w:pPr>
        <w:pStyle w:val="Normal"/>
        <w:ind w:firstLine="270"/>
        <w:jc w:val="both"/>
        <w:rPr/>
      </w:pPr>
      <w:r>
        <w:rPr/>
      </w:r>
    </w:p>
    <w:p>
      <w:pPr>
        <w:pStyle w:val="Normal"/>
        <w:ind w:firstLine="270"/>
        <w:jc w:val="both"/>
        <w:rPr/>
      </w:pPr>
      <w:r>
        <w:rPr/>
        <w:t>Примечание. При гидропневматической промывке минимальная скорость движения смеси (в местах наибольших давлений) должна быть не менее 1,2 максимальной скорости движения воды, расход воды - 10 - 25% объемного расхода смеси.</w:t>
      </w:r>
    </w:p>
    <w:p>
      <w:pPr>
        <w:pStyle w:val="Normal"/>
        <w:ind w:firstLine="270"/>
        <w:jc w:val="both"/>
        <w:rPr/>
      </w:pPr>
      <w:r>
        <w:rPr/>
      </w:r>
    </w:p>
    <w:p>
      <w:pPr>
        <w:pStyle w:val="Normal"/>
        <w:ind w:firstLine="270"/>
        <w:jc w:val="both"/>
        <w:rPr/>
      </w:pPr>
      <w:r>
        <w:rPr/>
        <w:t>8.15. Отвод воды от выпусков следует предусматривать в ближайший водосток, канаву, овраг и т.п. При невозможности отвода всей выпускаемой воды или части ее самотеком допускается сбрасывать воду в колодец с последующей откачкой.</w:t>
      </w:r>
    </w:p>
    <w:p>
      <w:pPr>
        <w:pStyle w:val="Normal"/>
        <w:ind w:firstLine="270"/>
        <w:jc w:val="both"/>
        <w:rPr/>
      </w:pPr>
      <w:r>
        <w:rPr/>
      </w:r>
    </w:p>
    <w:p>
      <w:pPr>
        <w:pStyle w:val="Normal"/>
        <w:ind w:firstLine="315"/>
        <w:jc w:val="both"/>
        <w:rPr/>
      </w:pPr>
      <w:r>
        <w:rPr/>
        <w:t>8.16. 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При этом установка гидрантов на ответвлении от линии водопровода не допускается.</w:t>
      </w:r>
    </w:p>
    <w:p>
      <w:pPr>
        <w:pStyle w:val="Normal"/>
        <w:ind w:firstLine="180"/>
        <w:jc w:val="both"/>
        <w:rPr/>
      </w:pPr>
      <w:r>
        <w:rPr/>
      </w:r>
    </w:p>
    <w:p>
      <w:pPr>
        <w:pStyle w:val="Normal"/>
        <w:ind w:firstLine="315"/>
        <w:jc w:val="both"/>
        <w:rPr/>
      </w:pPr>
      <w:r>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 9.30 по дорогам с твердым покрытием.</w:t>
      </w:r>
    </w:p>
    <w:p>
      <w:pPr>
        <w:pStyle w:val="Normal"/>
        <w:ind w:firstLine="225"/>
        <w:jc w:val="both"/>
        <w:rPr/>
      </w:pPr>
      <w:r>
        <w:rPr/>
      </w:r>
    </w:p>
    <w:p>
      <w:pPr>
        <w:pStyle w:val="Normal"/>
        <w:ind w:firstLine="270"/>
        <w:jc w:val="both"/>
        <w:rPr/>
      </w:pPr>
      <w:r>
        <w:rPr/>
        <w:t>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по ГОСТ 8220-85* Е.</w:t>
      </w:r>
    </w:p>
    <w:p>
      <w:pPr>
        <w:pStyle w:val="Normal"/>
        <w:ind w:firstLine="225"/>
        <w:jc w:val="both"/>
        <w:rPr/>
      </w:pPr>
      <w:r>
        <w:rPr/>
      </w:r>
    </w:p>
    <w:p>
      <w:pPr>
        <w:pStyle w:val="Normal"/>
        <w:ind w:firstLine="270"/>
        <w:jc w:val="both"/>
        <w:rPr/>
      </w:pPr>
      <w:r>
        <w:rPr/>
        <w:t xml:space="preserve">Потери напора h, м, на 1 м длины рукавных линий следует определять по формуле     </w:t>
      </w:r>
    </w:p>
    <w:p>
      <w:pPr>
        <w:pStyle w:val="Normal"/>
        <w:ind w:firstLine="225"/>
        <w:jc w:val="both"/>
        <w:rPr/>
      </w:pPr>
      <w:r>
        <w:rPr/>
      </w:r>
    </w:p>
    <w:p>
      <w:pPr>
        <w:pStyle w:val="Normal"/>
        <w:ind w:firstLine="270"/>
        <w:jc w:val="both"/>
        <w:rPr/>
      </w:pPr>
      <w:r>
        <w:rPr/>
        <w:drawing>
          <wp:inline distT="0" distB="0" distL="0" distR="0">
            <wp:extent cx="2534285" cy="195580"/>
            <wp:effectExtent l="0" t="0" r="0" b="0"/>
            <wp:docPr id="144" name="Изображение1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Изображение144" descr="" title=""/>
                    <pic:cNvPicPr>
                      <a:picLocks noChangeAspect="1" noChangeArrowheads="1"/>
                    </pic:cNvPicPr>
                  </pic:nvPicPr>
                  <pic:blipFill>
                    <a:blip r:embed="rId145"/>
                    <a:stretch>
                      <a:fillRect/>
                    </a:stretch>
                  </pic:blipFill>
                  <pic:spPr bwMode="auto">
                    <a:xfrm>
                      <a:off x="0" y="0"/>
                      <a:ext cx="2534285" cy="195580"/>
                    </a:xfrm>
                    <a:prstGeom prst="rect">
                      <a:avLst/>
                    </a:prstGeom>
                  </pic:spPr>
                </pic:pic>
              </a:graphicData>
            </a:graphic>
          </wp:inline>
        </w:drawing>
      </w:r>
    </w:p>
    <w:p>
      <w:pPr>
        <w:pStyle w:val="Normal"/>
        <w:ind w:firstLine="1035"/>
        <w:jc w:val="both"/>
        <w:rPr/>
      </w:pPr>
      <w:r>
        <w:rPr/>
      </w:r>
    </w:p>
    <w:tbl>
      <w:tblPr>
        <w:tblW w:w="5415" w:type="dxa"/>
        <w:jc w:val="start"/>
        <w:tblInd w:w="165" w:type="dxa"/>
        <w:tblBorders/>
        <w:tblCellMar>
          <w:top w:w="0" w:type="dxa"/>
          <w:start w:w="15" w:type="dxa"/>
          <w:bottom w:w="0" w:type="dxa"/>
          <w:end w:w="15" w:type="dxa"/>
        </w:tblCellMar>
      </w:tblPr>
      <w:tblGrid>
        <w:gridCol w:w="450"/>
        <w:gridCol w:w="390"/>
        <w:gridCol w:w="4575"/>
      </w:tblGrid>
      <w:tr>
        <w:trPr/>
        <w:tc>
          <w:tcPr>
            <w:tcW w:w="450" w:type="dxa"/>
            <w:tcBorders/>
            <w:shd w:fill="auto" w:val="clear"/>
          </w:tcPr>
          <w:p>
            <w:pPr>
              <w:pStyle w:val="Normal"/>
              <w:rPr/>
            </w:pPr>
            <w:r>
              <w:rPr>
                <w:vanish/>
              </w:rPr>
              <w:t>#G0</w:t>
            </w:r>
            <w:r>
              <w:rPr/>
              <w:t xml:space="preserve">       где </w:t>
            </w:r>
          </w:p>
          <w:p>
            <w:pPr>
              <w:pStyle w:val="Normal"/>
              <w:rPr/>
            </w:pPr>
            <w:r>
              <w:rPr/>
            </w:r>
          </w:p>
        </w:tc>
        <w:tc>
          <w:tcPr>
            <w:tcW w:w="390" w:type="dxa"/>
            <w:tcBorders/>
            <w:shd w:fill="auto" w:val="clear"/>
          </w:tcPr>
          <w:p>
            <w:pPr>
              <w:pStyle w:val="Normal"/>
              <w:rPr/>
            </w:pPr>
            <w:r>
              <w:rPr/>
              <w:t xml:space="preserve">  </w:t>
            </w:r>
          </w:p>
          <w:p>
            <w:pPr>
              <w:pStyle w:val="Normal"/>
              <w:rPr/>
            </w:pPr>
            <w:r>
              <w:rPr/>
              <w:drawing>
                <wp:inline distT="0" distB="0" distL="0" distR="0">
                  <wp:extent cx="161290" cy="184150"/>
                  <wp:effectExtent l="0" t="0" r="0" b="0"/>
                  <wp:docPr id="145" name="Изображение1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145" descr="" title=""/>
                          <pic:cNvPicPr>
                            <a:picLocks noChangeAspect="1" noChangeArrowheads="1"/>
                          </pic:cNvPicPr>
                        </pic:nvPicPr>
                        <pic:blipFill>
                          <a:blip r:embed="rId146"/>
                          <a:stretch>
                            <a:fillRect/>
                          </a:stretch>
                        </pic:blipFill>
                        <pic:spPr bwMode="auto">
                          <a:xfrm>
                            <a:off x="0" y="0"/>
                            <a:ext cx="161290" cy="184150"/>
                          </a:xfrm>
                          <a:prstGeom prst="rect">
                            <a:avLst/>
                          </a:prstGeom>
                        </pic:spPr>
                      </pic:pic>
                    </a:graphicData>
                  </a:graphic>
                </wp:inline>
              </w:drawing>
            </w:r>
          </w:p>
        </w:tc>
        <w:tc>
          <w:tcPr>
            <w:tcW w:w="4575" w:type="dxa"/>
            <w:tcBorders/>
            <w:shd w:fill="auto" w:val="clear"/>
          </w:tcPr>
          <w:p>
            <w:pPr>
              <w:pStyle w:val="Normal"/>
              <w:snapToGrid w:val="false"/>
              <w:rPr/>
            </w:pPr>
            <w:r>
              <w:rPr/>
            </w:r>
          </w:p>
          <w:p>
            <w:pPr>
              <w:pStyle w:val="Normal"/>
              <w:rPr/>
            </w:pPr>
            <w:r>
              <w:rPr/>
              <w:t xml:space="preserve"> </w:t>
            </w:r>
            <w:r>
              <w:rPr/>
              <w:t xml:space="preserve">-  производительность пожарной струи, л/с.      </w:t>
            </w:r>
          </w:p>
          <w:p>
            <w:pPr>
              <w:pStyle w:val="Normal"/>
              <w:rPr/>
            </w:pPr>
            <w:r>
              <w:rPr/>
            </w:r>
          </w:p>
        </w:tc>
      </w:tr>
    </w:tbl>
    <w:p>
      <w:pPr>
        <w:pStyle w:val="Normal"/>
        <w:ind w:firstLine="900"/>
        <w:jc w:val="both"/>
        <w:rPr/>
      </w:pPr>
      <w:r>
        <w:rPr/>
        <w:tab/>
        <w:tab/>
        <w:t xml:space="preserve">     </w:t>
      </w:r>
    </w:p>
    <w:p>
      <w:pPr>
        <w:pStyle w:val="Normal"/>
        <w:ind w:firstLine="900"/>
        <w:jc w:val="both"/>
        <w:rPr/>
      </w:pPr>
      <w:r>
        <w:rPr/>
      </w:r>
    </w:p>
    <w:p>
      <w:pPr>
        <w:pStyle w:val="Normal"/>
        <w:ind w:firstLine="270"/>
        <w:jc w:val="both"/>
        <w:rPr/>
      </w:pPr>
      <w:r>
        <w:rPr/>
        <w:t>Примечание. На сети водопровода населенных пунктов с числом жителей до 500 чел. вместо гидрантов допускается устанавливать стояки диаметром 80 мм с пожарными кранами.</w:t>
      </w:r>
    </w:p>
    <w:p>
      <w:pPr>
        <w:pStyle w:val="Normal"/>
        <w:ind w:firstLine="225"/>
        <w:jc w:val="both"/>
        <w:rPr/>
      </w:pPr>
      <w:r>
        <w:rPr/>
      </w:r>
    </w:p>
    <w:p>
      <w:pPr>
        <w:pStyle w:val="Normal"/>
        <w:ind w:firstLine="270"/>
        <w:jc w:val="both"/>
        <w:rPr/>
      </w:pPr>
      <w:r>
        <w:rPr/>
      </w:r>
    </w:p>
    <w:p>
      <w:pPr>
        <w:pStyle w:val="Normal"/>
        <w:ind w:firstLine="225"/>
        <w:jc w:val="both"/>
        <w:rPr/>
      </w:pPr>
      <w:r>
        <w:rPr/>
        <w:t>8.17. Компенсаторы надлежит предусматривать:</w:t>
      </w:r>
    </w:p>
    <w:p>
      <w:pPr>
        <w:pStyle w:val="Normal"/>
        <w:ind w:firstLine="225"/>
        <w:jc w:val="both"/>
        <w:rPr/>
      </w:pPr>
      <w:r>
        <w:rPr/>
      </w:r>
    </w:p>
    <w:p>
      <w:pPr>
        <w:pStyle w:val="Normal"/>
        <w:ind w:firstLine="270"/>
        <w:jc w:val="both"/>
        <w:rPr/>
      </w:pPr>
      <w:r>
        <w:rPr/>
        <w:t>на трубопроводах, стыковые соединения которых не компенсируют осевые перемещения, вызываемые изменением температуры воды, воздуха, грунта;</w:t>
      </w:r>
    </w:p>
    <w:p>
      <w:pPr>
        <w:pStyle w:val="Normal"/>
        <w:ind w:firstLine="225"/>
        <w:jc w:val="both"/>
        <w:rPr/>
      </w:pPr>
      <w:r>
        <w:rPr/>
      </w:r>
    </w:p>
    <w:p>
      <w:pPr>
        <w:pStyle w:val="Normal"/>
        <w:ind w:firstLine="270"/>
        <w:jc w:val="both"/>
        <w:rPr/>
      </w:pPr>
      <w:r>
        <w:rPr/>
        <w:t>на стальных трубопроводах, прокладываемых в тоннелях, каналах или на эстакадах (опорах);</w:t>
      </w:r>
    </w:p>
    <w:p>
      <w:pPr>
        <w:pStyle w:val="Normal"/>
        <w:ind w:firstLine="225"/>
        <w:jc w:val="both"/>
        <w:rPr/>
      </w:pPr>
      <w:r>
        <w:rPr/>
      </w:r>
    </w:p>
    <w:p>
      <w:pPr>
        <w:pStyle w:val="Normal"/>
        <w:ind w:firstLine="270"/>
        <w:jc w:val="both"/>
        <w:rPr/>
      </w:pPr>
      <w:r>
        <w:rPr/>
        <w:t>на трубопроводах в условиях возможной просадки грунта.</w:t>
      </w:r>
    </w:p>
    <w:p>
      <w:pPr>
        <w:pStyle w:val="Normal"/>
        <w:ind w:firstLine="225"/>
        <w:jc w:val="both"/>
        <w:rPr/>
      </w:pPr>
      <w:r>
        <w:rPr/>
      </w:r>
    </w:p>
    <w:p>
      <w:pPr>
        <w:pStyle w:val="Normal"/>
        <w:ind w:firstLine="270"/>
        <w:jc w:val="both"/>
        <w:rPr/>
      </w:pPr>
      <w:r>
        <w:rPr/>
        <w:t>Расстояния между компенсаторами и неподвижными опорами следует определять расчетом, учитывающим их конструкцию. При подземной прокладке водоводов, магистралей и линии сети из стальных труб со сварными стыками компенсаторы следует предусматривать в местах установки чугунной фланцевой арматуры. В тех случаях, когда чугунная фланцевая арматура защищена от воздействия осевых растягивающих усилий путем жесткой заделки стальных труб в стенки колодца, устройством специальных упоров или обжатием труб уплотненным грунтом, компенсаторы допускается не предусматривать.</w:t>
      </w:r>
    </w:p>
    <w:p>
      <w:pPr>
        <w:pStyle w:val="Normal"/>
        <w:ind w:firstLine="270"/>
        <w:jc w:val="both"/>
        <w:rPr/>
      </w:pPr>
      <w:r>
        <w:rPr/>
      </w:r>
    </w:p>
    <w:p>
      <w:pPr>
        <w:pStyle w:val="Normal"/>
        <w:ind w:firstLine="225"/>
        <w:jc w:val="both"/>
        <w:rPr/>
      </w:pPr>
      <w:r>
        <w:rPr/>
        <w:t>При обжатии труб грунтом перед фланцевой чугунной арматурой следует применять подвижные стыковые соединения (удлиненный раструб, муфту и др.). Компенсаторы и подвижные стыковые соединения при подземной прокладке трубопроводов надлежит располагать в колодцах.</w:t>
      </w:r>
    </w:p>
    <w:p>
      <w:pPr>
        <w:pStyle w:val="Normal"/>
        <w:ind w:firstLine="225"/>
        <w:jc w:val="both"/>
        <w:rPr/>
      </w:pPr>
      <w:r>
        <w:rPr/>
      </w:r>
    </w:p>
    <w:p>
      <w:pPr>
        <w:pStyle w:val="Normal"/>
        <w:ind w:firstLine="270"/>
        <w:jc w:val="both"/>
        <w:rPr/>
      </w:pPr>
      <w:r>
        <w:rPr/>
        <w:t>8.18. Монтажные вставки надлежит принимать для демонтажа, профилактического осмотра и ремонта фланцевой запорной, предохранительной и регулирующей арматуры.</w:t>
      </w:r>
    </w:p>
    <w:p>
      <w:pPr>
        <w:pStyle w:val="Normal"/>
        <w:ind w:firstLine="270"/>
        <w:jc w:val="both"/>
        <w:rPr/>
      </w:pPr>
      <w:r>
        <w:rPr/>
      </w:r>
    </w:p>
    <w:p>
      <w:pPr>
        <w:pStyle w:val="Normal"/>
        <w:ind w:firstLine="225"/>
        <w:jc w:val="both"/>
        <w:rPr/>
      </w:pPr>
      <w:r>
        <w:rPr/>
        <w:t>8.19. Запорная арматура на водоводах и линиях водопроводной сети должна быть с ручным или механическим приводом (от передвижных средств).</w:t>
      </w:r>
    </w:p>
    <w:p>
      <w:pPr>
        <w:pStyle w:val="Normal"/>
        <w:ind w:firstLine="225"/>
        <w:jc w:val="both"/>
        <w:rPr/>
      </w:pPr>
      <w:r>
        <w:rPr/>
      </w:r>
    </w:p>
    <w:p>
      <w:pPr>
        <w:pStyle w:val="Normal"/>
        <w:ind w:firstLine="225"/>
        <w:jc w:val="both"/>
        <w:rPr/>
      </w:pPr>
      <w:r>
        <w:rPr/>
        <w:t>Применение на водоводах запорной арматуры с электрическим или гидравлическим приводом допускается при дистанционном или автоматическом управлении.</w:t>
      </w:r>
    </w:p>
    <w:p>
      <w:pPr>
        <w:pStyle w:val="Normal"/>
        <w:ind w:firstLine="225"/>
        <w:jc w:val="both"/>
        <w:rPr/>
      </w:pPr>
      <w:r>
        <w:rPr/>
      </w:r>
    </w:p>
    <w:p>
      <w:pPr>
        <w:pStyle w:val="Normal"/>
        <w:ind w:firstLine="225"/>
        <w:jc w:val="both"/>
        <w:rPr/>
      </w:pPr>
      <w:r>
        <w:rPr/>
        <w:t>8.20. Радиус действия водозаборной колонки следует принимать не более 100 м. Вокруг водозаборной колонки надлежит предусматривать отмостку шириной 1 м с уклоном 0,1 от колонки.</w:t>
      </w:r>
    </w:p>
    <w:p>
      <w:pPr>
        <w:pStyle w:val="Normal"/>
        <w:ind w:firstLine="270"/>
        <w:jc w:val="both"/>
        <w:rPr/>
      </w:pPr>
      <w:r>
        <w:rPr/>
      </w:r>
    </w:p>
    <w:p>
      <w:pPr>
        <w:pStyle w:val="Normal"/>
        <w:ind w:firstLine="225"/>
        <w:jc w:val="both"/>
        <w:rPr/>
      </w:pPr>
      <w:r>
        <w:rPr/>
        <w:t>8.21. Выбор материала и класса прочности труб для водоводов и водопроводных сетей надлежит принимать на основании статического расчета, агрессивности грунта и транспортируемой воды, а также условий работы трубопроводов и требований к качеству воды.</w:t>
      </w:r>
    </w:p>
    <w:p>
      <w:pPr>
        <w:pStyle w:val="Normal"/>
        <w:ind w:firstLine="225"/>
        <w:jc w:val="both"/>
        <w:rPr/>
      </w:pPr>
      <w:r>
        <w:rPr/>
      </w:r>
    </w:p>
    <w:p>
      <w:pPr>
        <w:pStyle w:val="Normal"/>
        <w:ind w:firstLine="225"/>
        <w:jc w:val="both"/>
        <w:rPr/>
      </w:pPr>
      <w:r>
        <w:rPr/>
        <w:t>Для напорных водоводов и сетей, как правило, следует применять неметаллические трубы (железобетонные напорные, асбестоцементные напорные, пластмассовые и др.). Отказ от применения неметаллических труб должен быть обоснован.</w:t>
      </w:r>
    </w:p>
    <w:p>
      <w:pPr>
        <w:pStyle w:val="Normal"/>
        <w:ind w:firstLine="225"/>
        <w:jc w:val="both"/>
        <w:rPr/>
      </w:pPr>
      <w:r>
        <w:rPr/>
      </w:r>
    </w:p>
    <w:p>
      <w:pPr>
        <w:pStyle w:val="Normal"/>
        <w:ind w:firstLine="270"/>
        <w:jc w:val="both"/>
        <w:rPr/>
      </w:pPr>
      <w:r>
        <w:rPr/>
        <w:t xml:space="preserve">Применение чугунных напорных труб допускается для сетей в пределах населенных пунктов, территорий промышленных, сельскохозяйственных предприятий. </w:t>
      </w:r>
    </w:p>
    <w:p>
      <w:pPr>
        <w:pStyle w:val="Normal"/>
        <w:ind w:firstLine="225"/>
        <w:jc w:val="both"/>
        <w:rPr/>
      </w:pPr>
      <w:r>
        <w:rPr/>
      </w:r>
    </w:p>
    <w:p>
      <w:pPr>
        <w:pStyle w:val="Normal"/>
        <w:ind w:firstLine="270"/>
        <w:jc w:val="both"/>
        <w:rPr/>
      </w:pPr>
      <w:r>
        <w:rPr/>
        <w:t xml:space="preserve">Применение стальных труб допускается: </w:t>
      </w:r>
    </w:p>
    <w:p>
      <w:pPr>
        <w:pStyle w:val="Normal"/>
        <w:ind w:firstLine="225"/>
        <w:jc w:val="both"/>
        <w:rPr/>
      </w:pPr>
      <w:r>
        <w:rPr/>
      </w:r>
    </w:p>
    <w:p>
      <w:pPr>
        <w:pStyle w:val="Normal"/>
        <w:ind w:firstLine="270"/>
        <w:jc w:val="both"/>
        <w:rPr/>
      </w:pPr>
      <w:r>
        <w:rPr/>
        <w:t>на участках с расчетным внутренним давлением более 1,5 МПа (15 кгс/кв.см);</w:t>
      </w:r>
    </w:p>
    <w:p>
      <w:pPr>
        <w:pStyle w:val="Normal"/>
        <w:ind w:firstLine="270"/>
        <w:jc w:val="both"/>
        <w:rPr/>
      </w:pPr>
      <w:r>
        <w:rPr/>
      </w:r>
    </w:p>
    <w:p>
      <w:pPr>
        <w:pStyle w:val="Normal"/>
        <w:ind w:firstLine="225"/>
        <w:jc w:val="both"/>
        <w:rPr/>
      </w:pPr>
      <w:r>
        <w:rPr/>
        <w:t>для переходов под железными и автомобильными дорогами, через водные преграды и овраги;</w:t>
      </w:r>
    </w:p>
    <w:p>
      <w:pPr>
        <w:pStyle w:val="Normal"/>
        <w:ind w:firstLine="225"/>
        <w:jc w:val="both"/>
        <w:rPr/>
      </w:pPr>
      <w:r>
        <w:rPr/>
      </w:r>
    </w:p>
    <w:p>
      <w:pPr>
        <w:pStyle w:val="Normal"/>
        <w:ind w:firstLine="225"/>
        <w:jc w:val="both"/>
        <w:rPr/>
      </w:pPr>
      <w:r>
        <w:rPr/>
        <w:t>в местах пересечения хозяйственно-питьевого водопровода с сетями канализации;</w:t>
      </w:r>
    </w:p>
    <w:p>
      <w:pPr>
        <w:pStyle w:val="Normal"/>
        <w:ind w:firstLine="225"/>
        <w:jc w:val="both"/>
        <w:rPr/>
      </w:pPr>
      <w:r>
        <w:rPr/>
      </w:r>
    </w:p>
    <w:p>
      <w:pPr>
        <w:pStyle w:val="Normal"/>
        <w:ind w:firstLine="225"/>
        <w:jc w:val="both"/>
        <w:rPr/>
      </w:pPr>
      <w:r>
        <w:rPr/>
        <w:t>при прокладке трубопроводов по автодорожным и городским мостам, по опорам эстакад и в туннелях.</w:t>
      </w:r>
    </w:p>
    <w:p>
      <w:pPr>
        <w:pStyle w:val="Normal"/>
        <w:ind w:firstLine="225"/>
        <w:jc w:val="both"/>
        <w:rPr/>
      </w:pPr>
      <w:r>
        <w:rPr/>
      </w:r>
    </w:p>
    <w:p>
      <w:pPr>
        <w:pStyle w:val="Normal"/>
        <w:ind w:firstLine="270"/>
        <w:jc w:val="both"/>
        <w:rPr/>
      </w:pPr>
      <w:r>
        <w:rPr/>
        <w:t>Стальные трубы должны приниматься экономичных сортаментов со стенкой, толщина которой должна определяться расчетом (но не менее 2 мм) с учетом условий работы трубопроводов.</w:t>
      </w:r>
    </w:p>
    <w:p>
      <w:pPr>
        <w:pStyle w:val="Normal"/>
        <w:ind w:firstLine="225"/>
        <w:jc w:val="both"/>
        <w:rPr/>
      </w:pPr>
      <w:r>
        <w:rPr/>
      </w:r>
    </w:p>
    <w:p>
      <w:pPr>
        <w:pStyle w:val="Normal"/>
        <w:ind w:firstLine="270"/>
        <w:jc w:val="both"/>
        <w:rPr/>
      </w:pPr>
      <w:r>
        <w:rPr/>
        <w:t>Для железобетонных и асбестоцементных трубопроводов допускается применение металлических фасонных частей.</w:t>
      </w:r>
    </w:p>
    <w:p>
      <w:pPr>
        <w:pStyle w:val="Normal"/>
        <w:ind w:firstLine="270"/>
        <w:jc w:val="both"/>
        <w:rPr/>
      </w:pPr>
      <w:r>
        <w:rPr/>
      </w:r>
    </w:p>
    <w:p>
      <w:pPr>
        <w:pStyle w:val="Normal"/>
        <w:ind w:firstLine="225"/>
        <w:jc w:val="both"/>
        <w:rPr/>
      </w:pPr>
      <w:r>
        <w:rPr/>
        <w:t>Материал труб в системах хозяйственно-питьевого водоснабжения должен отвечать требованиям п. 1.3.</w:t>
      </w:r>
    </w:p>
    <w:p>
      <w:pPr>
        <w:pStyle w:val="Normal"/>
        <w:ind w:firstLine="225"/>
        <w:jc w:val="both"/>
        <w:rPr/>
      </w:pPr>
      <w:r>
        <w:rPr/>
      </w:r>
    </w:p>
    <w:p>
      <w:pPr>
        <w:pStyle w:val="Normal"/>
        <w:ind w:firstLine="270"/>
        <w:jc w:val="both"/>
        <w:rPr/>
      </w:pPr>
      <w:r>
        <w:rPr/>
        <w:t>8.22. Величину расчетного внутреннего давления надлежит принимать равной наибольшему возможному по условиям эксплуатации давлению в трубопроводе на различных участках по длине (при наиболее невыгодном режиме работы) без учета повышения давления при гидравлическом ударе или с повышением давления при гидравлическом ударе с учетом действия противоударной арматуры, если это давление в сочетании с другими нагрузками (п. 8.26) окажет на трубопровод большее воздействие.</w:t>
      </w:r>
    </w:p>
    <w:p>
      <w:pPr>
        <w:pStyle w:val="Normal"/>
        <w:ind w:firstLine="225"/>
        <w:jc w:val="both"/>
        <w:rPr/>
      </w:pPr>
      <w:r>
        <w:rPr/>
      </w:r>
    </w:p>
    <w:p>
      <w:pPr>
        <w:pStyle w:val="Normal"/>
        <w:ind w:firstLine="270"/>
        <w:jc w:val="both"/>
        <w:rPr/>
      </w:pPr>
      <w:r>
        <w:rPr/>
        <w:t>Статический расчет надлежит производить на воздействие расчетного внутреннего давления, давления грунта, временных нагрузок, собственной массы труб и массы транспортируемой жидкости, атмосферного давления при образовании вакуума и внешнего гидростатического давления грунтовых вод в тех комбинациях, которые оказываются наиболее опасными для труб данного материала.</w:t>
      </w:r>
    </w:p>
    <w:p>
      <w:pPr>
        <w:pStyle w:val="Normal"/>
        <w:ind w:firstLine="225"/>
        <w:jc w:val="both"/>
        <w:rPr/>
      </w:pPr>
      <w:r>
        <w:rPr/>
      </w:r>
    </w:p>
    <w:p>
      <w:pPr>
        <w:pStyle w:val="Normal"/>
        <w:ind w:firstLine="270"/>
        <w:jc w:val="both"/>
        <w:rPr/>
      </w:pPr>
      <w:r>
        <w:rPr/>
        <w:t>Трубопроводы или их участки должны подразделяться по степени ответственности на следующие классы:</w:t>
      </w:r>
    </w:p>
    <w:p>
      <w:pPr>
        <w:pStyle w:val="Normal"/>
        <w:ind w:firstLine="225"/>
        <w:jc w:val="both"/>
        <w:rPr/>
      </w:pPr>
      <w:r>
        <w:rPr/>
      </w:r>
    </w:p>
    <w:p>
      <w:pPr>
        <w:pStyle w:val="Normal"/>
        <w:ind w:firstLine="270"/>
        <w:jc w:val="both"/>
        <w:rPr/>
      </w:pPr>
      <w:r>
        <w:rPr/>
        <w:t>1 - трубопроводы для объектов I категории обеспеченности подачи воды, а также участки трубопроводов в зонах перехода через водные преграды и овраги, железные и автомобильные дороги I и II категорий и в местах, труднодоступных для устранения возможных повреждений, для объектов II и III категорий обеспеченности подачи воды;</w:t>
      </w:r>
    </w:p>
    <w:p>
      <w:pPr>
        <w:pStyle w:val="Normal"/>
        <w:ind w:firstLine="270"/>
        <w:jc w:val="both"/>
        <w:rPr/>
      </w:pPr>
      <w:r>
        <w:rPr/>
      </w:r>
    </w:p>
    <w:p>
      <w:pPr>
        <w:pStyle w:val="Normal"/>
        <w:ind w:firstLine="225"/>
        <w:jc w:val="both"/>
        <w:rPr/>
      </w:pPr>
      <w:r>
        <w:rPr/>
        <w:t>2 - трубопроводы для объектов II категории обеспеченности подачи воды (за исключением участков 1 класса), а также участки трубопроводов, прокладываемые под усовершенствованными покрытиями автомобильных дорог, для объектов III категории обеспеченности подачи воды;</w:t>
      </w:r>
    </w:p>
    <w:p>
      <w:pPr>
        <w:pStyle w:val="Normal"/>
        <w:ind w:firstLine="270"/>
        <w:jc w:val="both"/>
        <w:rPr/>
      </w:pPr>
      <w:r>
        <w:rPr/>
      </w:r>
    </w:p>
    <w:p>
      <w:pPr>
        <w:pStyle w:val="Normal"/>
        <w:ind w:firstLine="225"/>
        <w:jc w:val="both"/>
        <w:rPr/>
      </w:pPr>
      <w:r>
        <w:rPr/>
        <w:t xml:space="preserve">3  - все остальные участки трубопроводов для объектов III категории обеспеченности подачи воды. </w:t>
      </w:r>
    </w:p>
    <w:p>
      <w:pPr>
        <w:pStyle w:val="Normal"/>
        <w:ind w:firstLine="225"/>
        <w:jc w:val="both"/>
        <w:rPr/>
      </w:pPr>
      <w:r>
        <w:rPr/>
      </w:r>
    </w:p>
    <w:tbl>
      <w:tblPr>
        <w:tblW w:w="8850" w:type="dxa"/>
        <w:jc w:val="start"/>
        <w:tblInd w:w="15" w:type="dxa"/>
        <w:tblBorders/>
        <w:tblCellMar>
          <w:top w:w="0" w:type="dxa"/>
          <w:start w:w="15" w:type="dxa"/>
          <w:bottom w:w="0" w:type="dxa"/>
          <w:end w:w="15" w:type="dxa"/>
        </w:tblCellMar>
      </w:tblPr>
      <w:tblGrid>
        <w:gridCol w:w="5625"/>
        <w:gridCol w:w="360"/>
        <w:gridCol w:w="2865"/>
      </w:tblGrid>
      <w:tr>
        <w:trPr/>
        <w:tc>
          <w:tcPr>
            <w:tcW w:w="5625" w:type="dxa"/>
            <w:tcBorders/>
            <w:shd w:fill="auto" w:val="clear"/>
          </w:tcPr>
          <w:p>
            <w:pPr>
              <w:pStyle w:val="Normal"/>
              <w:rPr/>
            </w:pPr>
            <w:r>
              <w:rPr>
                <w:vanish/>
              </w:rPr>
              <w:t>#G0</w:t>
            </w:r>
            <w:r>
              <w:rPr/>
              <w:t xml:space="preserve">  В расчете труб следует учитывать коэффициент условий работы </w:t>
            </w:r>
          </w:p>
          <w:p>
            <w:pPr>
              <w:pStyle w:val="Normal"/>
              <w:rPr/>
            </w:pPr>
            <w:r>
              <w:rPr/>
            </w:r>
          </w:p>
        </w:tc>
        <w:tc>
          <w:tcPr>
            <w:tcW w:w="360" w:type="dxa"/>
            <w:tcBorders/>
            <w:shd w:fill="auto" w:val="clear"/>
          </w:tcPr>
          <w:p>
            <w:pPr>
              <w:pStyle w:val="Normal"/>
              <w:rPr/>
            </w:pPr>
            <w:r>
              <w:rPr/>
              <w:drawing>
                <wp:inline distT="0" distB="0" distL="0" distR="0">
                  <wp:extent cx="172720" cy="184150"/>
                  <wp:effectExtent l="0" t="0" r="0" b="0"/>
                  <wp:docPr id="146" name="Изображение1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146" descr="" title=""/>
                          <pic:cNvPicPr>
                            <a:picLocks noChangeAspect="1" noChangeArrowheads="1"/>
                          </pic:cNvPicPr>
                        </pic:nvPicPr>
                        <pic:blipFill>
                          <a:blip r:embed="rId147"/>
                          <a:stretch>
                            <a:fillRect/>
                          </a:stretch>
                        </pic:blipFill>
                        <pic:spPr bwMode="auto">
                          <a:xfrm>
                            <a:off x="0" y="0"/>
                            <a:ext cx="172720" cy="184150"/>
                          </a:xfrm>
                          <a:prstGeom prst="rect">
                            <a:avLst/>
                          </a:prstGeom>
                        </pic:spPr>
                      </pic:pic>
                    </a:graphicData>
                  </a:graphic>
                </wp:inline>
              </w:drawing>
            </w:r>
          </w:p>
        </w:tc>
        <w:tc>
          <w:tcPr>
            <w:tcW w:w="2865" w:type="dxa"/>
            <w:tcBorders/>
            <w:shd w:fill="auto" w:val="clear"/>
          </w:tcPr>
          <w:p>
            <w:pPr>
              <w:pStyle w:val="Normal"/>
              <w:rPr/>
            </w:pPr>
            <w:r>
              <w:rPr/>
              <w:t xml:space="preserve">, определяемый по формуле </w:t>
            </w:r>
          </w:p>
          <w:p>
            <w:pPr>
              <w:pStyle w:val="Normal"/>
              <w:rPr/>
            </w:pPr>
            <w:r>
              <w:rPr/>
            </w:r>
          </w:p>
        </w:tc>
      </w:tr>
    </w:tbl>
    <w:p>
      <w:pPr>
        <w:pStyle w:val="Normal"/>
        <w:ind w:firstLine="90"/>
        <w:jc w:val="both"/>
        <w:rPr/>
      </w:pPr>
      <w:r>
        <w:rPr/>
      </w:r>
    </w:p>
    <w:tbl>
      <w:tblPr>
        <w:tblW w:w="4335" w:type="dxa"/>
        <w:jc w:val="start"/>
        <w:tblInd w:w="165" w:type="dxa"/>
        <w:tblBorders/>
        <w:tblCellMar>
          <w:top w:w="0" w:type="dxa"/>
          <w:start w:w="15" w:type="dxa"/>
          <w:bottom w:w="0" w:type="dxa"/>
          <w:end w:w="15" w:type="dxa"/>
        </w:tblCellMar>
      </w:tblPr>
      <w:tblGrid>
        <w:gridCol w:w="2385"/>
        <w:gridCol w:w="1950"/>
      </w:tblGrid>
      <w:tr>
        <w:trPr/>
        <w:tc>
          <w:tcPr>
            <w:tcW w:w="2385" w:type="dxa"/>
            <w:tcBorders/>
            <w:shd w:fill="auto" w:val="clear"/>
          </w:tcPr>
          <w:p>
            <w:pPr>
              <w:pStyle w:val="Normal"/>
              <w:rPr/>
            </w:pPr>
            <w:r>
              <w:rPr>
                <w:vanish/>
              </w:rPr>
              <w:t>#G0</w:t>
            </w:r>
            <w:r>
              <w:rPr/>
              <w:t xml:space="preserve">  </w:t>
            </w:r>
          </w:p>
          <w:p>
            <w:pPr>
              <w:pStyle w:val="Normal"/>
              <w:rPr/>
            </w:pPr>
            <w:r>
              <w:rPr/>
              <w:drawing>
                <wp:inline distT="0" distB="0" distL="0" distR="0">
                  <wp:extent cx="1048385" cy="264795"/>
                  <wp:effectExtent l="0" t="0" r="0" b="0"/>
                  <wp:docPr id="147" name="Изображение1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Изображение147" descr="" title=""/>
                          <pic:cNvPicPr>
                            <a:picLocks noChangeAspect="1" noChangeArrowheads="1"/>
                          </pic:cNvPicPr>
                        </pic:nvPicPr>
                        <pic:blipFill>
                          <a:blip r:embed="rId148"/>
                          <a:stretch>
                            <a:fillRect/>
                          </a:stretch>
                        </pic:blipFill>
                        <pic:spPr bwMode="auto">
                          <a:xfrm>
                            <a:off x="0" y="0"/>
                            <a:ext cx="1048385" cy="264795"/>
                          </a:xfrm>
                          <a:prstGeom prst="rect">
                            <a:avLst/>
                          </a:prstGeom>
                        </pic:spPr>
                      </pic:pic>
                    </a:graphicData>
                  </a:graphic>
                </wp:inline>
              </w:drawing>
            </w:r>
          </w:p>
        </w:tc>
        <w:tc>
          <w:tcPr>
            <w:tcW w:w="1950" w:type="dxa"/>
            <w:tcBorders/>
            <w:shd w:fill="auto" w:val="clear"/>
          </w:tcPr>
          <w:p>
            <w:pPr>
              <w:pStyle w:val="Normal"/>
              <w:rPr/>
            </w:pPr>
            <w:r>
              <w:rPr/>
              <w:t xml:space="preserve"> </w:t>
            </w:r>
          </w:p>
          <w:p>
            <w:pPr>
              <w:pStyle w:val="Normal"/>
              <w:rPr/>
            </w:pPr>
            <w:r>
              <w:rPr/>
              <w:t xml:space="preserve">                                  </w:t>
            </w:r>
            <w:r>
              <w:rPr/>
              <w:t>(32)</w:t>
            </w:r>
          </w:p>
          <w:p>
            <w:pPr>
              <w:pStyle w:val="Normal"/>
              <w:rPr/>
            </w:pPr>
            <w:r>
              <w:rPr/>
            </w:r>
          </w:p>
        </w:tc>
      </w:tr>
    </w:tbl>
    <w:p>
      <w:pPr>
        <w:pStyle w:val="Normal"/>
        <w:ind w:firstLine="270"/>
        <w:jc w:val="both"/>
        <w:rPr/>
      </w:pPr>
      <w:r>
        <w:rPr/>
        <w:tab/>
        <w:tab/>
        <w:tab/>
        <w:t xml:space="preserve">     </w:t>
        <w:tab/>
      </w:r>
    </w:p>
    <w:tbl>
      <w:tblPr>
        <w:tblW w:w="8505" w:type="dxa"/>
        <w:jc w:val="start"/>
        <w:tblInd w:w="165" w:type="dxa"/>
        <w:tblBorders/>
        <w:tblCellMar>
          <w:top w:w="0" w:type="dxa"/>
          <w:start w:w="15" w:type="dxa"/>
          <w:bottom w:w="0" w:type="dxa"/>
          <w:end w:w="15" w:type="dxa"/>
        </w:tblCellMar>
      </w:tblPr>
      <w:tblGrid>
        <w:gridCol w:w="450"/>
        <w:gridCol w:w="795"/>
        <w:gridCol w:w="7260"/>
      </w:tblGrid>
      <w:tr>
        <w:trPr/>
        <w:tc>
          <w:tcPr>
            <w:tcW w:w="450" w:type="dxa"/>
            <w:tcBorders/>
            <w:shd w:fill="auto" w:val="clear"/>
          </w:tcPr>
          <w:p>
            <w:pPr>
              <w:pStyle w:val="Normal"/>
              <w:rPr/>
            </w:pPr>
            <w:r>
              <w:rPr>
                <w:vanish/>
              </w:rPr>
              <w:t>#G0</w:t>
            </w:r>
            <w:r>
              <w:rPr/>
              <w:t xml:space="preserve">       где </w:t>
            </w:r>
          </w:p>
          <w:p>
            <w:pPr>
              <w:pStyle w:val="Normal"/>
              <w:rPr/>
            </w:pPr>
            <w:r>
              <w:rPr/>
            </w:r>
          </w:p>
        </w:tc>
        <w:tc>
          <w:tcPr>
            <w:tcW w:w="795" w:type="dxa"/>
            <w:tcBorders/>
            <w:shd w:fill="auto" w:val="clear"/>
          </w:tcPr>
          <w:p>
            <w:pPr>
              <w:pStyle w:val="Normal"/>
              <w:rPr/>
            </w:pPr>
            <w:r>
              <w:rPr/>
              <w:t xml:space="preserve"> </w:t>
            </w:r>
          </w:p>
          <w:p>
            <w:pPr>
              <w:pStyle w:val="Normal"/>
              <w:rPr/>
            </w:pPr>
            <w:r>
              <w:rPr/>
              <w:drawing>
                <wp:inline distT="0" distB="0" distL="0" distR="0">
                  <wp:extent cx="172720" cy="184150"/>
                  <wp:effectExtent l="0" t="0" r="0" b="0"/>
                  <wp:docPr id="148" name="Изображение1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148" descr="" title=""/>
                          <pic:cNvPicPr>
                            <a:picLocks noChangeAspect="1" noChangeArrowheads="1"/>
                          </pic:cNvPicPr>
                        </pic:nvPicPr>
                        <pic:blipFill>
                          <a:blip r:embed="rId149"/>
                          <a:stretch>
                            <a:fillRect/>
                          </a:stretch>
                        </pic:blipFill>
                        <pic:spPr bwMode="auto">
                          <a:xfrm>
                            <a:off x="0" y="0"/>
                            <a:ext cx="172720" cy="184150"/>
                          </a:xfrm>
                          <a:prstGeom prst="rect">
                            <a:avLst/>
                          </a:prstGeom>
                        </pic:spPr>
                      </pic:pic>
                    </a:graphicData>
                  </a:graphic>
                </wp:inline>
              </w:drawing>
            </w:r>
            <w:r>
              <w:rPr/>
              <w:t xml:space="preserve"> </w:t>
            </w:r>
          </w:p>
          <w:p>
            <w:pPr>
              <w:pStyle w:val="Normal"/>
              <w:rPr/>
            </w:pPr>
            <w:r>
              <w:rPr/>
            </w:r>
          </w:p>
        </w:tc>
        <w:tc>
          <w:tcPr>
            <w:tcW w:w="7260" w:type="dxa"/>
            <w:tcBorders/>
            <w:shd w:fill="auto" w:val="clear"/>
          </w:tcPr>
          <w:p>
            <w:pPr>
              <w:pStyle w:val="Normal"/>
              <w:rPr/>
            </w:pPr>
            <w:r>
              <w:rPr/>
              <w:t xml:space="preserve">  </w:t>
            </w:r>
          </w:p>
          <w:p>
            <w:pPr>
              <w:pStyle w:val="Normal"/>
              <w:ind w:firstLine="45"/>
              <w:jc w:val="both"/>
              <w:rPr/>
            </w:pPr>
            <w:r>
              <w:rPr/>
              <w:t>- коэффициент, учитывающий кратковременность испытания, которому подвергаются трубы после их изготовления;</w:t>
            </w:r>
          </w:p>
          <w:p>
            <w:pPr>
              <w:pStyle w:val="Normal"/>
              <w:ind w:firstLine="45"/>
              <w:jc w:val="both"/>
              <w:rPr/>
            </w:pPr>
            <w:r>
              <w:rPr/>
            </w:r>
          </w:p>
        </w:tc>
      </w:tr>
      <w:tr>
        <w:trPr/>
        <w:tc>
          <w:tcPr>
            <w:tcW w:w="450" w:type="dxa"/>
            <w:tcBorders/>
            <w:shd w:fill="auto" w:val="clear"/>
          </w:tcPr>
          <w:p>
            <w:pPr>
              <w:pStyle w:val="Normal"/>
              <w:rPr/>
            </w:pPr>
            <w:r>
              <w:rPr/>
              <w:t xml:space="preserve">  </w:t>
            </w:r>
          </w:p>
          <w:p>
            <w:pPr>
              <w:pStyle w:val="Normal"/>
              <w:rPr/>
            </w:pPr>
            <w:r>
              <w:rPr/>
            </w:r>
          </w:p>
        </w:tc>
        <w:tc>
          <w:tcPr>
            <w:tcW w:w="795" w:type="dxa"/>
            <w:tcBorders/>
            <w:shd w:fill="auto" w:val="clear"/>
          </w:tcPr>
          <w:p>
            <w:pPr>
              <w:pStyle w:val="Normal"/>
              <w:rPr/>
            </w:pPr>
            <w:r>
              <w:rPr/>
              <w:t xml:space="preserve">  </w:t>
            </w:r>
          </w:p>
          <w:p>
            <w:pPr>
              <w:pStyle w:val="Normal"/>
              <w:rPr/>
            </w:pPr>
            <w:r>
              <w:rPr/>
              <w:drawing>
                <wp:inline distT="0" distB="0" distL="0" distR="0">
                  <wp:extent cx="184150" cy="184150"/>
                  <wp:effectExtent l="0" t="0" r="0" b="0"/>
                  <wp:docPr id="149" name="Изображение1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Изображение149" descr="" title=""/>
                          <pic:cNvPicPr>
                            <a:picLocks noChangeAspect="1" noChangeArrowheads="1"/>
                          </pic:cNvPicPr>
                        </pic:nvPicPr>
                        <pic:blipFill>
                          <a:blip r:embed="rId150"/>
                          <a:stretch>
                            <a:fillRect/>
                          </a:stretch>
                        </pic:blipFill>
                        <pic:spPr bwMode="auto">
                          <a:xfrm>
                            <a:off x="0" y="0"/>
                            <a:ext cx="184150" cy="184150"/>
                          </a:xfrm>
                          <a:prstGeom prst="rect">
                            <a:avLst/>
                          </a:prstGeom>
                        </pic:spPr>
                      </pic:pic>
                    </a:graphicData>
                  </a:graphic>
                </wp:inline>
              </w:drawing>
            </w:r>
          </w:p>
        </w:tc>
        <w:tc>
          <w:tcPr>
            <w:tcW w:w="7260" w:type="dxa"/>
            <w:tcBorders/>
            <w:shd w:fill="auto" w:val="clear"/>
          </w:tcPr>
          <w:p>
            <w:pPr>
              <w:pStyle w:val="Normal"/>
              <w:rPr/>
            </w:pPr>
            <w:r>
              <w:rPr/>
              <w:t xml:space="preserve">  </w:t>
            </w:r>
          </w:p>
          <w:p>
            <w:pPr>
              <w:pStyle w:val="Normal"/>
              <w:jc w:val="both"/>
              <w:rPr/>
            </w:pPr>
            <w:r>
              <w:rPr/>
              <w:t xml:space="preserve">- коэффициент, учитывающий снижение прочностных показателей труб в процессе эксплуатации в результате старения материала труб, коррозии или абразионного износа; </w:t>
            </w:r>
          </w:p>
          <w:p>
            <w:pPr>
              <w:pStyle w:val="Normal"/>
              <w:jc w:val="both"/>
              <w:rPr/>
            </w:pPr>
            <w:r>
              <w:rPr/>
            </w:r>
          </w:p>
        </w:tc>
      </w:tr>
      <w:tr>
        <w:trPr/>
        <w:tc>
          <w:tcPr>
            <w:tcW w:w="450" w:type="dxa"/>
            <w:tcBorders/>
            <w:shd w:fill="auto" w:val="clear"/>
          </w:tcPr>
          <w:p>
            <w:pPr>
              <w:pStyle w:val="Normal"/>
              <w:rPr/>
            </w:pPr>
            <w:r>
              <w:rPr/>
              <w:t xml:space="preserve">  </w:t>
            </w:r>
          </w:p>
          <w:p>
            <w:pPr>
              <w:pStyle w:val="Normal"/>
              <w:rPr/>
            </w:pPr>
            <w:r>
              <w:rPr/>
            </w:r>
          </w:p>
        </w:tc>
        <w:tc>
          <w:tcPr>
            <w:tcW w:w="795" w:type="dxa"/>
            <w:tcBorders/>
            <w:shd w:fill="auto" w:val="clear"/>
          </w:tcPr>
          <w:p>
            <w:pPr>
              <w:pStyle w:val="Normal"/>
              <w:rPr/>
            </w:pPr>
            <w:r>
              <w:rPr/>
              <w:t xml:space="preserve">  </w:t>
            </w:r>
          </w:p>
          <w:p>
            <w:pPr>
              <w:pStyle w:val="Normal"/>
              <w:rPr/>
            </w:pPr>
            <w:r>
              <w:rPr/>
              <w:drawing>
                <wp:inline distT="0" distB="0" distL="0" distR="0">
                  <wp:extent cx="161290" cy="184150"/>
                  <wp:effectExtent l="0" t="0" r="0" b="0"/>
                  <wp:docPr id="150" name="Изображение1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Изображение150" descr="" title=""/>
                          <pic:cNvPicPr>
                            <a:picLocks noChangeAspect="1" noChangeArrowheads="1"/>
                          </pic:cNvPicPr>
                        </pic:nvPicPr>
                        <pic:blipFill>
                          <a:blip r:embed="rId151"/>
                          <a:stretch>
                            <a:fillRect/>
                          </a:stretch>
                        </pic:blipFill>
                        <pic:spPr bwMode="auto">
                          <a:xfrm>
                            <a:off x="0" y="0"/>
                            <a:ext cx="161290" cy="184150"/>
                          </a:xfrm>
                          <a:prstGeom prst="rect">
                            <a:avLst/>
                          </a:prstGeom>
                        </pic:spPr>
                      </pic:pic>
                    </a:graphicData>
                  </a:graphic>
                </wp:inline>
              </w:drawing>
            </w:r>
          </w:p>
        </w:tc>
        <w:tc>
          <w:tcPr>
            <w:tcW w:w="7260" w:type="dxa"/>
            <w:tcBorders/>
            <w:shd w:fill="auto" w:val="clear"/>
          </w:tcPr>
          <w:p>
            <w:pPr>
              <w:pStyle w:val="Normal"/>
              <w:rPr/>
            </w:pPr>
            <w:r>
              <w:rPr/>
              <w:t xml:space="preserve">  </w:t>
            </w:r>
          </w:p>
          <w:p>
            <w:pPr>
              <w:pStyle w:val="Normal"/>
              <w:jc w:val="both"/>
              <w:rPr/>
            </w:pPr>
            <w:r>
              <w:rPr/>
              <w:t>- коэффициент надежности, учитывающий класс участка трубопровода по степени ответственности.</w:t>
            </w:r>
          </w:p>
          <w:p>
            <w:pPr>
              <w:pStyle w:val="Normal"/>
              <w:jc w:val="both"/>
              <w:rPr/>
            </w:pPr>
            <w:r>
              <w:rPr/>
            </w:r>
          </w:p>
        </w:tc>
      </w:tr>
    </w:tbl>
    <w:p>
      <w:pPr>
        <w:pStyle w:val="Normal"/>
        <w:ind w:firstLine="270"/>
        <w:jc w:val="both"/>
        <w:rPr/>
      </w:pPr>
      <w:r>
        <w:rPr/>
        <w:tab/>
        <w:tab/>
        <w:t xml:space="preserve">      </w:t>
      </w:r>
    </w:p>
    <w:p>
      <w:pPr>
        <w:pStyle w:val="Normal"/>
        <w:ind w:firstLine="270"/>
        <w:jc w:val="both"/>
        <w:rPr/>
      </w:pPr>
      <w:r>
        <w:rPr/>
      </w:r>
    </w:p>
    <w:p>
      <w:pPr>
        <w:pStyle w:val="Normal"/>
        <w:ind w:firstLine="225"/>
        <w:jc w:val="both"/>
        <w:rPr/>
      </w:pPr>
      <w:r>
        <w:rPr/>
        <w:t>Значение коэффициента m(1) следует устанавливать в соответствии с ГОСТ или техническими условиями на изготовление данного типа труб.</w:t>
      </w:r>
    </w:p>
    <w:p>
      <w:pPr>
        <w:pStyle w:val="Normal"/>
        <w:ind w:firstLine="225"/>
        <w:jc w:val="both"/>
        <w:rPr/>
      </w:pPr>
      <w:r>
        <w:rPr/>
      </w:r>
    </w:p>
    <w:p>
      <w:pPr>
        <w:pStyle w:val="Normal"/>
        <w:ind w:firstLine="270"/>
        <w:jc w:val="both"/>
        <w:rPr/>
      </w:pPr>
      <w:r>
        <w:rPr/>
        <w:t>Для трубопроводов, стыковые соединения которых равнопрочны самим трубам, значение коэффициента (m1) надлежит принимать равным:</w:t>
      </w:r>
    </w:p>
    <w:p>
      <w:pPr>
        <w:pStyle w:val="Normal"/>
        <w:ind w:firstLine="225"/>
        <w:jc w:val="both"/>
        <w:rPr/>
      </w:pPr>
      <w:r>
        <w:rPr/>
      </w:r>
    </w:p>
    <w:p>
      <w:pPr>
        <w:pStyle w:val="Normal"/>
        <w:ind w:firstLine="270"/>
        <w:jc w:val="both"/>
        <w:rPr/>
      </w:pPr>
      <w:r>
        <w:rPr/>
        <w:t xml:space="preserve">0,9  - для чугунных, стальных, асбестоцементных, бетонных, железобетонных и керамических труб; </w:t>
      </w:r>
    </w:p>
    <w:p>
      <w:pPr>
        <w:pStyle w:val="Normal"/>
        <w:ind w:firstLine="225"/>
        <w:jc w:val="both"/>
        <w:rPr/>
      </w:pPr>
      <w:r>
        <w:rPr/>
      </w:r>
    </w:p>
    <w:p>
      <w:pPr>
        <w:pStyle w:val="Normal"/>
        <w:ind w:firstLine="270"/>
        <w:jc w:val="both"/>
        <w:rPr/>
      </w:pPr>
      <w:r>
        <w:rPr/>
        <w:t xml:space="preserve">1  - для полиэтиленовых труб. </w:t>
      </w:r>
    </w:p>
    <w:p>
      <w:pPr>
        <w:pStyle w:val="Normal"/>
        <w:ind w:firstLine="270"/>
        <w:jc w:val="both"/>
        <w:rPr/>
      </w:pPr>
      <w:r>
        <w:rPr/>
      </w:r>
    </w:p>
    <w:p>
      <w:pPr>
        <w:pStyle w:val="Normal"/>
        <w:ind w:firstLine="225"/>
        <w:jc w:val="both"/>
        <w:rPr/>
      </w:pPr>
      <w:r>
        <w:rPr/>
        <w:t>Значение коэффициента (m2) надлежит принимать равным:</w:t>
      </w:r>
    </w:p>
    <w:p>
      <w:pPr>
        <w:pStyle w:val="Normal"/>
        <w:ind w:firstLine="225"/>
        <w:jc w:val="both"/>
        <w:rPr/>
      </w:pPr>
      <w:r>
        <w:rPr/>
      </w:r>
    </w:p>
    <w:p>
      <w:pPr>
        <w:pStyle w:val="Normal"/>
        <w:ind w:firstLine="270"/>
        <w:jc w:val="both"/>
        <w:rPr/>
      </w:pPr>
      <w:r>
        <w:rPr/>
        <w:t xml:space="preserve">1  - для керамических труб, а также чугунных, стальных, асбестоцементных, бетонных и железобетонных труб, при отсутствии опасности коррозии или абразивного износа в соответствии с ГОСТ или техническими условиями на изготовление данного типа труб - для пластмассовых труб.    </w:t>
      </w:r>
    </w:p>
    <w:tbl>
      <w:tblPr>
        <w:tblW w:w="8130" w:type="dxa"/>
        <w:jc w:val="start"/>
        <w:tblInd w:w="15" w:type="dxa"/>
        <w:tblBorders/>
        <w:tblCellMar>
          <w:top w:w="0" w:type="dxa"/>
          <w:start w:w="15" w:type="dxa"/>
          <w:bottom w:w="0" w:type="dxa"/>
          <w:end w:w="15" w:type="dxa"/>
        </w:tblCellMar>
      </w:tblPr>
      <w:tblGrid>
        <w:gridCol w:w="2475"/>
        <w:gridCol w:w="465"/>
        <w:gridCol w:w="5190"/>
      </w:tblGrid>
      <w:tr>
        <w:trPr/>
        <w:tc>
          <w:tcPr>
            <w:tcW w:w="2475" w:type="dxa"/>
            <w:tcBorders/>
            <w:shd w:fill="auto" w:val="clear"/>
          </w:tcPr>
          <w:p>
            <w:pPr>
              <w:pStyle w:val="Normal"/>
              <w:jc w:val="both"/>
              <w:rPr>
                <w:vanish/>
              </w:rPr>
            </w:pPr>
            <w:r>
              <w:rPr>
                <w:vanish/>
              </w:rPr>
              <w:t>#G0</w:t>
            </w:r>
          </w:p>
          <w:p>
            <w:pPr>
              <w:pStyle w:val="Normal"/>
              <w:ind w:firstLine="225"/>
              <w:jc w:val="both"/>
              <w:rPr/>
            </w:pPr>
            <w:r>
              <w:rPr/>
              <w:t xml:space="preserve">Значение коэффициента </w:t>
            </w:r>
          </w:p>
          <w:p>
            <w:pPr>
              <w:pStyle w:val="Normal"/>
              <w:rPr/>
            </w:pPr>
            <w:r>
              <w:rPr/>
              <w:t xml:space="preserve">  </w:t>
            </w:r>
          </w:p>
          <w:p>
            <w:pPr>
              <w:pStyle w:val="Normal"/>
              <w:rPr/>
            </w:pPr>
            <w:r>
              <w:rPr/>
            </w:r>
          </w:p>
        </w:tc>
        <w:tc>
          <w:tcPr>
            <w:tcW w:w="465" w:type="dxa"/>
            <w:tcBorders/>
            <w:shd w:fill="auto" w:val="clear"/>
          </w:tcPr>
          <w:p>
            <w:pPr>
              <w:pStyle w:val="Normal"/>
              <w:rPr/>
            </w:pPr>
            <w:r>
              <w:rPr/>
              <w:t xml:space="preserve">  </w:t>
            </w:r>
          </w:p>
          <w:p>
            <w:pPr>
              <w:pStyle w:val="Normal"/>
              <w:rPr/>
            </w:pPr>
            <w:r>
              <w:rPr/>
              <w:drawing>
                <wp:inline distT="0" distB="0" distL="0" distR="0">
                  <wp:extent cx="161290" cy="184150"/>
                  <wp:effectExtent l="0" t="0" r="0" b="0"/>
                  <wp:docPr id="151" name="Изображение1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Изображение151" descr="" title=""/>
                          <pic:cNvPicPr>
                            <a:picLocks noChangeAspect="1" noChangeArrowheads="1"/>
                          </pic:cNvPicPr>
                        </pic:nvPicPr>
                        <pic:blipFill>
                          <a:blip r:embed="rId152"/>
                          <a:stretch>
                            <a:fillRect/>
                          </a:stretch>
                        </pic:blipFill>
                        <pic:spPr bwMode="auto">
                          <a:xfrm>
                            <a:off x="0" y="0"/>
                            <a:ext cx="161290" cy="184150"/>
                          </a:xfrm>
                          <a:prstGeom prst="rect">
                            <a:avLst/>
                          </a:prstGeom>
                        </pic:spPr>
                      </pic:pic>
                    </a:graphicData>
                  </a:graphic>
                </wp:inline>
              </w:drawing>
            </w:r>
          </w:p>
        </w:tc>
        <w:tc>
          <w:tcPr>
            <w:tcW w:w="5190" w:type="dxa"/>
            <w:tcBorders/>
            <w:shd w:fill="auto" w:val="clear"/>
          </w:tcPr>
          <w:p>
            <w:pPr>
              <w:pStyle w:val="Normal"/>
              <w:rPr/>
            </w:pPr>
            <w:r>
              <w:rPr/>
              <w:t xml:space="preserve"> </w:t>
            </w:r>
          </w:p>
          <w:p>
            <w:pPr>
              <w:pStyle w:val="Normal"/>
              <w:ind w:firstLine="45"/>
              <w:jc w:val="both"/>
              <w:rPr/>
            </w:pPr>
            <w:r>
              <w:rPr/>
              <w:t xml:space="preserve">следует принимать: для участков трубопроводов 1-го </w:t>
            </w:r>
          </w:p>
          <w:p>
            <w:pPr>
              <w:pStyle w:val="Normal"/>
              <w:rPr/>
            </w:pPr>
            <w:r>
              <w:rPr/>
              <w:t xml:space="preserve"> </w:t>
            </w:r>
          </w:p>
          <w:p>
            <w:pPr>
              <w:pStyle w:val="Normal"/>
              <w:rPr/>
            </w:pPr>
            <w:r>
              <w:rPr/>
            </w:r>
          </w:p>
        </w:tc>
      </w:tr>
    </w:tbl>
    <w:p>
      <w:pPr>
        <w:pStyle w:val="Normal"/>
        <w:ind w:firstLine="45"/>
        <w:jc w:val="both"/>
        <w:rPr/>
      </w:pPr>
      <w:r>
        <w:rPr/>
        <w:t>класса - 1; 2-го класса - 0,95; 3-го класса - 0,9.</w:t>
      </w:r>
    </w:p>
    <w:p>
      <w:pPr>
        <w:pStyle w:val="Normal"/>
        <w:ind w:firstLine="225"/>
        <w:jc w:val="both"/>
        <w:rPr/>
      </w:pPr>
      <w:r>
        <w:rPr/>
      </w:r>
    </w:p>
    <w:p>
      <w:pPr>
        <w:pStyle w:val="Normal"/>
        <w:ind w:firstLine="270"/>
        <w:jc w:val="both"/>
        <w:rPr/>
      </w:pPr>
      <w:r>
        <w:rPr/>
        <w:t>8.23. Величину испытательного давления на различных испытательных участках, которому должны подвергаться трубопроводы перед сдачей в эксплуатацию, надлежит указывать в проектах организации строительства, исходя из прочностных показателей материала и класса труб, принятых для каждого участка трубопровода, расчетного внутреннего давления воды и величин внешних нагрузок, воздействующих на трубопровод в период испытания.</w:t>
      </w:r>
    </w:p>
    <w:p>
      <w:pPr>
        <w:pStyle w:val="Normal"/>
        <w:ind w:firstLine="225"/>
        <w:jc w:val="both"/>
        <w:rPr/>
      </w:pPr>
      <w:r>
        <w:rPr/>
      </w:r>
    </w:p>
    <w:p>
      <w:pPr>
        <w:pStyle w:val="Normal"/>
        <w:ind w:firstLine="270"/>
        <w:jc w:val="both"/>
        <w:rPr/>
      </w:pPr>
      <w:r>
        <w:rPr/>
        <w:t>Расчетная величина испытательного давления не должна превышать следующих величин для трубопроводов из труб:</w:t>
      </w:r>
    </w:p>
    <w:p>
      <w:pPr>
        <w:pStyle w:val="Normal"/>
        <w:ind w:firstLine="270"/>
        <w:jc w:val="both"/>
        <w:rPr/>
      </w:pPr>
      <w:r>
        <w:rPr/>
      </w:r>
    </w:p>
    <w:p>
      <w:pPr>
        <w:pStyle w:val="Normal"/>
        <w:ind w:firstLine="225"/>
        <w:jc w:val="both"/>
        <w:rPr/>
      </w:pPr>
      <w:r>
        <w:rPr/>
        <w:t>чугунных  - заводского испытательного давления с коэффициентом 0,5;</w:t>
      </w:r>
    </w:p>
    <w:p>
      <w:pPr>
        <w:pStyle w:val="Normal"/>
        <w:ind w:firstLine="225"/>
        <w:jc w:val="both"/>
        <w:rPr/>
      </w:pPr>
      <w:r>
        <w:rPr/>
      </w:r>
    </w:p>
    <w:p>
      <w:pPr>
        <w:pStyle w:val="Normal"/>
        <w:ind w:firstLine="270"/>
        <w:jc w:val="both"/>
        <w:rPr/>
      </w:pPr>
      <w:r>
        <w:rPr/>
        <w:t>железобетонных и асбестоцементных - гидростатического давления, предусмотренного ГОСТ или техническими условиями для соответствующих классов труб при отсутствии внешней нагрузки;</w:t>
      </w:r>
    </w:p>
    <w:p>
      <w:pPr>
        <w:pStyle w:val="Normal"/>
        <w:ind w:firstLine="225"/>
        <w:jc w:val="both"/>
        <w:rPr/>
      </w:pPr>
      <w:r>
        <w:rPr/>
      </w:r>
    </w:p>
    <w:p>
      <w:pPr>
        <w:pStyle w:val="Normal"/>
        <w:ind w:firstLine="225"/>
        <w:jc w:val="both"/>
        <w:rPr/>
      </w:pPr>
      <w:r>
        <w:rPr/>
        <w:t>стальных и пластмассовых - внутреннего расчетного давления с коэффициентом 1,25.</w:t>
      </w:r>
    </w:p>
    <w:p>
      <w:pPr>
        <w:pStyle w:val="Normal"/>
        <w:ind w:firstLine="225"/>
        <w:jc w:val="both"/>
        <w:rPr/>
      </w:pPr>
      <w:r>
        <w:rPr/>
      </w:r>
    </w:p>
    <w:p>
      <w:pPr>
        <w:pStyle w:val="Normal"/>
        <w:ind w:firstLine="225"/>
        <w:jc w:val="both"/>
        <w:rPr/>
      </w:pPr>
      <w:r>
        <w:rPr/>
        <w:t>8.24. Чугунные, асбестоцементные, бетонные, железобетонные и керамические трубопроводы должны быть рассчитаны на совместное воздействие расчетного внутреннего давления и расчетной приведенной внешней нагрузки.</w:t>
      </w:r>
    </w:p>
    <w:p>
      <w:pPr>
        <w:pStyle w:val="Normal"/>
        <w:ind w:firstLine="225"/>
        <w:jc w:val="both"/>
        <w:rPr/>
      </w:pPr>
      <w:r>
        <w:rPr/>
      </w:r>
    </w:p>
    <w:p>
      <w:pPr>
        <w:pStyle w:val="Normal"/>
        <w:ind w:firstLine="270"/>
        <w:jc w:val="both"/>
        <w:rPr/>
      </w:pPr>
      <w:r>
        <w:rPr/>
        <w:t xml:space="preserve">Стальные и пластмассовые трубопроводы должны быть рассчитаны на воздействие внутреннего давления в соответствии с п. 8.23 и на совместное действие внешней приведенной нагрузки, атмосферного давления, а также на устойчивость круглой формы поперечного сечения труб. </w:t>
      </w:r>
    </w:p>
    <w:p>
      <w:pPr>
        <w:pStyle w:val="Normal"/>
        <w:ind w:firstLine="225"/>
        <w:jc w:val="both"/>
        <w:rPr/>
      </w:pPr>
      <w:r>
        <w:rPr/>
      </w:r>
    </w:p>
    <w:p>
      <w:pPr>
        <w:pStyle w:val="Normal"/>
        <w:ind w:firstLine="270"/>
        <w:jc w:val="both"/>
        <w:rPr/>
      </w:pPr>
      <w:r>
        <w:rPr/>
        <w:t>Укорочение вертикального диаметра стальных труб без внутренних защитных покрытий не должно превышать 3%, а для стальных труб с внутренними защитными покрытиями и пластмассовых труб должно приниматься по стандартам или техническим условиям на эти трубы.</w:t>
      </w:r>
    </w:p>
    <w:p>
      <w:pPr>
        <w:pStyle w:val="Normal"/>
        <w:ind w:firstLine="225"/>
        <w:jc w:val="both"/>
        <w:rPr/>
      </w:pPr>
      <w:r>
        <w:rPr/>
      </w:r>
    </w:p>
    <w:p>
      <w:pPr>
        <w:pStyle w:val="Normal"/>
        <w:ind w:firstLine="270"/>
        <w:jc w:val="both"/>
        <w:rPr/>
      </w:pPr>
      <w:r>
        <w:rPr/>
        <w:t>При определении величины вакуума следует учитывать действие предусмотренных на трубопроводе противовакуумных устройств.</w:t>
      </w:r>
    </w:p>
    <w:p>
      <w:pPr>
        <w:pStyle w:val="Normal"/>
        <w:ind w:firstLine="180"/>
        <w:jc w:val="both"/>
        <w:rPr/>
      </w:pPr>
      <w:r>
        <w:rPr/>
      </w:r>
    </w:p>
    <w:p>
      <w:pPr>
        <w:pStyle w:val="Normal"/>
        <w:ind w:firstLine="315"/>
        <w:jc w:val="both"/>
        <w:rPr/>
      </w:pPr>
      <w:r>
        <w:rPr/>
        <w:t>8.25. В качестве временных нагрузок надлежит принимать:</w:t>
      </w:r>
    </w:p>
    <w:p>
      <w:pPr>
        <w:pStyle w:val="Normal"/>
        <w:ind w:firstLine="225"/>
        <w:jc w:val="both"/>
        <w:rPr/>
      </w:pPr>
      <w:r>
        <w:rPr/>
      </w:r>
    </w:p>
    <w:p>
      <w:pPr>
        <w:pStyle w:val="Normal"/>
        <w:ind w:firstLine="270"/>
        <w:jc w:val="both"/>
        <w:rPr/>
      </w:pPr>
      <w:r>
        <w:rPr/>
        <w:t>для трубопроводов, укладываемых под железнодорожными путями, -  нагрузку, соответствующую классу данной железнодорожной линии;</w:t>
      </w:r>
    </w:p>
    <w:p>
      <w:pPr>
        <w:pStyle w:val="Normal"/>
        <w:ind w:firstLine="225"/>
        <w:jc w:val="both"/>
        <w:rPr/>
      </w:pPr>
      <w:r>
        <w:rPr/>
      </w:r>
    </w:p>
    <w:p>
      <w:pPr>
        <w:pStyle w:val="Normal"/>
        <w:ind w:firstLine="270"/>
        <w:jc w:val="both"/>
        <w:rPr/>
      </w:pPr>
      <w:r>
        <w:rPr/>
        <w:t>для трубопроводов, укладываемых под автомобильными дорогами, - от колонны автомобилей Н-30 или колесного транспорта НК-80 (по большему силовому воздействию на трубопровод);</w:t>
      </w:r>
    </w:p>
    <w:p>
      <w:pPr>
        <w:pStyle w:val="Normal"/>
        <w:ind w:firstLine="225"/>
        <w:jc w:val="both"/>
        <w:rPr/>
      </w:pPr>
      <w:r>
        <w:rPr/>
      </w:r>
    </w:p>
    <w:p>
      <w:pPr>
        <w:pStyle w:val="Normal"/>
        <w:ind w:firstLine="270"/>
        <w:jc w:val="both"/>
        <w:rPr/>
      </w:pPr>
      <w:r>
        <w:rPr/>
        <w:t>для трубопроводов, укладываемых в местах, где возможно движение автомобильного транспорта, - от колонны автомобилей Н-18 или гусеничного транспорта НГ-60 (по большему силовому воздействию на трубопровод);</w:t>
      </w:r>
    </w:p>
    <w:p>
      <w:pPr>
        <w:pStyle w:val="Normal"/>
        <w:ind w:firstLine="225"/>
        <w:jc w:val="both"/>
        <w:rPr/>
      </w:pPr>
      <w:r>
        <w:rPr/>
      </w:r>
    </w:p>
    <w:p>
      <w:pPr>
        <w:pStyle w:val="Normal"/>
        <w:ind w:firstLine="270"/>
        <w:jc w:val="both"/>
        <w:rPr/>
      </w:pPr>
      <w:r>
        <w:rPr/>
        <w:t>для трубопроводов, укладываемых в местах, где движение автомобильного транспорта невозможно,  - равномерно распределенную нагрузку 5 кПа (500 кгс/кв.м).</w:t>
      </w:r>
    </w:p>
    <w:p>
      <w:pPr>
        <w:pStyle w:val="Normal"/>
        <w:ind w:firstLine="225"/>
        <w:jc w:val="both"/>
        <w:rPr/>
      </w:pPr>
      <w:r>
        <w:rPr/>
      </w:r>
    </w:p>
    <w:p>
      <w:pPr>
        <w:pStyle w:val="Normal"/>
        <w:ind w:firstLine="270"/>
        <w:jc w:val="both"/>
        <w:rPr/>
      </w:pPr>
      <w:r>
        <w:rPr/>
        <w:t>8.26. При расчете трубопроводов на повышение давления при гидравлическом ударе (определенное с учетом противоударной арматуры или образования вакуума) внешнюю нагрузку следует принимать не более нагрузки от колонны автомобилей Н-18.</w:t>
      </w:r>
    </w:p>
    <w:p>
      <w:pPr>
        <w:pStyle w:val="Normal"/>
        <w:ind w:firstLine="225"/>
        <w:jc w:val="both"/>
        <w:rPr/>
      </w:pPr>
      <w:r>
        <w:rPr/>
      </w:r>
    </w:p>
    <w:p>
      <w:pPr>
        <w:pStyle w:val="Normal"/>
        <w:ind w:firstLine="270"/>
        <w:jc w:val="both"/>
        <w:rPr/>
      </w:pPr>
      <w:r>
        <w:rPr/>
        <w:t>8.27. Повышение давления при гидравлическом ударе надлежит определять расчетом и на его основании принимать меры защиты.</w:t>
      </w:r>
    </w:p>
    <w:p>
      <w:pPr>
        <w:pStyle w:val="Normal"/>
        <w:ind w:firstLine="270"/>
        <w:jc w:val="both"/>
        <w:rPr/>
      </w:pPr>
      <w:r>
        <w:rPr/>
      </w:r>
    </w:p>
    <w:p>
      <w:pPr>
        <w:pStyle w:val="Normal"/>
        <w:ind w:firstLine="225"/>
        <w:jc w:val="both"/>
        <w:rPr/>
      </w:pPr>
      <w:r>
        <w:rPr/>
        <w:t>Меры защиты систем водоснабжения от гидравлических ударов надлежит предусматривать для случаев:</w:t>
      </w:r>
    </w:p>
    <w:p>
      <w:pPr>
        <w:pStyle w:val="Normal"/>
        <w:ind w:firstLine="225"/>
        <w:jc w:val="both"/>
        <w:rPr/>
      </w:pPr>
      <w:r>
        <w:rPr/>
      </w:r>
    </w:p>
    <w:p>
      <w:pPr>
        <w:pStyle w:val="Normal"/>
        <w:ind w:firstLine="225"/>
        <w:jc w:val="both"/>
        <w:rPr/>
      </w:pPr>
      <w:r>
        <w:rPr/>
        <w:t>внезапного выключения всех или группы совместно работающих насосов вследствие нарушения электропитания;</w:t>
      </w:r>
    </w:p>
    <w:p>
      <w:pPr>
        <w:pStyle w:val="Normal"/>
        <w:ind w:firstLine="225"/>
        <w:jc w:val="both"/>
        <w:rPr/>
      </w:pPr>
      <w:r>
        <w:rPr/>
      </w:r>
    </w:p>
    <w:p>
      <w:pPr>
        <w:pStyle w:val="Normal"/>
        <w:ind w:firstLine="225"/>
        <w:jc w:val="both"/>
        <w:rPr/>
      </w:pPr>
      <w:r>
        <w:rPr/>
        <w:t>выключения одного из совместно работающих насосов до закрытия поворотного затвора (задвижки) на его напорной линии;</w:t>
      </w:r>
    </w:p>
    <w:p>
      <w:pPr>
        <w:pStyle w:val="Normal"/>
        <w:ind w:firstLine="225"/>
        <w:jc w:val="both"/>
        <w:rPr/>
      </w:pPr>
      <w:r>
        <w:rPr/>
      </w:r>
    </w:p>
    <w:p>
      <w:pPr>
        <w:pStyle w:val="Normal"/>
        <w:ind w:firstLine="225"/>
        <w:jc w:val="both"/>
        <w:rPr/>
      </w:pPr>
      <w:r>
        <w:rPr/>
        <w:t>пуска насоса при открытом поворотном затворе (задвижке) на напорной линии, оборудованной обратным клапаном;</w:t>
      </w:r>
    </w:p>
    <w:p>
      <w:pPr>
        <w:pStyle w:val="Normal"/>
        <w:ind w:firstLine="225"/>
        <w:jc w:val="both"/>
        <w:rPr/>
      </w:pPr>
      <w:r>
        <w:rPr/>
      </w:r>
    </w:p>
    <w:p>
      <w:pPr>
        <w:pStyle w:val="Normal"/>
        <w:ind w:firstLine="225"/>
        <w:jc w:val="both"/>
        <w:rPr/>
      </w:pPr>
      <w:r>
        <w:rPr/>
        <w:t>механизированного закрытия поворотного затвора (задвижки) при выключении водовода в целом или его отдельных участков;</w:t>
      </w:r>
    </w:p>
    <w:p>
      <w:pPr>
        <w:pStyle w:val="Normal"/>
        <w:ind w:firstLine="225"/>
        <w:jc w:val="both"/>
        <w:rPr/>
      </w:pPr>
      <w:r>
        <w:rPr/>
      </w:r>
    </w:p>
    <w:p>
      <w:pPr>
        <w:pStyle w:val="Normal"/>
        <w:ind w:firstLine="225"/>
        <w:jc w:val="both"/>
        <w:rPr/>
      </w:pPr>
      <w:r>
        <w:rPr/>
        <w:t>открытия или закрытия быстродействующей водоразборной арматуры.</w:t>
      </w:r>
    </w:p>
    <w:p>
      <w:pPr>
        <w:pStyle w:val="Normal"/>
        <w:ind w:firstLine="225"/>
        <w:jc w:val="both"/>
        <w:rPr/>
      </w:pPr>
      <w:r>
        <w:rPr/>
      </w:r>
    </w:p>
    <w:p>
      <w:pPr>
        <w:pStyle w:val="Normal"/>
        <w:ind w:firstLine="225"/>
        <w:jc w:val="both"/>
        <w:rPr/>
      </w:pPr>
      <w:r>
        <w:rPr/>
        <w:t>8.28. В качестве мер защиты от гидравлических ударов, вызываемых внезапным выключением или включением насосов, следует принимать:</w:t>
      </w:r>
    </w:p>
    <w:p>
      <w:pPr>
        <w:pStyle w:val="Normal"/>
        <w:ind w:firstLine="225"/>
        <w:jc w:val="both"/>
        <w:rPr/>
      </w:pPr>
      <w:r>
        <w:rPr/>
      </w:r>
    </w:p>
    <w:p>
      <w:pPr>
        <w:pStyle w:val="Normal"/>
        <w:ind w:firstLine="270"/>
        <w:jc w:val="both"/>
        <w:rPr/>
      </w:pPr>
      <w:r>
        <w:rPr/>
        <w:t>установку на водоводе клапанов для впуска и защемления воздуха;</w:t>
      </w:r>
    </w:p>
    <w:p>
      <w:pPr>
        <w:pStyle w:val="Normal"/>
        <w:ind w:firstLine="45"/>
        <w:jc w:val="both"/>
        <w:rPr/>
      </w:pPr>
      <w:r>
        <w:rPr/>
      </w:r>
    </w:p>
    <w:p>
      <w:pPr>
        <w:pStyle w:val="Normal"/>
        <w:ind w:firstLine="270"/>
        <w:jc w:val="both"/>
        <w:rPr/>
      </w:pPr>
      <w:r>
        <w:rPr/>
        <w:t>установку на напорных линиях насосов обратных клапанов с регулируемым открытием и закрытием;</w:t>
      </w:r>
    </w:p>
    <w:p>
      <w:pPr>
        <w:pStyle w:val="Normal"/>
        <w:ind w:firstLine="225"/>
        <w:jc w:val="both"/>
        <w:rPr/>
      </w:pPr>
      <w:r>
        <w:rPr/>
      </w:r>
    </w:p>
    <w:p>
      <w:pPr>
        <w:pStyle w:val="Normal"/>
        <w:ind w:firstLine="270"/>
        <w:jc w:val="both"/>
        <w:rPr/>
      </w:pPr>
      <w:r>
        <w:rPr/>
        <w:t>установку на водоводе обратных клапанов, расчленяющих водовод на отдельные участки с небольшим статическим напором на каждом из них;</w:t>
      </w:r>
    </w:p>
    <w:p>
      <w:pPr>
        <w:pStyle w:val="Normal"/>
        <w:ind w:firstLine="225"/>
        <w:jc w:val="both"/>
        <w:rPr/>
      </w:pPr>
      <w:r>
        <w:rPr/>
      </w:r>
    </w:p>
    <w:p>
      <w:pPr>
        <w:pStyle w:val="Normal"/>
        <w:ind w:firstLine="270"/>
        <w:jc w:val="both"/>
        <w:rPr/>
      </w:pPr>
      <w:r>
        <w:rPr/>
        <w:t>сброс воды через насосы в обратном направлении при их свободном вращении или полном торможении;</w:t>
      </w:r>
    </w:p>
    <w:p>
      <w:pPr>
        <w:pStyle w:val="Normal"/>
        <w:ind w:firstLine="270"/>
        <w:jc w:val="both"/>
        <w:rPr/>
      </w:pPr>
      <w:r>
        <w:rPr/>
      </w:r>
    </w:p>
    <w:p>
      <w:pPr>
        <w:pStyle w:val="Normal"/>
        <w:ind w:firstLine="225"/>
        <w:jc w:val="both"/>
        <w:rPr/>
      </w:pPr>
      <w:r>
        <w:rPr/>
        <w:t>установку в начале водовода (на напорной линии насоса) воздушно-водяных камер (колпаков), смягчающих процесс гидравлического удара.</w:t>
      </w:r>
    </w:p>
    <w:p>
      <w:pPr>
        <w:pStyle w:val="Normal"/>
        <w:ind w:firstLine="270"/>
        <w:jc w:val="both"/>
        <w:rPr/>
      </w:pPr>
      <w:r>
        <w:rPr/>
      </w:r>
    </w:p>
    <w:p>
      <w:pPr>
        <w:pStyle w:val="Normal"/>
        <w:ind w:firstLine="225"/>
        <w:jc w:val="both"/>
        <w:rPr/>
      </w:pPr>
      <w:r>
        <w:rPr/>
        <w:t>Примечание. Для защиты от гидравлического удара, допускается применять: установку предохранительных клапанов и клапанов-гасителей, сброс воды из напорной линии во всасывающую, впуск воды в местах возможного образования разрывов сплошности потока в водоводе, установку глухих диафрагм, разрушающихся при повышении давления сверх допустимого предела, устройство водонапорных колонн, использование насосных агрегатов с большей инерцией вращающихся масс.</w:t>
      </w:r>
    </w:p>
    <w:p>
      <w:pPr>
        <w:pStyle w:val="Normal"/>
        <w:ind w:firstLine="225"/>
        <w:jc w:val="both"/>
        <w:rPr/>
      </w:pPr>
      <w:r>
        <w:rPr/>
      </w:r>
    </w:p>
    <w:p>
      <w:pPr>
        <w:pStyle w:val="Normal"/>
        <w:ind w:firstLine="270"/>
        <w:jc w:val="both"/>
        <w:rPr/>
      </w:pPr>
      <w:r>
        <w:rPr/>
      </w:r>
    </w:p>
    <w:p>
      <w:pPr>
        <w:pStyle w:val="Normal"/>
        <w:ind w:firstLine="225"/>
        <w:jc w:val="both"/>
        <w:rPr/>
      </w:pPr>
      <w:r>
        <w:rPr/>
        <w:t>8.29. Защита трубопроводов от повышения давления, вызываемого закрытием поворотного затвора (задвижки), должна обеспечиваться увеличением времени этого закрытия. При недостаточном времени закрытия затвора с принятым типом привода следует принимать дополнительные меры защиты (установка предохранительных клапанов, воздушных колпаков, водонапорных колонн и др.).</w:t>
      </w:r>
    </w:p>
    <w:p>
      <w:pPr>
        <w:pStyle w:val="Normal"/>
        <w:ind w:firstLine="180"/>
        <w:jc w:val="both"/>
        <w:rPr/>
      </w:pPr>
      <w:r>
        <w:rPr/>
      </w:r>
    </w:p>
    <w:p>
      <w:pPr>
        <w:pStyle w:val="Normal"/>
        <w:ind w:firstLine="225"/>
        <w:jc w:val="both"/>
        <w:rPr/>
      </w:pPr>
      <w:r>
        <w:rPr/>
        <w:t>8.30. Водопроводные линии, как правило, надлежит принимать подземной прокладки. При теплотехническом и технико-экономическом обосновании допускаются наземная и надземная прокладки, прокладка в туннелях, а также прокладка водопроводных линий в туннелях совместно с другими подземными коммуникациями, за исключением трубопроводов, транспортирующих легковоспламеняющиеся и горючие жидкости и горючие газы. При прокладке линий противопожарных и объединенных с противопожарными водопроводов в туннелях, наземно или надземно пожарные гидранты должны устанавливаться в колодцах.</w:t>
      </w:r>
    </w:p>
    <w:p>
      <w:pPr>
        <w:pStyle w:val="Normal"/>
        <w:ind w:firstLine="225"/>
        <w:jc w:val="both"/>
        <w:rPr/>
      </w:pPr>
      <w:r>
        <w:rPr/>
      </w:r>
    </w:p>
    <w:p>
      <w:pPr>
        <w:pStyle w:val="Normal"/>
        <w:ind w:firstLine="225"/>
        <w:jc w:val="both"/>
        <w:rPr/>
      </w:pPr>
      <w:r>
        <w:rPr/>
        <w:t>При подземной прокладке запорная, регулирующая и предохранительная трубопроводная арматура должна устанавливаться в колодцах (камерах).</w:t>
      </w:r>
    </w:p>
    <w:p>
      <w:pPr>
        <w:pStyle w:val="Normal"/>
        <w:ind w:firstLine="225"/>
        <w:jc w:val="both"/>
        <w:rPr/>
      </w:pPr>
      <w:r>
        <w:rPr/>
      </w:r>
    </w:p>
    <w:p>
      <w:pPr>
        <w:pStyle w:val="Normal"/>
        <w:ind w:firstLine="225"/>
        <w:jc w:val="both"/>
        <w:rPr/>
      </w:pPr>
      <w:r>
        <w:rPr/>
        <w:t>Бесколодезная установка запорной арматуры допускается при обосновании.</w:t>
      </w:r>
    </w:p>
    <w:p>
      <w:pPr>
        <w:pStyle w:val="Normal"/>
        <w:ind w:firstLine="225"/>
        <w:jc w:val="both"/>
        <w:rPr/>
      </w:pPr>
      <w:r>
        <w:rPr/>
      </w:r>
    </w:p>
    <w:p>
      <w:pPr>
        <w:pStyle w:val="Normal"/>
        <w:ind w:firstLine="225"/>
        <w:jc w:val="both"/>
        <w:rPr/>
      </w:pPr>
      <w:r>
        <w:rPr/>
        <w:t>8.31. Тип основания под трубы необходимо принимать в зависимости от несущей способности грунтов и величины нагрузок.</w:t>
      </w:r>
    </w:p>
    <w:p>
      <w:pPr>
        <w:pStyle w:val="Normal"/>
        <w:ind w:firstLine="270"/>
        <w:jc w:val="both"/>
        <w:rPr/>
      </w:pPr>
      <w:r>
        <w:rPr/>
      </w:r>
    </w:p>
    <w:p>
      <w:pPr>
        <w:pStyle w:val="Normal"/>
        <w:ind w:firstLine="225"/>
        <w:jc w:val="both"/>
        <w:rPr/>
      </w:pPr>
      <w:r>
        <w:rPr/>
        <w:t>Во всех грунтах, за исключением скальных, заторфованных и илов, трубы следует укладывать на естественный грунт ненарушенной структуры, обеспечивая при этом выравнивание, а в необходимых случаях профилирование основания.</w:t>
      </w:r>
    </w:p>
    <w:p>
      <w:pPr>
        <w:pStyle w:val="Normal"/>
        <w:ind w:firstLine="225"/>
        <w:jc w:val="both"/>
        <w:rPr/>
      </w:pPr>
      <w:r>
        <w:rPr/>
      </w:r>
    </w:p>
    <w:p>
      <w:pPr>
        <w:pStyle w:val="Normal"/>
        <w:ind w:firstLine="270"/>
        <w:jc w:val="both"/>
        <w:rPr/>
      </w:pPr>
      <w:r>
        <w:rPr/>
        <w:t>Для скальных грунтов следует предусматривать выравнивание основания слоем песчаного грунта толщиной 10 см над выступами. Допускается использование для этих целей местного грунта (супесей и суглинков) при условии уплотнения его до объемного веса скелета грунта 1,5 т/куб.м.</w:t>
      </w:r>
    </w:p>
    <w:p>
      <w:pPr>
        <w:pStyle w:val="Normal"/>
        <w:ind w:firstLine="225"/>
        <w:jc w:val="both"/>
        <w:rPr/>
      </w:pPr>
      <w:r>
        <w:rPr/>
      </w:r>
    </w:p>
    <w:p>
      <w:pPr>
        <w:pStyle w:val="Normal"/>
        <w:ind w:firstLine="270"/>
        <w:jc w:val="both"/>
        <w:rPr/>
      </w:pPr>
      <w:r>
        <w:rPr/>
        <w:t>При прокладке трубопроводов в мокрых связных грунтах (суглинок, глины) необходимость устройства песчаной подготовки устанавливается проектом производства работ в зависимости от предусматриваемых мер по водопонижению, а также от типа и конструкции труб.</w:t>
      </w:r>
    </w:p>
    <w:p>
      <w:pPr>
        <w:pStyle w:val="Normal"/>
        <w:ind w:firstLine="225"/>
        <w:jc w:val="both"/>
        <w:rPr/>
      </w:pPr>
      <w:r>
        <w:rPr/>
      </w:r>
    </w:p>
    <w:p>
      <w:pPr>
        <w:pStyle w:val="Normal"/>
        <w:ind w:firstLine="270"/>
        <w:jc w:val="both"/>
        <w:rPr/>
      </w:pPr>
      <w:r>
        <w:rPr/>
        <w:t>В илах, заторфованных и других слабых водонасыщенных грунтах трубы необходимо укладывать на искусственное основание.</w:t>
      </w:r>
    </w:p>
    <w:p>
      <w:pPr>
        <w:pStyle w:val="Normal"/>
        <w:ind w:firstLine="270"/>
        <w:jc w:val="both"/>
        <w:rPr/>
      </w:pPr>
      <w:r>
        <w:rPr/>
      </w:r>
    </w:p>
    <w:p>
      <w:pPr>
        <w:pStyle w:val="Normal"/>
        <w:ind w:firstLine="225"/>
        <w:jc w:val="both"/>
        <w:rPr/>
      </w:pPr>
      <w:r>
        <w:rPr/>
        <w:t>8.32. В случаях применения стальных труб должна предусматриваться защита их внешней и внутренней поверхности от коррозии. При этом надлежит применять материалы, указанные в п. 1.3.</w:t>
      </w:r>
    </w:p>
    <w:p>
      <w:pPr>
        <w:pStyle w:val="Normal"/>
        <w:ind w:firstLine="225"/>
        <w:jc w:val="both"/>
        <w:rPr/>
      </w:pPr>
      <w:r>
        <w:rPr/>
      </w:r>
    </w:p>
    <w:p>
      <w:pPr>
        <w:pStyle w:val="Normal"/>
        <w:ind w:firstLine="225"/>
        <w:jc w:val="both"/>
        <w:rPr/>
      </w:pPr>
      <w:r>
        <w:rPr/>
        <w:t>8.33. Выбор методов защиты внешней поверхности стальных труб от коррозии должен быть обоснован данными о коррозионных свойствах грунта, а также данными о возможности коррозии, вызываемой блуждающими токами.</w:t>
      </w:r>
    </w:p>
    <w:p>
      <w:pPr>
        <w:pStyle w:val="Normal"/>
        <w:ind w:firstLine="225"/>
        <w:jc w:val="both"/>
        <w:rPr/>
      </w:pPr>
      <w:r>
        <w:rPr/>
      </w:r>
    </w:p>
    <w:p>
      <w:pPr>
        <w:pStyle w:val="Normal"/>
        <w:ind w:firstLine="270"/>
        <w:jc w:val="both"/>
        <w:rPr/>
      </w:pPr>
      <w:r>
        <w:rPr/>
        <w:t>8.34*. В целях исключения коррозии и зарастания стальных водоводов и водопроводной сети диаметром 300 мм и более должна предусматриваться защита внутренней поверхности таких трубопроводов покрытиями: песчано-цементным, лакокрасочным, цинковым и др.</w:t>
      </w:r>
    </w:p>
    <w:p>
      <w:pPr>
        <w:pStyle w:val="Normal"/>
        <w:ind w:firstLine="270"/>
        <w:jc w:val="both"/>
        <w:rPr/>
      </w:pPr>
      <w:r>
        <w:rPr/>
      </w:r>
    </w:p>
    <w:p>
      <w:pPr>
        <w:pStyle w:val="Normal"/>
        <w:ind w:firstLine="270"/>
        <w:jc w:val="both"/>
        <w:rPr/>
      </w:pPr>
      <w:r>
        <w:rPr/>
        <w:t>Примечание. Вместо покрытий допускается применение стабилизационной обработки воды или обработки ее ингибиторами согласно рекомендуемому приложению 5 в тех случаях, когда технико-экономическими расчетами с учетом качества, расхода и назначения воды подтверждается целесообразность такой защиты трубопроводов от коррозии.</w:t>
      </w:r>
    </w:p>
    <w:p>
      <w:pPr>
        <w:pStyle w:val="Normal"/>
        <w:ind w:firstLine="270"/>
        <w:jc w:val="both"/>
        <w:rPr/>
      </w:pPr>
      <w:r>
        <w:rPr/>
      </w:r>
    </w:p>
    <w:p>
      <w:pPr>
        <w:pStyle w:val="Normal"/>
        <w:ind w:firstLine="225"/>
        <w:jc w:val="both"/>
        <w:rPr/>
      </w:pPr>
      <w:r>
        <w:rPr/>
        <w:t xml:space="preserve">Пункт 8.35 исключен. </w:t>
      </w:r>
    </w:p>
    <w:p>
      <w:pPr>
        <w:pStyle w:val="Normal"/>
        <w:ind w:firstLine="225"/>
        <w:jc w:val="both"/>
        <w:rPr/>
      </w:pPr>
      <w:r>
        <w:rPr/>
      </w:r>
    </w:p>
    <w:p>
      <w:pPr>
        <w:pStyle w:val="Normal"/>
        <w:ind w:firstLine="270"/>
        <w:jc w:val="both"/>
        <w:rPr/>
      </w:pPr>
      <w:r>
        <w:rPr/>
        <w:t xml:space="preserve">8.36. Защиту от коррозии бетона цементно-песчаных покрытий труб со стальным сердечником от воздействия сульфат-ионов следует предусматривать изоляционными покрытиями согласно </w:t>
      </w:r>
      <w:r>
        <w:rPr>
          <w:vanish/>
        </w:rPr>
        <w:t>#M12291 871001005</w:t>
      </w:r>
      <w:r>
        <w:rPr/>
        <w:t>СНиП 2.03.11-85</w:t>
      </w:r>
      <w:r>
        <w:rPr>
          <w:vanish/>
        </w:rPr>
        <w:t>#S</w:t>
      </w:r>
      <w:r>
        <w:rPr/>
        <w:t>.</w:t>
      </w:r>
    </w:p>
    <w:p>
      <w:pPr>
        <w:pStyle w:val="Normal"/>
        <w:ind w:firstLine="270"/>
        <w:jc w:val="both"/>
        <w:rPr/>
      </w:pPr>
      <w:r>
        <w:rPr/>
      </w:r>
    </w:p>
    <w:p>
      <w:pPr>
        <w:pStyle w:val="Normal"/>
        <w:ind w:firstLine="225"/>
        <w:jc w:val="both"/>
        <w:rPr/>
      </w:pPr>
      <w:r>
        <w:rPr/>
        <w:t>8.37. Защиту труб со стальным сердечником от коррозии, вызываемой блуждающими токами, следует предусматривать в соответствии с требованиями Инструкции по защите железобетонных конструкций от коррозии, вызываемой блуждающими токами.</w:t>
      </w:r>
    </w:p>
    <w:p>
      <w:pPr>
        <w:pStyle w:val="Normal"/>
        <w:ind w:firstLine="180"/>
        <w:jc w:val="both"/>
        <w:rPr/>
      </w:pPr>
      <w:r>
        <w:rPr/>
      </w:r>
    </w:p>
    <w:p>
      <w:pPr>
        <w:pStyle w:val="Normal"/>
        <w:ind w:firstLine="315"/>
        <w:jc w:val="both"/>
        <w:rPr/>
      </w:pPr>
      <w:r>
        <w:rPr/>
        <w:t>8.38. Для труб со стальным сердечником, имеющих наружный слой бетона плотностью ниже нормальной с допустимой шириной раскрытия трещин при расчетных нагрузках 0,2 мм, необходимо предусматривать электрохимическую защиту трубопроводов катодной поляризацией при концентрации хлор-ионов в грунте более 150 мг/л; при нормальной плотности бетона и допустимой ширине раскрытия трещин 0,1 мм - более 300 мг/л.</w:t>
      </w:r>
    </w:p>
    <w:p>
      <w:pPr>
        <w:pStyle w:val="Normal"/>
        <w:ind w:firstLine="225"/>
        <w:jc w:val="both"/>
        <w:rPr/>
      </w:pPr>
      <w:r>
        <w:rPr/>
      </w:r>
    </w:p>
    <w:p>
      <w:pPr>
        <w:pStyle w:val="Normal"/>
        <w:ind w:firstLine="270"/>
        <w:jc w:val="both"/>
        <w:rPr/>
      </w:pPr>
      <w:r>
        <w:rPr/>
        <w:t>8.39. При проектировании трубопроводов из стальных и железобетонных труб всех видов необходимо предусматривать мероприятия, обеспечивающие непрерывную электрическую проводимость этих труб для возможности устройства электрохимической защиты от коррозии.</w:t>
      </w:r>
    </w:p>
    <w:p>
      <w:pPr>
        <w:pStyle w:val="Normal"/>
        <w:ind w:firstLine="225"/>
        <w:jc w:val="both"/>
        <w:rPr/>
      </w:pPr>
      <w:r>
        <w:rPr/>
      </w:r>
    </w:p>
    <w:p>
      <w:pPr>
        <w:pStyle w:val="Normal"/>
        <w:ind w:firstLine="270"/>
        <w:jc w:val="both"/>
        <w:rPr/>
      </w:pPr>
      <w:r>
        <w:rPr/>
        <w:t>8.40. Катодную поляризацию труб со стальным сердечником надлежит проектировать так, чтобы создаваемые на поверхности металла защитные поляризационные потенциалы, измеренные в специально устраиваемых контрольно-измерительных пунктах, были не ниже 0,85 В и не выше 1,2 В по медно-сульфатному электроду сравнения.</w:t>
      </w:r>
    </w:p>
    <w:p>
      <w:pPr>
        <w:pStyle w:val="Normal"/>
        <w:ind w:firstLine="270"/>
        <w:jc w:val="both"/>
        <w:rPr/>
      </w:pPr>
      <w:r>
        <w:rPr/>
      </w:r>
    </w:p>
    <w:p>
      <w:pPr>
        <w:pStyle w:val="Normal"/>
        <w:ind w:firstLine="225"/>
        <w:jc w:val="both"/>
        <w:rPr/>
      </w:pPr>
      <w:r>
        <w:rPr/>
        <w:t>8.41. При электрохимической защите труб со стальным сердечником с помощью протекторов величину поляризационного потенциала следует определять по отношению к медно-сульфатному электроду сравнения, установленному на поверхности трубы, а при защите с помощью катодных станций -  по отношению к медно-сульфатному электроду сравнения, расположенному в грунте.</w:t>
      </w:r>
    </w:p>
    <w:p>
      <w:pPr>
        <w:pStyle w:val="Normal"/>
        <w:ind w:firstLine="225"/>
        <w:jc w:val="both"/>
        <w:rPr/>
      </w:pPr>
      <w:r>
        <w:rPr/>
      </w:r>
    </w:p>
    <w:p>
      <w:pPr>
        <w:pStyle w:val="Normal"/>
        <w:ind w:firstLine="270"/>
        <w:jc w:val="both"/>
        <w:rPr/>
      </w:pPr>
      <w:r>
        <w:rPr/>
        <w:t>8.42. Глубина заложения труб, считая до низа, должна быть на 0,5 м больше расчетной глубины проникания в грунт нулевой температуры.</w:t>
      </w:r>
    </w:p>
    <w:p>
      <w:pPr>
        <w:pStyle w:val="Normal"/>
        <w:ind w:firstLine="225"/>
        <w:jc w:val="both"/>
        <w:rPr/>
      </w:pPr>
      <w:r>
        <w:rPr/>
      </w:r>
    </w:p>
    <w:p>
      <w:pPr>
        <w:pStyle w:val="Normal"/>
        <w:ind w:firstLine="270"/>
        <w:jc w:val="both"/>
        <w:rPr/>
      </w:pPr>
      <w:r>
        <w:rPr/>
        <w:t>При прокладке трубопроводов в зоне отрицательных температур материал труб и элементов стыковых соединений должен удовлетворять требованиям морозоустойчивости.</w:t>
      </w:r>
    </w:p>
    <w:p>
      <w:pPr>
        <w:pStyle w:val="Normal"/>
        <w:ind w:firstLine="270"/>
        <w:jc w:val="both"/>
        <w:rPr/>
      </w:pPr>
      <w:r>
        <w:rPr/>
      </w:r>
    </w:p>
    <w:p>
      <w:pPr>
        <w:pStyle w:val="Normal"/>
        <w:ind w:firstLine="270"/>
        <w:jc w:val="both"/>
        <w:rPr/>
      </w:pPr>
      <w:r>
        <w:rPr/>
        <w:t>Примечание. Меньшую глубину заложения труб допускается принимать при условии принятия мер, исключающих: замерзание арматуры, устанавливаемой на трубопроводе;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образование в трубопроводе ледяных пробок при перерывах подачи воды, связанных с повреждением трубопроводов.</w:t>
      </w:r>
    </w:p>
    <w:p>
      <w:pPr>
        <w:pStyle w:val="Normal"/>
        <w:ind w:firstLine="270"/>
        <w:jc w:val="both"/>
        <w:rPr/>
      </w:pPr>
      <w:r>
        <w:rPr/>
      </w:r>
    </w:p>
    <w:p>
      <w:pPr>
        <w:pStyle w:val="Normal"/>
        <w:ind w:firstLine="270"/>
        <w:jc w:val="both"/>
        <w:rPr/>
      </w:pPr>
      <w:r>
        <w:rPr/>
        <w:t>8.43. Расчетную глубину проникания в грунт нулевой температуры следует устанавливать на основании наблюдений за фактической глубиной промерзания в расчетную холодную и малоснежную зиму и опыта эксплуатации трубопроводов в данном районе с учетом возможного изменения ранее наблюдавшейся глубины промерзания в результате намечаемых изменений в состоянии территории (удаление снежного покрова, устройство усовершенствованных дорожных покрытий и т.п.).</w:t>
      </w:r>
    </w:p>
    <w:p>
      <w:pPr>
        <w:pStyle w:val="Normal"/>
        <w:ind w:firstLine="225"/>
        <w:jc w:val="both"/>
        <w:rPr/>
      </w:pPr>
      <w:r>
        <w:rPr/>
      </w:r>
    </w:p>
    <w:p>
      <w:pPr>
        <w:pStyle w:val="Normal"/>
        <w:ind w:firstLine="270"/>
        <w:jc w:val="both"/>
        <w:rPr/>
      </w:pPr>
      <w:r>
        <w:rPr/>
        <w:t>При отсутствии данных наблюдений глубину проникания в грунт нулевой температуры и возможное ее изменение в связи с предполагаемыми изменениями в благоустройстве территории следует определять теплотехническими расчетами.</w:t>
      </w:r>
    </w:p>
    <w:p>
      <w:pPr>
        <w:pStyle w:val="Normal"/>
        <w:ind w:firstLine="225"/>
        <w:jc w:val="both"/>
        <w:rPr/>
      </w:pPr>
      <w:r>
        <w:rPr/>
      </w:r>
    </w:p>
    <w:p>
      <w:pPr>
        <w:pStyle w:val="Normal"/>
        <w:ind w:firstLine="270"/>
        <w:jc w:val="both"/>
        <w:rPr/>
      </w:pPr>
      <w:r>
        <w:rPr/>
        <w:t>8.44. Для предупреждения нагревания воды в летнее время глубину заложения трубопроводов хозяйственно-питьевых водопроводов надлежит, как правило, принимать не менее 0,5 м, считая до верха труб. Допускается принимать меньшую глубину заложения водоводов или участков водопроводной сети при условии обоснования теплотехническими расчетами.</w:t>
      </w:r>
    </w:p>
    <w:p>
      <w:pPr>
        <w:pStyle w:val="Normal"/>
        <w:ind w:firstLine="225"/>
        <w:jc w:val="both"/>
        <w:rPr/>
      </w:pPr>
      <w:r>
        <w:rPr/>
      </w:r>
    </w:p>
    <w:p>
      <w:pPr>
        <w:pStyle w:val="Normal"/>
        <w:ind w:firstLine="270"/>
        <w:jc w:val="both"/>
        <w:rPr/>
      </w:pPr>
      <w:r>
        <w:rPr/>
        <w:t>8.45. При определении глубины заложения водоводов и водопроводных сетей при подземной прокладке следует учитывать внешние нагрузки от транспорта и условия пересечения с другими подземными сооружениями и коммуникациями.</w:t>
      </w:r>
    </w:p>
    <w:p>
      <w:pPr>
        <w:pStyle w:val="Normal"/>
        <w:ind w:firstLine="270"/>
        <w:jc w:val="both"/>
        <w:rPr/>
      </w:pPr>
      <w:r>
        <w:rPr/>
      </w:r>
    </w:p>
    <w:p>
      <w:pPr>
        <w:pStyle w:val="Normal"/>
        <w:ind w:firstLine="225"/>
        <w:jc w:val="both"/>
        <w:rPr/>
      </w:pPr>
      <w:r>
        <w:rPr/>
        <w:t>8.46. Выбор диаметров труб водоводов и водопроводных сетей надлежит производить на основании технико-экономических расчетов, учитывая при этом условия их работы при аварийном выключении отдельных участков.</w:t>
      </w:r>
    </w:p>
    <w:p>
      <w:pPr>
        <w:pStyle w:val="Normal"/>
        <w:ind w:firstLine="225"/>
        <w:jc w:val="both"/>
        <w:rPr/>
      </w:pPr>
      <w:r>
        <w:rPr/>
      </w:r>
    </w:p>
    <w:p>
      <w:pPr>
        <w:pStyle w:val="Normal"/>
        <w:ind w:firstLine="270"/>
        <w:jc w:val="both"/>
        <w:rPr/>
      </w:pPr>
      <w:r>
        <w:rPr/>
        <w:t>Диаметр труб водопровода, объединенного с противопожарным, в населенных пунктах и на промышленных предприятиях должен быть не менее 100 мм, в сельских населенных пунктах - не менее 75 мм.</w:t>
      </w:r>
    </w:p>
    <w:p>
      <w:pPr>
        <w:pStyle w:val="Normal"/>
        <w:ind w:firstLine="225"/>
        <w:jc w:val="both"/>
        <w:rPr/>
      </w:pPr>
      <w:r>
        <w:rPr/>
      </w:r>
    </w:p>
    <w:p>
      <w:pPr>
        <w:pStyle w:val="Normal"/>
        <w:ind w:firstLine="270"/>
        <w:jc w:val="both"/>
        <w:rPr/>
      </w:pPr>
      <w:r>
        <w:rPr/>
        <w:t>8.47. Величину гидравлического уклона для определения потерь напора в трубопроводах при транспортировании воды, не имеющей резко выраженных коррозионных свойств и не содержащей взвешенных примесей, отложение которых может приводить к интенсивному зарастанию труб, следует принимать согласно обязательному прил. 10.</w:t>
      </w:r>
    </w:p>
    <w:p>
      <w:pPr>
        <w:pStyle w:val="Normal"/>
        <w:ind w:firstLine="225"/>
        <w:jc w:val="both"/>
        <w:rPr/>
      </w:pPr>
      <w:r>
        <w:rPr/>
      </w:r>
    </w:p>
    <w:p>
      <w:pPr>
        <w:pStyle w:val="Normal"/>
        <w:ind w:firstLine="270"/>
        <w:jc w:val="both"/>
        <w:rPr/>
      </w:pPr>
      <w:r>
        <w:rPr/>
        <w:t>8.48. Для существующих сетей и водоводов при необходимости следует предусматривать мероприятия по восстановлению и сохранению пропускной способности путем очистки внутренней поверхности стальных труб и нанесения антикоррозионного защитного покрытия; в исключительных случаях по согласованию с госстроями союзных республик при технико-экономическом обосновании допускается принимать фактические потери напора.</w:t>
      </w:r>
    </w:p>
    <w:p>
      <w:pPr>
        <w:pStyle w:val="Normal"/>
        <w:ind w:firstLine="225"/>
        <w:jc w:val="both"/>
        <w:rPr/>
      </w:pPr>
      <w:r>
        <w:rPr/>
      </w:r>
    </w:p>
    <w:p>
      <w:pPr>
        <w:pStyle w:val="Normal"/>
        <w:ind w:firstLine="270"/>
        <w:jc w:val="both"/>
        <w:rPr/>
      </w:pPr>
      <w:r>
        <w:rPr/>
        <w:t>8.49. При проектировании новых и реконструкции существующих систем водоснабжения следует предусматривать приспособления и устройства для систематического определения гидравлического сопротивления трубопроводов на контрольных участках водоводов и сети.</w:t>
      </w:r>
    </w:p>
    <w:p>
      <w:pPr>
        <w:pStyle w:val="Normal"/>
        <w:ind w:firstLine="270"/>
        <w:jc w:val="both"/>
        <w:rPr/>
      </w:pPr>
      <w:r>
        <w:rPr/>
      </w:r>
    </w:p>
    <w:p>
      <w:pPr>
        <w:pStyle w:val="Normal"/>
        <w:ind w:firstLine="225"/>
        <w:jc w:val="both"/>
        <w:rPr/>
      </w:pPr>
      <w:r>
        <w:rPr/>
        <w:t xml:space="preserve">8.50. Расположение линий водопровода на генеральных планах, а также минимальные расстояния в плане и при пересечениях от наружной поверхности труб до сооружений и инженерных сетей должны приниматься согласно </w:t>
      </w:r>
      <w:r>
        <w:rPr>
          <w:vanish/>
        </w:rPr>
        <w:t>#M12291 5200094</w:t>
      </w:r>
      <w:r>
        <w:rPr/>
        <w:t>СНиП II-89-80*</w:t>
      </w:r>
      <w:r>
        <w:rPr>
          <w:vanish/>
        </w:rPr>
        <w:t>#S</w:t>
      </w:r>
      <w:r>
        <w:rPr/>
        <w:t>.</w:t>
      </w:r>
    </w:p>
    <w:p>
      <w:pPr>
        <w:pStyle w:val="Normal"/>
        <w:ind w:firstLine="225"/>
        <w:jc w:val="both"/>
        <w:rPr/>
      </w:pPr>
      <w:r>
        <w:rPr/>
      </w:r>
    </w:p>
    <w:p>
      <w:pPr>
        <w:pStyle w:val="Normal"/>
        <w:ind w:firstLine="270"/>
        <w:jc w:val="both"/>
        <w:rPr/>
      </w:pPr>
      <w:r>
        <w:rPr/>
        <w:t>8.51. При параллельной прокладке нескольких линий водоводов (заново или дополнительно к существующим) расстояние в плане между наружными поверхностями труб следует устанавливать с учетом производства и организации работ и необходимости защиты от повреждений смежных водоводов при аварии на одном из них:</w:t>
      </w:r>
    </w:p>
    <w:p>
      <w:pPr>
        <w:pStyle w:val="Normal"/>
        <w:ind w:firstLine="225"/>
        <w:jc w:val="both"/>
        <w:rPr/>
      </w:pPr>
      <w:r>
        <w:rPr/>
      </w:r>
    </w:p>
    <w:p>
      <w:pPr>
        <w:pStyle w:val="Normal"/>
        <w:ind w:firstLine="270"/>
        <w:jc w:val="both"/>
        <w:rPr/>
      </w:pPr>
      <w:r>
        <w:rPr/>
        <w:t>при допускаемом снижении подачи воды потребителям, предусмотренном п. 8.2, - по табл. 35 в зависимости от материала труб, внутреннего давления и геологических условий;</w:t>
      </w:r>
    </w:p>
    <w:p>
      <w:pPr>
        <w:pStyle w:val="Normal"/>
        <w:ind w:firstLine="270"/>
        <w:jc w:val="both"/>
        <w:rPr/>
      </w:pPr>
      <w:r>
        <w:rPr/>
      </w:r>
    </w:p>
    <w:p>
      <w:pPr>
        <w:pStyle w:val="Normal"/>
        <w:ind w:firstLine="225"/>
        <w:jc w:val="both"/>
        <w:rPr/>
      </w:pPr>
      <w:r>
        <w:rPr/>
        <w:t>при наличии в конце водоводов запасной емкости, допускающей перерывы в подаче воды, объем которой отвечает требованиям п. 9.6, - по табл. 35 как для труб, укладываемых в скальных грунтах.</w:t>
      </w:r>
    </w:p>
    <w:p>
      <w:pPr>
        <w:pStyle w:val="Normal"/>
        <w:ind w:firstLine="225"/>
        <w:jc w:val="both"/>
        <w:rPr/>
      </w:pPr>
      <w:r>
        <w:rPr/>
      </w:r>
    </w:p>
    <w:p>
      <w:pPr>
        <w:pStyle w:val="Normal"/>
        <w:ind w:firstLine="270"/>
        <w:jc w:val="both"/>
        <w:rPr/>
      </w:pPr>
      <w:r>
        <w:rPr/>
        <w:t>На отдельных участках трассы водоводов, в том числе на участках прокладки водоводов по застроенной территории и на территории промышленных предприятий, приведенные в табл. 35 расстояния допускается уменьшать при условии укладки труб на искусственное основание, в туннеле, футляре или при применении других способов прокладки, исключающих возможность повреждения соседних водоводов при аварии на одном из них. При этом расстояния между водоводами должны обеспечивать возможность производства работ как при прокладке, так и при последующих ремонтах.</w:t>
      </w:r>
    </w:p>
    <w:p>
      <w:pPr>
        <w:pStyle w:val="Normal"/>
        <w:ind w:firstLine="225"/>
        <w:jc w:val="both"/>
        <w:rPr/>
      </w:pPr>
      <w:r>
        <w:rPr/>
      </w:r>
    </w:p>
    <w:p>
      <w:pPr>
        <w:pStyle w:val="Normal"/>
        <w:ind w:firstLine="270"/>
        <w:jc w:val="both"/>
        <w:rPr/>
      </w:pPr>
      <w:r>
        <w:rPr/>
        <w:t>8.52. При прокладке водопроводных линий в туннелях расстояния от стенки трубы до внутренней поверхности ограждающих конструкций и стенок других трубопроводов надлежит принимать не менее 0,2 м; при установке на трубопроводе арматуры расстояния до ограждающих конструкций следует принимать согласно п. 8.63.</w:t>
      </w:r>
    </w:p>
    <w:p>
      <w:pPr>
        <w:pStyle w:val="Normal"/>
        <w:ind w:firstLine="225"/>
        <w:jc w:val="both"/>
        <w:rPr/>
      </w:pPr>
      <w:r>
        <w:rPr/>
      </w:r>
    </w:p>
    <w:p>
      <w:pPr>
        <w:pStyle w:val="Normal"/>
        <w:ind w:firstLine="270"/>
        <w:jc w:val="both"/>
        <w:rPr/>
      </w:pPr>
      <w:r>
        <w:rPr/>
        <w:t>8.53. Переходы трубопроводов под железными дорогами I, II и III категорий, общей сети, а также под автомобильными дорогами I и II категорий надлежит принимать в футлярах, при этом, как правило, следует предусматривать закрытый способ производства работ. При обосновании допускается предусматривать прокладку трубопроводов в тоннелях.</w:t>
      </w:r>
    </w:p>
    <w:p>
      <w:pPr>
        <w:pStyle w:val="Normal"/>
        <w:ind w:firstLine="225"/>
        <w:jc w:val="both"/>
        <w:rPr/>
      </w:pPr>
      <w:r>
        <w:rPr/>
      </w:r>
    </w:p>
    <w:p>
      <w:pPr>
        <w:pStyle w:val="Normal"/>
        <w:ind w:firstLine="270"/>
        <w:jc w:val="both"/>
        <w:rPr/>
      </w:pPr>
      <w:r>
        <w:rPr/>
        <w:t xml:space="preserve">Под остальными железнодорожными путями и автодорогами допускается устройство переходов трубопроводов без футляров, при этом, как правило, должны применяться стальные трубы и открытый способ производства работ.      </w:t>
      </w:r>
    </w:p>
    <w:p>
      <w:pPr>
        <w:pStyle w:val="Normal"/>
        <w:ind w:firstLine="225"/>
        <w:jc w:val="both"/>
        <w:rPr/>
      </w:pPr>
      <w:r>
        <w:rPr/>
      </w:r>
    </w:p>
    <w:p>
      <w:pPr>
        <w:pStyle w:val="Normal"/>
        <w:ind w:firstLine="405"/>
        <w:jc w:val="both"/>
        <w:rPr/>
      </w:pPr>
      <w:r>
        <w:rPr/>
        <w:t>Примечания: 1. Прокладка трубопроводов по железнодорожным мостам и путепроводам, пешеходным мостам над путями, в железнодорожных, автодорожных и пешеходных тоннелях, а также в водопропускных трубах не допускается.</w:t>
      </w:r>
    </w:p>
    <w:p>
      <w:pPr>
        <w:pStyle w:val="Normal"/>
        <w:ind w:firstLine="405"/>
        <w:jc w:val="both"/>
        <w:rPr/>
      </w:pPr>
      <w:r>
        <w:rPr/>
      </w:r>
    </w:p>
    <w:p>
      <w:pPr>
        <w:pStyle w:val="Normal"/>
        <w:ind w:firstLine="270"/>
        <w:jc w:val="both"/>
        <w:rPr/>
      </w:pPr>
      <w:r>
        <w:rPr/>
        <w:t>2. Футляры и тоннели под железными дорогами при открытом способе производства работ следует проектировать согласно СНиП 2.05.03-84*.</w:t>
      </w:r>
    </w:p>
    <w:p>
      <w:pPr>
        <w:pStyle w:val="Normal"/>
        <w:jc w:val="end"/>
        <w:rPr/>
      </w:pPr>
      <w:r>
        <w:rPr/>
        <w:t>Таблица 35</w:t>
      </w:r>
    </w:p>
    <w:p>
      <w:pPr>
        <w:pStyle w:val="Normal"/>
        <w:jc w:val="end"/>
        <w:rPr/>
      </w:pPr>
      <w:r>
        <w:rPr/>
      </w:r>
    </w:p>
    <w:p>
      <w:pPr>
        <w:pStyle w:val="Normal"/>
        <w:jc w:val="end"/>
        <w:rPr/>
      </w:pPr>
      <w:r>
        <w:rPr/>
      </w:r>
    </w:p>
    <w:tbl>
      <w:tblPr>
        <w:tblW w:w="10610"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1860"/>
        <w:gridCol w:w="1755"/>
        <w:gridCol w:w="1050"/>
        <w:gridCol w:w="15"/>
        <w:gridCol w:w="1065"/>
        <w:gridCol w:w="15"/>
        <w:gridCol w:w="1155"/>
        <w:gridCol w:w="1305"/>
        <w:gridCol w:w="15"/>
        <w:gridCol w:w="1140"/>
        <w:gridCol w:w="1235"/>
      </w:tblGrid>
      <w:tr>
        <w:trPr/>
        <w:tc>
          <w:tcPr>
            <w:tcW w:w="1860" w:type="dxa"/>
            <w:tcBorders>
              <w:top w:val="single" w:sz="2" w:space="0" w:color="000000"/>
              <w:start w:val="single" w:sz="2" w:space="0" w:color="000000"/>
            </w:tcBorders>
            <w:shd w:fill="auto" w:val="clear"/>
            <w:tcMar>
              <w:start w:w="102" w:type="dxa"/>
            </w:tcMar>
          </w:tcPr>
          <w:p>
            <w:pPr>
              <w:pStyle w:val="Normal"/>
              <w:rPr/>
            </w:pPr>
            <w:r>
              <w:rPr>
                <w:vanish/>
              </w:rPr>
              <w:t>#G0</w:t>
            </w:r>
            <w:r>
              <w:rPr/>
              <w:t xml:space="preserve">  </w:t>
            </w:r>
          </w:p>
          <w:p>
            <w:pPr>
              <w:pStyle w:val="Normal"/>
              <w:rPr/>
            </w:pPr>
            <w:r>
              <w:rPr/>
            </w:r>
          </w:p>
        </w:tc>
        <w:tc>
          <w:tcPr>
            <w:tcW w:w="1755" w:type="dxa"/>
            <w:tcBorders>
              <w:top w:val="single" w:sz="2" w:space="0" w:color="000000"/>
              <w:start w:val="single" w:sz="2" w:space="0" w:color="000000"/>
            </w:tcBorders>
            <w:shd w:fill="auto" w:val="clear"/>
            <w:tcMar>
              <w:start w:w="102" w:type="dxa"/>
            </w:tcMar>
          </w:tcPr>
          <w:p>
            <w:pPr>
              <w:pStyle w:val="Normal"/>
              <w:rPr/>
            </w:pPr>
            <w:r>
              <w:rPr/>
              <w:t xml:space="preserve">  </w:t>
            </w:r>
          </w:p>
          <w:p>
            <w:pPr>
              <w:pStyle w:val="Normal"/>
              <w:rPr/>
            </w:pPr>
            <w:r>
              <w:rPr/>
            </w:r>
          </w:p>
        </w:tc>
        <w:tc>
          <w:tcPr>
            <w:tcW w:w="6995" w:type="dxa"/>
            <w:gridSpan w:val="9"/>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jc w:val="center"/>
              <w:rPr/>
            </w:pPr>
            <w:r>
              <w:rPr/>
              <w:t xml:space="preserve">Вид грунта (по номенклатуре </w:t>
            </w:r>
            <w:r>
              <w:rPr>
                <w:vanish/>
              </w:rPr>
              <w:t>#M12291 5200033</w:t>
            </w:r>
            <w:r>
              <w:rPr/>
              <w:t>СНиП 2.02.01-83*</w:t>
            </w:r>
            <w:r>
              <w:rPr>
                <w:vanish/>
              </w:rPr>
              <w:t>#S</w:t>
            </w:r>
            <w:r>
              <w:rPr/>
              <w:t>)</w:t>
            </w:r>
          </w:p>
          <w:p>
            <w:pPr>
              <w:pStyle w:val="Normal"/>
              <w:jc w:val="center"/>
              <w:rPr/>
            </w:pPr>
            <w:r>
              <w:rPr/>
            </w:r>
          </w:p>
        </w:tc>
      </w:tr>
      <w:tr>
        <w:trPr/>
        <w:tc>
          <w:tcPr>
            <w:tcW w:w="1860"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Материал труб </w:t>
            </w:r>
          </w:p>
          <w:p>
            <w:pPr>
              <w:pStyle w:val="Normal"/>
              <w:rPr/>
            </w:pPr>
            <w:r>
              <w:rPr/>
            </w:r>
          </w:p>
        </w:tc>
        <w:tc>
          <w:tcPr>
            <w:tcW w:w="1755"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Диаметр, мм </w:t>
            </w:r>
          </w:p>
          <w:p>
            <w:pPr>
              <w:pStyle w:val="Normal"/>
              <w:rPr/>
            </w:pPr>
            <w:r>
              <w:rPr/>
            </w:r>
          </w:p>
        </w:tc>
        <w:tc>
          <w:tcPr>
            <w:tcW w:w="2145" w:type="dxa"/>
            <w:gridSpan w:val="4"/>
            <w:tcBorders>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t xml:space="preserve">скальные </w:t>
            </w:r>
          </w:p>
          <w:p>
            <w:pPr>
              <w:pStyle w:val="Normal"/>
              <w:rPr/>
            </w:pPr>
            <w:r>
              <w:rPr/>
            </w:r>
          </w:p>
        </w:tc>
        <w:tc>
          <w:tcPr>
            <w:tcW w:w="2475" w:type="dxa"/>
            <w:gridSpan w:val="3"/>
            <w:tcBorders>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крупнообломочные породы, песок гравелистый, песок крупный, глины </w:t>
            </w:r>
          </w:p>
          <w:p>
            <w:pPr>
              <w:pStyle w:val="Normal"/>
              <w:rPr/>
            </w:pPr>
            <w:r>
              <w:rPr/>
            </w:r>
          </w:p>
        </w:tc>
        <w:tc>
          <w:tcPr>
            <w:tcW w:w="2375" w:type="dxa"/>
            <w:gridSpan w:val="2"/>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песок средней крупности, песок мелкий, песок пылеватый, супеси, суглинки, грунты с примесью растительных остатков, заторфованные грунты </w:t>
            </w:r>
          </w:p>
          <w:p>
            <w:pPr>
              <w:pStyle w:val="Normal"/>
              <w:rPr/>
            </w:pPr>
            <w:r>
              <w:rPr/>
            </w:r>
          </w:p>
        </w:tc>
      </w:tr>
      <w:tr>
        <w:trPr/>
        <w:tc>
          <w:tcPr>
            <w:tcW w:w="1860"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1755"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6995" w:type="dxa"/>
            <w:gridSpan w:val="9"/>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jc w:val="center"/>
              <w:rPr/>
            </w:pPr>
            <w:r>
              <w:rPr/>
              <w:t>Давление, МПа (кгс/кв.см)</w:t>
            </w:r>
          </w:p>
          <w:p>
            <w:pPr>
              <w:pStyle w:val="Normal"/>
              <w:jc w:val="center"/>
              <w:rPr/>
            </w:pPr>
            <w:r>
              <w:rPr/>
            </w:r>
          </w:p>
        </w:tc>
      </w:tr>
      <w:tr>
        <w:trPr/>
        <w:tc>
          <w:tcPr>
            <w:tcW w:w="1860"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1755"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1050" w:type="dxa"/>
            <w:tcBorders>
              <w:start w:val="single" w:sz="2" w:space="0" w:color="000000"/>
            </w:tcBorders>
            <w:shd w:fill="auto" w:val="clear"/>
            <w:tcMar>
              <w:start w:w="102" w:type="dxa"/>
            </w:tcMar>
          </w:tcPr>
          <w:p>
            <w:pPr>
              <w:pStyle w:val="Normal"/>
              <w:rPr/>
            </w:pPr>
            <w:r>
              <w:rPr/>
              <w:drawing>
                <wp:inline distT="0" distB="0" distL="0" distR="0">
                  <wp:extent cx="426085" cy="172720"/>
                  <wp:effectExtent l="0" t="0" r="0" b="0"/>
                  <wp:docPr id="152" name="Изображение1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Изображение152" descr="" title=""/>
                          <pic:cNvPicPr>
                            <a:picLocks noChangeAspect="1" noChangeArrowheads="1"/>
                          </pic:cNvPicPr>
                        </pic:nvPicPr>
                        <pic:blipFill>
                          <a:blip r:embed="rId153"/>
                          <a:stretch>
                            <a:fillRect/>
                          </a:stretch>
                        </pic:blipFill>
                        <pic:spPr bwMode="auto">
                          <a:xfrm>
                            <a:off x="0" y="0"/>
                            <a:ext cx="426085" cy="172720"/>
                          </a:xfrm>
                          <a:prstGeom prst="rect">
                            <a:avLst/>
                          </a:prstGeom>
                        </pic:spPr>
                      </pic:pic>
                    </a:graphicData>
                  </a:graphic>
                </wp:inline>
              </w:drawing>
            </w:r>
          </w:p>
        </w:tc>
        <w:tc>
          <w:tcPr>
            <w:tcW w:w="1080" w:type="dxa"/>
            <w:gridSpan w:val="2"/>
            <w:tcBorders>
              <w:start w:val="single" w:sz="2" w:space="0" w:color="000000"/>
            </w:tcBorders>
            <w:shd w:fill="auto" w:val="clear"/>
            <w:tcMar>
              <w:start w:w="102" w:type="dxa"/>
            </w:tcMar>
          </w:tcPr>
          <w:p>
            <w:pPr>
              <w:pStyle w:val="Normal"/>
              <w:jc w:val="center"/>
              <w:rPr/>
            </w:pPr>
            <w:r>
              <w:rPr/>
              <w:t>&gt; 1 (10)</w:t>
            </w:r>
          </w:p>
          <w:p>
            <w:pPr>
              <w:pStyle w:val="Normal"/>
              <w:jc w:val="center"/>
              <w:rPr/>
            </w:pPr>
            <w:r>
              <w:rPr/>
            </w:r>
          </w:p>
        </w:tc>
        <w:tc>
          <w:tcPr>
            <w:tcW w:w="1170" w:type="dxa"/>
            <w:gridSpan w:val="2"/>
            <w:tcBorders>
              <w:start w:val="single" w:sz="2" w:space="0" w:color="000000"/>
            </w:tcBorders>
            <w:shd w:fill="auto" w:val="clear"/>
            <w:tcMar>
              <w:start w:w="102" w:type="dxa"/>
            </w:tcMar>
          </w:tcPr>
          <w:p>
            <w:pPr>
              <w:pStyle w:val="Normal"/>
              <w:rPr/>
            </w:pPr>
            <w:r>
              <w:rPr/>
              <w:drawing>
                <wp:inline distT="0" distB="0" distL="0" distR="0">
                  <wp:extent cx="426085" cy="172720"/>
                  <wp:effectExtent l="0" t="0" r="0" b="0"/>
                  <wp:docPr id="153" name="Изображение1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Изображение153" descr="" title=""/>
                          <pic:cNvPicPr>
                            <a:picLocks noChangeAspect="1" noChangeArrowheads="1"/>
                          </pic:cNvPicPr>
                        </pic:nvPicPr>
                        <pic:blipFill>
                          <a:blip r:embed="rId154"/>
                          <a:stretch>
                            <a:fillRect/>
                          </a:stretch>
                        </pic:blipFill>
                        <pic:spPr bwMode="auto">
                          <a:xfrm>
                            <a:off x="0" y="0"/>
                            <a:ext cx="426085" cy="172720"/>
                          </a:xfrm>
                          <a:prstGeom prst="rect">
                            <a:avLst/>
                          </a:prstGeom>
                        </pic:spPr>
                      </pic:pic>
                    </a:graphicData>
                  </a:graphic>
                </wp:inline>
              </w:drawing>
            </w:r>
          </w:p>
        </w:tc>
        <w:tc>
          <w:tcPr>
            <w:tcW w:w="1305" w:type="dxa"/>
            <w:tcBorders>
              <w:start w:val="single" w:sz="2" w:space="0" w:color="000000"/>
            </w:tcBorders>
            <w:shd w:fill="auto" w:val="clear"/>
            <w:tcMar>
              <w:start w:w="102" w:type="dxa"/>
            </w:tcMar>
          </w:tcPr>
          <w:p>
            <w:pPr>
              <w:pStyle w:val="Normal"/>
              <w:rPr/>
            </w:pPr>
            <w:r>
              <w:rPr/>
              <w:t>&gt; 1 (10)</w:t>
            </w:r>
          </w:p>
          <w:p>
            <w:pPr>
              <w:pStyle w:val="Normal"/>
              <w:rPr/>
            </w:pPr>
            <w:r>
              <w:rPr/>
            </w:r>
          </w:p>
        </w:tc>
        <w:tc>
          <w:tcPr>
            <w:tcW w:w="1155" w:type="dxa"/>
            <w:gridSpan w:val="2"/>
            <w:tcBorders>
              <w:start w:val="single" w:sz="2" w:space="0" w:color="000000"/>
            </w:tcBorders>
            <w:shd w:fill="auto" w:val="clear"/>
            <w:tcMar>
              <w:start w:w="102" w:type="dxa"/>
            </w:tcMar>
          </w:tcPr>
          <w:p>
            <w:pPr>
              <w:pStyle w:val="Normal"/>
              <w:rPr/>
            </w:pPr>
            <w:r>
              <w:rPr/>
              <w:drawing>
                <wp:inline distT="0" distB="0" distL="0" distR="0">
                  <wp:extent cx="426085" cy="172720"/>
                  <wp:effectExtent l="0" t="0" r="0" b="0"/>
                  <wp:docPr id="154" name="Изображение1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Изображение154" descr="" title=""/>
                          <pic:cNvPicPr>
                            <a:picLocks noChangeAspect="1" noChangeArrowheads="1"/>
                          </pic:cNvPicPr>
                        </pic:nvPicPr>
                        <pic:blipFill>
                          <a:blip r:embed="rId155"/>
                          <a:stretch>
                            <a:fillRect/>
                          </a:stretch>
                        </pic:blipFill>
                        <pic:spPr bwMode="auto">
                          <a:xfrm>
                            <a:off x="0" y="0"/>
                            <a:ext cx="426085" cy="172720"/>
                          </a:xfrm>
                          <a:prstGeom prst="rect">
                            <a:avLst/>
                          </a:prstGeom>
                        </pic:spPr>
                      </pic:pic>
                    </a:graphicData>
                  </a:graphic>
                </wp:inline>
              </w:drawing>
            </w:r>
          </w:p>
        </w:tc>
        <w:tc>
          <w:tcPr>
            <w:tcW w:w="12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&gt; 1 (10)</w:t>
            </w:r>
          </w:p>
          <w:p>
            <w:pPr>
              <w:pStyle w:val="Normal"/>
              <w:rPr/>
            </w:pPr>
            <w:r>
              <w:rPr/>
            </w:r>
          </w:p>
        </w:tc>
      </w:tr>
      <w:tr>
        <w:trPr/>
        <w:tc>
          <w:tcPr>
            <w:tcW w:w="186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175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6995" w:type="dxa"/>
            <w:gridSpan w:val="9"/>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jc w:val="center"/>
              <w:rPr/>
            </w:pPr>
            <w:r>
              <w:rPr/>
              <w:t xml:space="preserve">Расстояния в плане между наружными поверхностями труб, м </w:t>
            </w:r>
          </w:p>
          <w:p>
            <w:pPr>
              <w:pStyle w:val="Normal"/>
              <w:jc w:val="center"/>
              <w:rPr/>
            </w:pPr>
            <w:r>
              <w:rPr/>
            </w:r>
          </w:p>
        </w:tc>
      </w:tr>
      <w:tr>
        <w:trPr/>
        <w:tc>
          <w:tcPr>
            <w:tcW w:w="1860" w:type="dxa"/>
            <w:tcBorders>
              <w:start w:val="single" w:sz="2" w:space="0" w:color="000000"/>
            </w:tcBorders>
            <w:shd w:fill="auto" w:val="clear"/>
            <w:tcMar>
              <w:start w:w="102" w:type="dxa"/>
            </w:tcMar>
          </w:tcPr>
          <w:p>
            <w:pPr>
              <w:pStyle w:val="Normal"/>
              <w:jc w:val="both"/>
              <w:rPr/>
            </w:pPr>
            <w:r>
              <w:rPr/>
              <w:t xml:space="preserve">Стальные </w:t>
            </w:r>
          </w:p>
          <w:p>
            <w:pPr>
              <w:pStyle w:val="Normal"/>
              <w:jc w:val="both"/>
              <w:rPr/>
            </w:pPr>
            <w:r>
              <w:rPr/>
            </w:r>
          </w:p>
        </w:tc>
        <w:tc>
          <w:tcPr>
            <w:tcW w:w="1755" w:type="dxa"/>
            <w:tcBorders>
              <w:start w:val="single" w:sz="2" w:space="0" w:color="000000"/>
            </w:tcBorders>
            <w:shd w:fill="auto" w:val="clear"/>
            <w:tcMar>
              <w:start w:w="102" w:type="dxa"/>
            </w:tcMar>
          </w:tcPr>
          <w:p>
            <w:pPr>
              <w:pStyle w:val="Normal"/>
              <w:rPr/>
            </w:pPr>
            <w:r>
              <w:rPr/>
              <w:t xml:space="preserve">До 400 </w:t>
            </w:r>
          </w:p>
          <w:p>
            <w:pPr>
              <w:pStyle w:val="Normal"/>
              <w:rPr/>
            </w:pPr>
            <w:r>
              <w:rPr/>
            </w:r>
          </w:p>
        </w:tc>
        <w:tc>
          <w:tcPr>
            <w:tcW w:w="1065" w:type="dxa"/>
            <w:gridSpan w:val="2"/>
            <w:tcBorders>
              <w:start w:val="single" w:sz="2" w:space="0" w:color="000000"/>
            </w:tcBorders>
            <w:shd w:fill="auto" w:val="clear"/>
            <w:tcMar>
              <w:start w:w="102" w:type="dxa"/>
            </w:tcMar>
          </w:tcPr>
          <w:p>
            <w:pPr>
              <w:pStyle w:val="Normal"/>
              <w:jc w:val="center"/>
              <w:rPr/>
            </w:pPr>
            <w:r>
              <w:rPr/>
              <w:t xml:space="preserve">0,7 </w:t>
            </w:r>
          </w:p>
          <w:p>
            <w:pPr>
              <w:pStyle w:val="Normal"/>
              <w:jc w:val="center"/>
              <w:rPr/>
            </w:pPr>
            <w:r>
              <w:rPr/>
            </w:r>
          </w:p>
        </w:tc>
        <w:tc>
          <w:tcPr>
            <w:tcW w:w="1080" w:type="dxa"/>
            <w:gridSpan w:val="2"/>
            <w:tcBorders>
              <w:start w:val="single" w:sz="2" w:space="0" w:color="000000"/>
            </w:tcBorders>
            <w:shd w:fill="auto" w:val="clear"/>
            <w:tcMar>
              <w:start w:w="102" w:type="dxa"/>
            </w:tcMar>
          </w:tcPr>
          <w:p>
            <w:pPr>
              <w:pStyle w:val="Normal"/>
              <w:rPr/>
            </w:pPr>
            <w:r>
              <w:rPr/>
              <w:t xml:space="preserve">0,7 </w:t>
            </w:r>
          </w:p>
          <w:p>
            <w:pPr>
              <w:pStyle w:val="Normal"/>
              <w:rPr/>
            </w:pPr>
            <w:r>
              <w:rPr/>
            </w:r>
          </w:p>
        </w:tc>
        <w:tc>
          <w:tcPr>
            <w:tcW w:w="1155" w:type="dxa"/>
            <w:tcBorders>
              <w:start w:val="single" w:sz="2" w:space="0" w:color="000000"/>
            </w:tcBorders>
            <w:shd w:fill="auto" w:val="clear"/>
            <w:tcMar>
              <w:start w:w="102" w:type="dxa"/>
            </w:tcMar>
          </w:tcPr>
          <w:p>
            <w:pPr>
              <w:pStyle w:val="Normal"/>
              <w:rPr/>
            </w:pPr>
            <w:r>
              <w:rPr/>
              <w:t xml:space="preserve">0,9 </w:t>
            </w:r>
          </w:p>
          <w:p>
            <w:pPr>
              <w:pStyle w:val="Normal"/>
              <w:rPr/>
            </w:pPr>
            <w:r>
              <w:rPr/>
            </w:r>
          </w:p>
        </w:tc>
        <w:tc>
          <w:tcPr>
            <w:tcW w:w="1320" w:type="dxa"/>
            <w:gridSpan w:val="2"/>
            <w:tcBorders>
              <w:start w:val="single" w:sz="2" w:space="0" w:color="000000"/>
            </w:tcBorders>
            <w:shd w:fill="auto" w:val="clear"/>
            <w:tcMar>
              <w:start w:w="102" w:type="dxa"/>
            </w:tcMar>
          </w:tcPr>
          <w:p>
            <w:pPr>
              <w:pStyle w:val="Normal"/>
              <w:rPr/>
            </w:pPr>
            <w:r>
              <w:rPr/>
              <w:t xml:space="preserve">0,9 </w:t>
            </w:r>
          </w:p>
          <w:p>
            <w:pPr>
              <w:pStyle w:val="Normal"/>
              <w:rPr/>
            </w:pPr>
            <w:r>
              <w:rPr/>
            </w:r>
          </w:p>
        </w:tc>
        <w:tc>
          <w:tcPr>
            <w:tcW w:w="1140" w:type="dxa"/>
            <w:tcBorders>
              <w:start w:val="single" w:sz="2" w:space="0" w:color="000000"/>
            </w:tcBorders>
            <w:shd w:fill="auto" w:val="clear"/>
            <w:tcMar>
              <w:start w:w="102" w:type="dxa"/>
            </w:tcMar>
          </w:tcPr>
          <w:p>
            <w:pPr>
              <w:pStyle w:val="Normal"/>
              <w:rPr/>
            </w:pPr>
            <w:r>
              <w:rPr/>
              <w:t xml:space="preserve">1,2 </w:t>
            </w:r>
          </w:p>
          <w:p>
            <w:pPr>
              <w:pStyle w:val="Normal"/>
              <w:rPr/>
            </w:pPr>
            <w:r>
              <w:rPr/>
            </w:r>
          </w:p>
        </w:tc>
        <w:tc>
          <w:tcPr>
            <w:tcW w:w="12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1,2 </w:t>
            </w:r>
          </w:p>
          <w:p>
            <w:pPr>
              <w:pStyle w:val="Normal"/>
              <w:rPr/>
            </w:pPr>
            <w:r>
              <w:rPr/>
            </w:r>
          </w:p>
        </w:tc>
      </w:tr>
      <w:tr>
        <w:trPr/>
        <w:tc>
          <w:tcPr>
            <w:tcW w:w="1860" w:type="dxa"/>
            <w:tcBorders>
              <w:start w:val="single" w:sz="2" w:space="0" w:color="000000"/>
            </w:tcBorders>
            <w:shd w:fill="auto" w:val="clear"/>
            <w:tcMar>
              <w:start w:w="102" w:type="dxa"/>
            </w:tcMar>
          </w:tcPr>
          <w:p>
            <w:pPr>
              <w:pStyle w:val="Normal"/>
              <w:jc w:val="both"/>
              <w:rPr/>
            </w:pPr>
            <w:r>
              <w:rPr/>
              <w:t xml:space="preserve">Стальные </w:t>
            </w:r>
          </w:p>
          <w:p>
            <w:pPr>
              <w:pStyle w:val="Normal"/>
              <w:jc w:val="both"/>
              <w:rPr/>
            </w:pPr>
            <w:r>
              <w:rPr/>
            </w:r>
          </w:p>
        </w:tc>
        <w:tc>
          <w:tcPr>
            <w:tcW w:w="1755" w:type="dxa"/>
            <w:tcBorders>
              <w:start w:val="single" w:sz="2" w:space="0" w:color="000000"/>
            </w:tcBorders>
            <w:shd w:fill="auto" w:val="clear"/>
            <w:tcMar>
              <w:start w:w="102" w:type="dxa"/>
            </w:tcMar>
          </w:tcPr>
          <w:p>
            <w:pPr>
              <w:pStyle w:val="Normal"/>
              <w:rPr/>
            </w:pPr>
            <w:r>
              <w:rPr/>
              <w:t xml:space="preserve">Св. 400 до 1000 </w:t>
            </w:r>
          </w:p>
          <w:p>
            <w:pPr>
              <w:pStyle w:val="Normal"/>
              <w:rPr/>
            </w:pPr>
            <w:r>
              <w:rPr/>
            </w:r>
          </w:p>
        </w:tc>
        <w:tc>
          <w:tcPr>
            <w:tcW w:w="1065" w:type="dxa"/>
            <w:gridSpan w:val="2"/>
            <w:tcBorders>
              <w:start w:val="single" w:sz="2" w:space="0" w:color="000000"/>
            </w:tcBorders>
            <w:shd w:fill="auto" w:val="clear"/>
            <w:tcMar>
              <w:start w:w="102" w:type="dxa"/>
            </w:tcMar>
          </w:tcPr>
          <w:p>
            <w:pPr>
              <w:pStyle w:val="Normal"/>
              <w:jc w:val="center"/>
              <w:rPr/>
            </w:pPr>
            <w:r>
              <w:rPr/>
              <w:t xml:space="preserve">1 </w:t>
            </w:r>
          </w:p>
          <w:p>
            <w:pPr>
              <w:pStyle w:val="Normal"/>
              <w:jc w:val="center"/>
              <w:rPr/>
            </w:pPr>
            <w:r>
              <w:rPr/>
            </w:r>
          </w:p>
        </w:tc>
        <w:tc>
          <w:tcPr>
            <w:tcW w:w="1080" w:type="dxa"/>
            <w:gridSpan w:val="2"/>
            <w:tcBorders>
              <w:start w:val="single" w:sz="2" w:space="0" w:color="000000"/>
            </w:tcBorders>
            <w:shd w:fill="auto" w:val="clear"/>
            <w:tcMar>
              <w:start w:w="102" w:type="dxa"/>
            </w:tcMar>
          </w:tcPr>
          <w:p>
            <w:pPr>
              <w:pStyle w:val="Normal"/>
              <w:rPr/>
            </w:pPr>
            <w:r>
              <w:rPr/>
              <w:t xml:space="preserve">1 </w:t>
            </w:r>
          </w:p>
          <w:p>
            <w:pPr>
              <w:pStyle w:val="Normal"/>
              <w:rPr/>
            </w:pPr>
            <w:r>
              <w:rPr/>
            </w:r>
          </w:p>
        </w:tc>
        <w:tc>
          <w:tcPr>
            <w:tcW w:w="1155" w:type="dxa"/>
            <w:tcBorders>
              <w:start w:val="single" w:sz="2" w:space="0" w:color="000000"/>
            </w:tcBorders>
            <w:shd w:fill="auto" w:val="clear"/>
            <w:tcMar>
              <w:start w:w="102" w:type="dxa"/>
            </w:tcMar>
          </w:tcPr>
          <w:p>
            <w:pPr>
              <w:pStyle w:val="Normal"/>
              <w:rPr/>
            </w:pPr>
            <w:r>
              <w:rPr/>
              <w:t xml:space="preserve">1,2 </w:t>
            </w:r>
          </w:p>
          <w:p>
            <w:pPr>
              <w:pStyle w:val="Normal"/>
              <w:rPr/>
            </w:pPr>
            <w:r>
              <w:rPr/>
            </w:r>
          </w:p>
        </w:tc>
        <w:tc>
          <w:tcPr>
            <w:tcW w:w="1320" w:type="dxa"/>
            <w:gridSpan w:val="2"/>
            <w:tcBorders>
              <w:start w:val="single" w:sz="2" w:space="0" w:color="000000"/>
            </w:tcBorders>
            <w:shd w:fill="auto" w:val="clear"/>
            <w:tcMar>
              <w:start w:w="102" w:type="dxa"/>
            </w:tcMar>
          </w:tcPr>
          <w:p>
            <w:pPr>
              <w:pStyle w:val="Normal"/>
              <w:rPr/>
            </w:pPr>
            <w:r>
              <w:rPr/>
              <w:t xml:space="preserve">1,5 </w:t>
            </w:r>
          </w:p>
          <w:p>
            <w:pPr>
              <w:pStyle w:val="Normal"/>
              <w:rPr/>
            </w:pPr>
            <w:r>
              <w:rPr/>
            </w:r>
          </w:p>
        </w:tc>
        <w:tc>
          <w:tcPr>
            <w:tcW w:w="1140" w:type="dxa"/>
            <w:tcBorders>
              <w:start w:val="single" w:sz="2" w:space="0" w:color="000000"/>
            </w:tcBorders>
            <w:shd w:fill="auto" w:val="clear"/>
            <w:tcMar>
              <w:start w:w="102" w:type="dxa"/>
            </w:tcMar>
          </w:tcPr>
          <w:p>
            <w:pPr>
              <w:pStyle w:val="Normal"/>
              <w:rPr/>
            </w:pPr>
            <w:r>
              <w:rPr/>
              <w:t xml:space="preserve">1,5 </w:t>
            </w:r>
          </w:p>
          <w:p>
            <w:pPr>
              <w:pStyle w:val="Normal"/>
              <w:rPr/>
            </w:pPr>
            <w:r>
              <w:rPr/>
            </w:r>
          </w:p>
        </w:tc>
        <w:tc>
          <w:tcPr>
            <w:tcW w:w="12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2 </w:t>
            </w:r>
          </w:p>
          <w:p>
            <w:pPr>
              <w:pStyle w:val="Normal"/>
              <w:rPr/>
            </w:pPr>
            <w:r>
              <w:rPr/>
            </w:r>
          </w:p>
        </w:tc>
      </w:tr>
      <w:tr>
        <w:trPr/>
        <w:tc>
          <w:tcPr>
            <w:tcW w:w="1860" w:type="dxa"/>
            <w:tcBorders>
              <w:start w:val="single" w:sz="2" w:space="0" w:color="000000"/>
            </w:tcBorders>
            <w:shd w:fill="auto" w:val="clear"/>
            <w:tcMar>
              <w:start w:w="102" w:type="dxa"/>
            </w:tcMar>
          </w:tcPr>
          <w:p>
            <w:pPr>
              <w:pStyle w:val="Normal"/>
              <w:jc w:val="both"/>
              <w:rPr/>
            </w:pPr>
            <w:r>
              <w:rPr/>
              <w:t xml:space="preserve">Стальные </w:t>
            </w:r>
          </w:p>
          <w:p>
            <w:pPr>
              <w:pStyle w:val="Normal"/>
              <w:jc w:val="both"/>
              <w:rPr/>
            </w:pPr>
            <w:r>
              <w:rPr/>
            </w:r>
          </w:p>
        </w:tc>
        <w:tc>
          <w:tcPr>
            <w:tcW w:w="1755" w:type="dxa"/>
            <w:tcBorders>
              <w:start w:val="single" w:sz="2" w:space="0" w:color="000000"/>
            </w:tcBorders>
            <w:shd w:fill="auto" w:val="clear"/>
            <w:tcMar>
              <w:start w:w="102" w:type="dxa"/>
            </w:tcMar>
          </w:tcPr>
          <w:p>
            <w:pPr>
              <w:pStyle w:val="Normal"/>
              <w:rPr/>
            </w:pPr>
            <w:r>
              <w:rPr/>
              <w:t xml:space="preserve">Св. 1000 </w:t>
            </w:r>
          </w:p>
          <w:p>
            <w:pPr>
              <w:pStyle w:val="Normal"/>
              <w:rPr/>
            </w:pPr>
            <w:r>
              <w:rPr/>
            </w:r>
          </w:p>
        </w:tc>
        <w:tc>
          <w:tcPr>
            <w:tcW w:w="1065" w:type="dxa"/>
            <w:gridSpan w:val="2"/>
            <w:tcBorders>
              <w:start w:val="single" w:sz="2" w:space="0" w:color="000000"/>
            </w:tcBorders>
            <w:shd w:fill="auto" w:val="clear"/>
            <w:tcMar>
              <w:start w:w="102" w:type="dxa"/>
            </w:tcMar>
          </w:tcPr>
          <w:p>
            <w:pPr>
              <w:pStyle w:val="Normal"/>
              <w:jc w:val="center"/>
              <w:rPr/>
            </w:pPr>
            <w:r>
              <w:rPr/>
              <w:t xml:space="preserve">1,5 </w:t>
            </w:r>
          </w:p>
          <w:p>
            <w:pPr>
              <w:pStyle w:val="Normal"/>
              <w:jc w:val="center"/>
              <w:rPr/>
            </w:pPr>
            <w:r>
              <w:rPr/>
            </w:r>
          </w:p>
        </w:tc>
        <w:tc>
          <w:tcPr>
            <w:tcW w:w="1080" w:type="dxa"/>
            <w:gridSpan w:val="2"/>
            <w:tcBorders>
              <w:start w:val="single" w:sz="2" w:space="0" w:color="000000"/>
            </w:tcBorders>
            <w:shd w:fill="auto" w:val="clear"/>
            <w:tcMar>
              <w:start w:w="102" w:type="dxa"/>
            </w:tcMar>
          </w:tcPr>
          <w:p>
            <w:pPr>
              <w:pStyle w:val="Normal"/>
              <w:rPr/>
            </w:pPr>
            <w:r>
              <w:rPr/>
              <w:t xml:space="preserve">1,5 </w:t>
            </w:r>
          </w:p>
          <w:p>
            <w:pPr>
              <w:pStyle w:val="Normal"/>
              <w:rPr/>
            </w:pPr>
            <w:r>
              <w:rPr/>
            </w:r>
          </w:p>
        </w:tc>
        <w:tc>
          <w:tcPr>
            <w:tcW w:w="1155" w:type="dxa"/>
            <w:tcBorders>
              <w:start w:val="single" w:sz="2" w:space="0" w:color="000000"/>
            </w:tcBorders>
            <w:shd w:fill="auto" w:val="clear"/>
            <w:tcMar>
              <w:start w:w="102" w:type="dxa"/>
            </w:tcMar>
          </w:tcPr>
          <w:p>
            <w:pPr>
              <w:pStyle w:val="Normal"/>
              <w:rPr/>
            </w:pPr>
            <w:r>
              <w:rPr/>
              <w:t xml:space="preserve">1,7 </w:t>
            </w:r>
          </w:p>
          <w:p>
            <w:pPr>
              <w:pStyle w:val="Normal"/>
              <w:rPr/>
            </w:pPr>
            <w:r>
              <w:rPr/>
            </w:r>
          </w:p>
        </w:tc>
        <w:tc>
          <w:tcPr>
            <w:tcW w:w="1320" w:type="dxa"/>
            <w:gridSpan w:val="2"/>
            <w:tcBorders>
              <w:start w:val="single" w:sz="2" w:space="0" w:color="000000"/>
            </w:tcBorders>
            <w:shd w:fill="auto" w:val="clear"/>
            <w:tcMar>
              <w:start w:w="102" w:type="dxa"/>
            </w:tcMar>
          </w:tcPr>
          <w:p>
            <w:pPr>
              <w:pStyle w:val="Normal"/>
              <w:rPr/>
            </w:pPr>
            <w:r>
              <w:rPr/>
              <w:t xml:space="preserve">2 </w:t>
            </w:r>
          </w:p>
          <w:p>
            <w:pPr>
              <w:pStyle w:val="Normal"/>
              <w:rPr/>
            </w:pPr>
            <w:r>
              <w:rPr/>
            </w:r>
          </w:p>
        </w:tc>
        <w:tc>
          <w:tcPr>
            <w:tcW w:w="1140" w:type="dxa"/>
            <w:tcBorders>
              <w:start w:val="single" w:sz="2" w:space="0" w:color="000000"/>
            </w:tcBorders>
            <w:shd w:fill="auto" w:val="clear"/>
            <w:tcMar>
              <w:start w:w="102" w:type="dxa"/>
            </w:tcMar>
          </w:tcPr>
          <w:p>
            <w:pPr>
              <w:pStyle w:val="Normal"/>
              <w:rPr/>
            </w:pPr>
            <w:r>
              <w:rPr/>
              <w:t xml:space="preserve">2 </w:t>
            </w:r>
          </w:p>
          <w:p>
            <w:pPr>
              <w:pStyle w:val="Normal"/>
              <w:rPr/>
            </w:pPr>
            <w:r>
              <w:rPr/>
            </w:r>
          </w:p>
        </w:tc>
        <w:tc>
          <w:tcPr>
            <w:tcW w:w="12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2,5 </w:t>
            </w:r>
          </w:p>
          <w:p>
            <w:pPr>
              <w:pStyle w:val="Normal"/>
              <w:rPr/>
            </w:pPr>
            <w:r>
              <w:rPr/>
            </w:r>
          </w:p>
        </w:tc>
      </w:tr>
      <w:tr>
        <w:trPr/>
        <w:tc>
          <w:tcPr>
            <w:tcW w:w="1860" w:type="dxa"/>
            <w:tcBorders>
              <w:start w:val="single" w:sz="2" w:space="0" w:color="000000"/>
            </w:tcBorders>
            <w:shd w:fill="auto" w:val="clear"/>
            <w:tcMar>
              <w:start w:w="102" w:type="dxa"/>
            </w:tcMar>
          </w:tcPr>
          <w:p>
            <w:pPr>
              <w:pStyle w:val="Normal"/>
              <w:jc w:val="both"/>
              <w:rPr/>
            </w:pPr>
            <w:r>
              <w:rPr/>
              <w:t xml:space="preserve">Чугунные </w:t>
            </w:r>
          </w:p>
          <w:p>
            <w:pPr>
              <w:pStyle w:val="Normal"/>
              <w:jc w:val="both"/>
              <w:rPr/>
            </w:pPr>
            <w:r>
              <w:rPr/>
            </w:r>
          </w:p>
        </w:tc>
        <w:tc>
          <w:tcPr>
            <w:tcW w:w="1755" w:type="dxa"/>
            <w:tcBorders>
              <w:start w:val="single" w:sz="2" w:space="0" w:color="000000"/>
            </w:tcBorders>
            <w:shd w:fill="auto" w:val="clear"/>
            <w:tcMar>
              <w:start w:w="102" w:type="dxa"/>
            </w:tcMar>
          </w:tcPr>
          <w:p>
            <w:pPr>
              <w:pStyle w:val="Normal"/>
              <w:rPr/>
            </w:pPr>
            <w:r>
              <w:rPr/>
              <w:t xml:space="preserve">До 400 </w:t>
            </w:r>
          </w:p>
          <w:p>
            <w:pPr>
              <w:pStyle w:val="Normal"/>
              <w:rPr/>
            </w:pPr>
            <w:r>
              <w:rPr/>
            </w:r>
          </w:p>
        </w:tc>
        <w:tc>
          <w:tcPr>
            <w:tcW w:w="1065" w:type="dxa"/>
            <w:gridSpan w:val="2"/>
            <w:tcBorders>
              <w:start w:val="single" w:sz="2" w:space="0" w:color="000000"/>
            </w:tcBorders>
            <w:shd w:fill="auto" w:val="clear"/>
            <w:tcMar>
              <w:start w:w="102" w:type="dxa"/>
            </w:tcMar>
          </w:tcPr>
          <w:p>
            <w:pPr>
              <w:pStyle w:val="Normal"/>
              <w:jc w:val="center"/>
              <w:rPr/>
            </w:pPr>
            <w:r>
              <w:rPr/>
              <w:t xml:space="preserve">1,5 </w:t>
            </w:r>
          </w:p>
          <w:p>
            <w:pPr>
              <w:pStyle w:val="Normal"/>
              <w:jc w:val="center"/>
              <w:rPr/>
            </w:pPr>
            <w:r>
              <w:rPr/>
            </w:r>
          </w:p>
        </w:tc>
        <w:tc>
          <w:tcPr>
            <w:tcW w:w="1080" w:type="dxa"/>
            <w:gridSpan w:val="2"/>
            <w:tcBorders>
              <w:start w:val="single" w:sz="2" w:space="0" w:color="000000"/>
            </w:tcBorders>
            <w:shd w:fill="auto" w:val="clear"/>
            <w:tcMar>
              <w:start w:w="102" w:type="dxa"/>
            </w:tcMar>
          </w:tcPr>
          <w:p>
            <w:pPr>
              <w:pStyle w:val="Normal"/>
              <w:rPr/>
            </w:pPr>
            <w:r>
              <w:rPr/>
              <w:t xml:space="preserve">2 </w:t>
            </w:r>
          </w:p>
          <w:p>
            <w:pPr>
              <w:pStyle w:val="Normal"/>
              <w:rPr/>
            </w:pPr>
            <w:r>
              <w:rPr/>
            </w:r>
          </w:p>
        </w:tc>
        <w:tc>
          <w:tcPr>
            <w:tcW w:w="1155" w:type="dxa"/>
            <w:tcBorders>
              <w:start w:val="single" w:sz="2" w:space="0" w:color="000000"/>
            </w:tcBorders>
            <w:shd w:fill="auto" w:val="clear"/>
            <w:tcMar>
              <w:start w:w="102" w:type="dxa"/>
            </w:tcMar>
          </w:tcPr>
          <w:p>
            <w:pPr>
              <w:pStyle w:val="Normal"/>
              <w:rPr/>
            </w:pPr>
            <w:r>
              <w:rPr/>
              <w:t xml:space="preserve">2 </w:t>
            </w:r>
          </w:p>
          <w:p>
            <w:pPr>
              <w:pStyle w:val="Normal"/>
              <w:rPr/>
            </w:pPr>
            <w:r>
              <w:rPr/>
            </w:r>
          </w:p>
        </w:tc>
        <w:tc>
          <w:tcPr>
            <w:tcW w:w="1320" w:type="dxa"/>
            <w:gridSpan w:val="2"/>
            <w:tcBorders>
              <w:start w:val="single" w:sz="2" w:space="0" w:color="000000"/>
            </w:tcBorders>
            <w:shd w:fill="auto" w:val="clear"/>
            <w:tcMar>
              <w:start w:w="102" w:type="dxa"/>
            </w:tcMar>
          </w:tcPr>
          <w:p>
            <w:pPr>
              <w:pStyle w:val="Normal"/>
              <w:rPr/>
            </w:pPr>
            <w:r>
              <w:rPr/>
              <w:t xml:space="preserve">2,5 </w:t>
            </w:r>
          </w:p>
          <w:p>
            <w:pPr>
              <w:pStyle w:val="Normal"/>
              <w:rPr/>
            </w:pPr>
            <w:r>
              <w:rPr/>
            </w:r>
          </w:p>
        </w:tc>
        <w:tc>
          <w:tcPr>
            <w:tcW w:w="1140" w:type="dxa"/>
            <w:tcBorders>
              <w:start w:val="single" w:sz="2" w:space="0" w:color="000000"/>
            </w:tcBorders>
            <w:shd w:fill="auto" w:val="clear"/>
            <w:tcMar>
              <w:start w:w="102" w:type="dxa"/>
            </w:tcMar>
          </w:tcPr>
          <w:p>
            <w:pPr>
              <w:pStyle w:val="Normal"/>
              <w:rPr/>
            </w:pPr>
            <w:r>
              <w:rPr/>
              <w:t xml:space="preserve">3 </w:t>
            </w:r>
          </w:p>
          <w:p>
            <w:pPr>
              <w:pStyle w:val="Normal"/>
              <w:rPr/>
            </w:pPr>
            <w:r>
              <w:rPr/>
            </w:r>
          </w:p>
        </w:tc>
        <w:tc>
          <w:tcPr>
            <w:tcW w:w="12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4 </w:t>
            </w:r>
          </w:p>
          <w:p>
            <w:pPr>
              <w:pStyle w:val="Normal"/>
              <w:rPr/>
            </w:pPr>
            <w:r>
              <w:rPr/>
            </w:r>
          </w:p>
        </w:tc>
      </w:tr>
      <w:tr>
        <w:trPr/>
        <w:tc>
          <w:tcPr>
            <w:tcW w:w="1860" w:type="dxa"/>
            <w:tcBorders>
              <w:start w:val="single" w:sz="2" w:space="0" w:color="000000"/>
            </w:tcBorders>
            <w:shd w:fill="auto" w:val="clear"/>
            <w:tcMar>
              <w:start w:w="102" w:type="dxa"/>
            </w:tcMar>
          </w:tcPr>
          <w:p>
            <w:pPr>
              <w:pStyle w:val="Normal"/>
              <w:jc w:val="both"/>
              <w:rPr/>
            </w:pPr>
            <w:r>
              <w:rPr/>
              <w:t xml:space="preserve">Чугунные </w:t>
            </w:r>
          </w:p>
          <w:p>
            <w:pPr>
              <w:pStyle w:val="Normal"/>
              <w:jc w:val="both"/>
              <w:rPr/>
            </w:pPr>
            <w:r>
              <w:rPr/>
            </w:r>
          </w:p>
        </w:tc>
        <w:tc>
          <w:tcPr>
            <w:tcW w:w="1755" w:type="dxa"/>
            <w:tcBorders>
              <w:start w:val="single" w:sz="2" w:space="0" w:color="000000"/>
            </w:tcBorders>
            <w:shd w:fill="auto" w:val="clear"/>
            <w:tcMar>
              <w:start w:w="102" w:type="dxa"/>
            </w:tcMar>
          </w:tcPr>
          <w:p>
            <w:pPr>
              <w:pStyle w:val="Normal"/>
              <w:rPr/>
            </w:pPr>
            <w:r>
              <w:rPr/>
              <w:t xml:space="preserve">Св. 400 </w:t>
            </w:r>
          </w:p>
          <w:p>
            <w:pPr>
              <w:pStyle w:val="Normal"/>
              <w:rPr/>
            </w:pPr>
            <w:r>
              <w:rPr/>
            </w:r>
          </w:p>
        </w:tc>
        <w:tc>
          <w:tcPr>
            <w:tcW w:w="1065" w:type="dxa"/>
            <w:gridSpan w:val="2"/>
            <w:tcBorders>
              <w:start w:val="single" w:sz="2" w:space="0" w:color="000000"/>
            </w:tcBorders>
            <w:shd w:fill="auto" w:val="clear"/>
            <w:tcMar>
              <w:start w:w="102" w:type="dxa"/>
            </w:tcMar>
          </w:tcPr>
          <w:p>
            <w:pPr>
              <w:pStyle w:val="Normal"/>
              <w:jc w:val="center"/>
              <w:rPr/>
            </w:pPr>
            <w:r>
              <w:rPr/>
              <w:t xml:space="preserve">2 </w:t>
            </w:r>
          </w:p>
          <w:p>
            <w:pPr>
              <w:pStyle w:val="Normal"/>
              <w:jc w:val="center"/>
              <w:rPr/>
            </w:pPr>
            <w:r>
              <w:rPr/>
            </w:r>
          </w:p>
        </w:tc>
        <w:tc>
          <w:tcPr>
            <w:tcW w:w="1080" w:type="dxa"/>
            <w:gridSpan w:val="2"/>
            <w:tcBorders>
              <w:start w:val="single" w:sz="2" w:space="0" w:color="000000"/>
            </w:tcBorders>
            <w:shd w:fill="auto" w:val="clear"/>
            <w:tcMar>
              <w:start w:w="102" w:type="dxa"/>
            </w:tcMar>
          </w:tcPr>
          <w:p>
            <w:pPr>
              <w:pStyle w:val="Normal"/>
              <w:rPr/>
            </w:pPr>
            <w:r>
              <w:rPr/>
              <w:t xml:space="preserve">2,5 </w:t>
            </w:r>
          </w:p>
          <w:p>
            <w:pPr>
              <w:pStyle w:val="Normal"/>
              <w:rPr/>
            </w:pPr>
            <w:r>
              <w:rPr/>
            </w:r>
          </w:p>
        </w:tc>
        <w:tc>
          <w:tcPr>
            <w:tcW w:w="1155" w:type="dxa"/>
            <w:tcBorders>
              <w:start w:val="single" w:sz="2" w:space="0" w:color="000000"/>
            </w:tcBorders>
            <w:shd w:fill="auto" w:val="clear"/>
            <w:tcMar>
              <w:start w:w="102" w:type="dxa"/>
            </w:tcMar>
          </w:tcPr>
          <w:p>
            <w:pPr>
              <w:pStyle w:val="Normal"/>
              <w:rPr/>
            </w:pPr>
            <w:r>
              <w:rPr/>
              <w:t xml:space="preserve">2,5 </w:t>
            </w:r>
          </w:p>
          <w:p>
            <w:pPr>
              <w:pStyle w:val="Normal"/>
              <w:rPr/>
            </w:pPr>
            <w:r>
              <w:rPr/>
            </w:r>
          </w:p>
        </w:tc>
        <w:tc>
          <w:tcPr>
            <w:tcW w:w="1320" w:type="dxa"/>
            <w:gridSpan w:val="2"/>
            <w:tcBorders>
              <w:start w:val="single" w:sz="2" w:space="0" w:color="000000"/>
            </w:tcBorders>
            <w:shd w:fill="auto" w:val="clear"/>
            <w:tcMar>
              <w:start w:w="102" w:type="dxa"/>
            </w:tcMar>
          </w:tcPr>
          <w:p>
            <w:pPr>
              <w:pStyle w:val="Normal"/>
              <w:rPr/>
            </w:pPr>
            <w:r>
              <w:rPr/>
              <w:t xml:space="preserve">3 </w:t>
            </w:r>
          </w:p>
          <w:p>
            <w:pPr>
              <w:pStyle w:val="Normal"/>
              <w:rPr/>
            </w:pPr>
            <w:r>
              <w:rPr/>
            </w:r>
          </w:p>
        </w:tc>
        <w:tc>
          <w:tcPr>
            <w:tcW w:w="1140" w:type="dxa"/>
            <w:tcBorders>
              <w:start w:val="single" w:sz="2" w:space="0" w:color="000000"/>
            </w:tcBorders>
            <w:shd w:fill="auto" w:val="clear"/>
            <w:tcMar>
              <w:start w:w="102" w:type="dxa"/>
            </w:tcMar>
          </w:tcPr>
          <w:p>
            <w:pPr>
              <w:pStyle w:val="Normal"/>
              <w:rPr/>
            </w:pPr>
            <w:r>
              <w:rPr/>
              <w:t xml:space="preserve">4 </w:t>
            </w:r>
          </w:p>
          <w:p>
            <w:pPr>
              <w:pStyle w:val="Normal"/>
              <w:rPr/>
            </w:pPr>
            <w:r>
              <w:rPr/>
            </w:r>
          </w:p>
        </w:tc>
        <w:tc>
          <w:tcPr>
            <w:tcW w:w="12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5 </w:t>
            </w:r>
          </w:p>
          <w:p>
            <w:pPr>
              <w:pStyle w:val="Normal"/>
              <w:rPr/>
            </w:pPr>
            <w:r>
              <w:rPr/>
            </w:r>
          </w:p>
        </w:tc>
      </w:tr>
      <w:tr>
        <w:trPr/>
        <w:tc>
          <w:tcPr>
            <w:tcW w:w="1860" w:type="dxa"/>
            <w:tcBorders>
              <w:start w:val="single" w:sz="2" w:space="0" w:color="000000"/>
            </w:tcBorders>
            <w:shd w:fill="auto" w:val="clear"/>
            <w:tcMar>
              <w:start w:w="102" w:type="dxa"/>
            </w:tcMar>
          </w:tcPr>
          <w:p>
            <w:pPr>
              <w:pStyle w:val="Normal"/>
              <w:jc w:val="both"/>
              <w:rPr/>
            </w:pPr>
            <w:r>
              <w:rPr/>
              <w:t xml:space="preserve">Железобетонные </w:t>
            </w:r>
          </w:p>
          <w:p>
            <w:pPr>
              <w:pStyle w:val="Normal"/>
              <w:jc w:val="both"/>
              <w:rPr/>
            </w:pPr>
            <w:r>
              <w:rPr/>
            </w:r>
          </w:p>
        </w:tc>
        <w:tc>
          <w:tcPr>
            <w:tcW w:w="1755" w:type="dxa"/>
            <w:tcBorders>
              <w:start w:val="single" w:sz="2" w:space="0" w:color="000000"/>
            </w:tcBorders>
            <w:shd w:fill="auto" w:val="clear"/>
            <w:tcMar>
              <w:start w:w="102" w:type="dxa"/>
            </w:tcMar>
          </w:tcPr>
          <w:p>
            <w:pPr>
              <w:pStyle w:val="Normal"/>
              <w:rPr/>
            </w:pPr>
            <w:r>
              <w:rPr/>
              <w:t xml:space="preserve">До 600 </w:t>
            </w:r>
          </w:p>
          <w:p>
            <w:pPr>
              <w:pStyle w:val="Normal"/>
              <w:rPr/>
            </w:pPr>
            <w:r>
              <w:rPr/>
            </w:r>
          </w:p>
        </w:tc>
        <w:tc>
          <w:tcPr>
            <w:tcW w:w="1065" w:type="dxa"/>
            <w:gridSpan w:val="2"/>
            <w:tcBorders>
              <w:start w:val="single" w:sz="2" w:space="0" w:color="000000"/>
            </w:tcBorders>
            <w:shd w:fill="auto" w:val="clear"/>
            <w:tcMar>
              <w:start w:w="102" w:type="dxa"/>
            </w:tcMar>
          </w:tcPr>
          <w:p>
            <w:pPr>
              <w:pStyle w:val="Normal"/>
              <w:jc w:val="center"/>
              <w:rPr/>
            </w:pPr>
            <w:r>
              <w:rPr/>
              <w:t xml:space="preserve">1 </w:t>
            </w:r>
          </w:p>
          <w:p>
            <w:pPr>
              <w:pStyle w:val="Normal"/>
              <w:jc w:val="center"/>
              <w:rPr/>
            </w:pPr>
            <w:r>
              <w:rPr/>
            </w:r>
          </w:p>
        </w:tc>
        <w:tc>
          <w:tcPr>
            <w:tcW w:w="1080" w:type="dxa"/>
            <w:gridSpan w:val="2"/>
            <w:tcBorders>
              <w:start w:val="single" w:sz="2" w:space="0" w:color="000000"/>
            </w:tcBorders>
            <w:shd w:fill="auto" w:val="clear"/>
            <w:tcMar>
              <w:start w:w="102" w:type="dxa"/>
            </w:tcMar>
          </w:tcPr>
          <w:p>
            <w:pPr>
              <w:pStyle w:val="Normal"/>
              <w:rPr/>
            </w:pPr>
            <w:r>
              <w:rPr/>
              <w:t xml:space="preserve">1 </w:t>
            </w:r>
          </w:p>
          <w:p>
            <w:pPr>
              <w:pStyle w:val="Normal"/>
              <w:rPr/>
            </w:pPr>
            <w:r>
              <w:rPr/>
            </w:r>
          </w:p>
        </w:tc>
        <w:tc>
          <w:tcPr>
            <w:tcW w:w="1155" w:type="dxa"/>
            <w:tcBorders>
              <w:start w:val="single" w:sz="2" w:space="0" w:color="000000"/>
            </w:tcBorders>
            <w:shd w:fill="auto" w:val="clear"/>
            <w:tcMar>
              <w:start w:w="102" w:type="dxa"/>
            </w:tcMar>
          </w:tcPr>
          <w:p>
            <w:pPr>
              <w:pStyle w:val="Normal"/>
              <w:rPr/>
            </w:pPr>
            <w:r>
              <w:rPr/>
              <w:t xml:space="preserve">1,5 </w:t>
            </w:r>
          </w:p>
          <w:p>
            <w:pPr>
              <w:pStyle w:val="Normal"/>
              <w:rPr/>
            </w:pPr>
            <w:r>
              <w:rPr/>
            </w:r>
          </w:p>
        </w:tc>
        <w:tc>
          <w:tcPr>
            <w:tcW w:w="1320" w:type="dxa"/>
            <w:gridSpan w:val="2"/>
            <w:tcBorders>
              <w:start w:val="single" w:sz="2" w:space="0" w:color="000000"/>
            </w:tcBorders>
            <w:shd w:fill="auto" w:val="clear"/>
            <w:tcMar>
              <w:start w:w="102" w:type="dxa"/>
            </w:tcMar>
          </w:tcPr>
          <w:p>
            <w:pPr>
              <w:pStyle w:val="Normal"/>
              <w:rPr/>
            </w:pPr>
            <w:r>
              <w:rPr/>
              <w:t xml:space="preserve">2 </w:t>
            </w:r>
          </w:p>
          <w:p>
            <w:pPr>
              <w:pStyle w:val="Normal"/>
              <w:rPr/>
            </w:pPr>
            <w:r>
              <w:rPr/>
            </w:r>
          </w:p>
        </w:tc>
        <w:tc>
          <w:tcPr>
            <w:tcW w:w="1140" w:type="dxa"/>
            <w:tcBorders>
              <w:start w:val="single" w:sz="2" w:space="0" w:color="000000"/>
            </w:tcBorders>
            <w:shd w:fill="auto" w:val="clear"/>
            <w:tcMar>
              <w:start w:w="102" w:type="dxa"/>
            </w:tcMar>
          </w:tcPr>
          <w:p>
            <w:pPr>
              <w:pStyle w:val="Normal"/>
              <w:rPr/>
            </w:pPr>
            <w:r>
              <w:rPr/>
              <w:t xml:space="preserve">2 </w:t>
            </w:r>
          </w:p>
          <w:p>
            <w:pPr>
              <w:pStyle w:val="Normal"/>
              <w:rPr/>
            </w:pPr>
            <w:r>
              <w:rPr/>
            </w:r>
          </w:p>
        </w:tc>
        <w:tc>
          <w:tcPr>
            <w:tcW w:w="12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2,5 </w:t>
            </w:r>
          </w:p>
          <w:p>
            <w:pPr>
              <w:pStyle w:val="Normal"/>
              <w:rPr/>
            </w:pPr>
            <w:r>
              <w:rPr/>
            </w:r>
          </w:p>
        </w:tc>
      </w:tr>
      <w:tr>
        <w:trPr/>
        <w:tc>
          <w:tcPr>
            <w:tcW w:w="1860" w:type="dxa"/>
            <w:tcBorders>
              <w:start w:val="single" w:sz="2" w:space="0" w:color="000000"/>
            </w:tcBorders>
            <w:shd w:fill="auto" w:val="clear"/>
            <w:tcMar>
              <w:start w:w="102" w:type="dxa"/>
            </w:tcMar>
          </w:tcPr>
          <w:p>
            <w:pPr>
              <w:pStyle w:val="Normal"/>
              <w:jc w:val="both"/>
              <w:rPr/>
            </w:pPr>
            <w:r>
              <w:rPr/>
              <w:t xml:space="preserve">Железобетонные </w:t>
            </w:r>
          </w:p>
          <w:p>
            <w:pPr>
              <w:pStyle w:val="Normal"/>
              <w:jc w:val="both"/>
              <w:rPr/>
            </w:pPr>
            <w:r>
              <w:rPr/>
            </w:r>
          </w:p>
        </w:tc>
        <w:tc>
          <w:tcPr>
            <w:tcW w:w="1755" w:type="dxa"/>
            <w:tcBorders>
              <w:start w:val="single" w:sz="2" w:space="0" w:color="000000"/>
            </w:tcBorders>
            <w:shd w:fill="auto" w:val="clear"/>
            <w:tcMar>
              <w:start w:w="102" w:type="dxa"/>
            </w:tcMar>
          </w:tcPr>
          <w:p>
            <w:pPr>
              <w:pStyle w:val="Normal"/>
              <w:rPr/>
            </w:pPr>
            <w:r>
              <w:rPr/>
              <w:t xml:space="preserve">Св. 600 </w:t>
            </w:r>
          </w:p>
          <w:p>
            <w:pPr>
              <w:pStyle w:val="Normal"/>
              <w:rPr/>
            </w:pPr>
            <w:r>
              <w:rPr/>
            </w:r>
          </w:p>
        </w:tc>
        <w:tc>
          <w:tcPr>
            <w:tcW w:w="1065" w:type="dxa"/>
            <w:gridSpan w:val="2"/>
            <w:tcBorders>
              <w:start w:val="single" w:sz="2" w:space="0" w:color="000000"/>
            </w:tcBorders>
            <w:shd w:fill="auto" w:val="clear"/>
            <w:tcMar>
              <w:start w:w="102" w:type="dxa"/>
            </w:tcMar>
          </w:tcPr>
          <w:p>
            <w:pPr>
              <w:pStyle w:val="Normal"/>
              <w:jc w:val="center"/>
              <w:rPr/>
            </w:pPr>
            <w:r>
              <w:rPr/>
              <w:t xml:space="preserve">1,5 </w:t>
            </w:r>
          </w:p>
          <w:p>
            <w:pPr>
              <w:pStyle w:val="Normal"/>
              <w:jc w:val="center"/>
              <w:rPr/>
            </w:pPr>
            <w:r>
              <w:rPr/>
            </w:r>
          </w:p>
        </w:tc>
        <w:tc>
          <w:tcPr>
            <w:tcW w:w="1080" w:type="dxa"/>
            <w:gridSpan w:val="2"/>
            <w:tcBorders>
              <w:start w:val="single" w:sz="2" w:space="0" w:color="000000"/>
            </w:tcBorders>
            <w:shd w:fill="auto" w:val="clear"/>
            <w:tcMar>
              <w:start w:w="102" w:type="dxa"/>
            </w:tcMar>
          </w:tcPr>
          <w:p>
            <w:pPr>
              <w:pStyle w:val="Normal"/>
              <w:rPr/>
            </w:pPr>
            <w:r>
              <w:rPr/>
              <w:t xml:space="preserve">1,5 </w:t>
            </w:r>
          </w:p>
          <w:p>
            <w:pPr>
              <w:pStyle w:val="Normal"/>
              <w:rPr/>
            </w:pPr>
            <w:r>
              <w:rPr/>
            </w:r>
          </w:p>
        </w:tc>
        <w:tc>
          <w:tcPr>
            <w:tcW w:w="1155" w:type="dxa"/>
            <w:tcBorders>
              <w:start w:val="single" w:sz="2" w:space="0" w:color="000000"/>
            </w:tcBorders>
            <w:shd w:fill="auto" w:val="clear"/>
            <w:tcMar>
              <w:start w:w="102" w:type="dxa"/>
            </w:tcMar>
          </w:tcPr>
          <w:p>
            <w:pPr>
              <w:pStyle w:val="Normal"/>
              <w:rPr/>
            </w:pPr>
            <w:r>
              <w:rPr/>
              <w:t xml:space="preserve">2 </w:t>
            </w:r>
          </w:p>
          <w:p>
            <w:pPr>
              <w:pStyle w:val="Normal"/>
              <w:rPr/>
            </w:pPr>
            <w:r>
              <w:rPr/>
            </w:r>
          </w:p>
        </w:tc>
        <w:tc>
          <w:tcPr>
            <w:tcW w:w="1320" w:type="dxa"/>
            <w:gridSpan w:val="2"/>
            <w:tcBorders>
              <w:start w:val="single" w:sz="2" w:space="0" w:color="000000"/>
            </w:tcBorders>
            <w:shd w:fill="auto" w:val="clear"/>
            <w:tcMar>
              <w:start w:w="102" w:type="dxa"/>
            </w:tcMar>
          </w:tcPr>
          <w:p>
            <w:pPr>
              <w:pStyle w:val="Normal"/>
              <w:rPr/>
            </w:pPr>
            <w:r>
              <w:rPr/>
              <w:t xml:space="preserve">2,5 </w:t>
            </w:r>
          </w:p>
          <w:p>
            <w:pPr>
              <w:pStyle w:val="Normal"/>
              <w:rPr/>
            </w:pPr>
            <w:r>
              <w:rPr/>
            </w:r>
          </w:p>
        </w:tc>
        <w:tc>
          <w:tcPr>
            <w:tcW w:w="1140" w:type="dxa"/>
            <w:tcBorders>
              <w:start w:val="single" w:sz="2" w:space="0" w:color="000000"/>
            </w:tcBorders>
            <w:shd w:fill="auto" w:val="clear"/>
            <w:tcMar>
              <w:start w:w="102" w:type="dxa"/>
            </w:tcMar>
          </w:tcPr>
          <w:p>
            <w:pPr>
              <w:pStyle w:val="Normal"/>
              <w:rPr/>
            </w:pPr>
            <w:r>
              <w:rPr/>
              <w:t xml:space="preserve">2,5 </w:t>
            </w:r>
          </w:p>
          <w:p>
            <w:pPr>
              <w:pStyle w:val="Normal"/>
              <w:rPr/>
            </w:pPr>
            <w:r>
              <w:rPr/>
            </w:r>
          </w:p>
        </w:tc>
        <w:tc>
          <w:tcPr>
            <w:tcW w:w="12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3 </w:t>
            </w:r>
          </w:p>
          <w:p>
            <w:pPr>
              <w:pStyle w:val="Normal"/>
              <w:rPr/>
            </w:pPr>
            <w:r>
              <w:rPr/>
            </w:r>
          </w:p>
        </w:tc>
      </w:tr>
      <w:tr>
        <w:trPr/>
        <w:tc>
          <w:tcPr>
            <w:tcW w:w="1860" w:type="dxa"/>
            <w:tcBorders>
              <w:start w:val="single" w:sz="2" w:space="0" w:color="000000"/>
            </w:tcBorders>
            <w:shd w:fill="auto" w:val="clear"/>
            <w:tcMar>
              <w:start w:w="102" w:type="dxa"/>
            </w:tcMar>
          </w:tcPr>
          <w:p>
            <w:pPr>
              <w:pStyle w:val="Normal"/>
              <w:jc w:val="both"/>
              <w:rPr/>
            </w:pPr>
            <w:r>
              <w:rPr/>
              <w:t xml:space="preserve">Асбестоцементные </w:t>
            </w:r>
          </w:p>
          <w:p>
            <w:pPr>
              <w:pStyle w:val="Normal"/>
              <w:jc w:val="both"/>
              <w:rPr/>
            </w:pPr>
            <w:r>
              <w:rPr/>
            </w:r>
          </w:p>
        </w:tc>
        <w:tc>
          <w:tcPr>
            <w:tcW w:w="1755" w:type="dxa"/>
            <w:tcBorders>
              <w:start w:val="single" w:sz="2" w:space="0" w:color="000000"/>
            </w:tcBorders>
            <w:shd w:fill="auto" w:val="clear"/>
            <w:tcMar>
              <w:start w:w="102" w:type="dxa"/>
            </w:tcMar>
          </w:tcPr>
          <w:p>
            <w:pPr>
              <w:pStyle w:val="Normal"/>
              <w:rPr/>
            </w:pPr>
            <w:r>
              <w:rPr/>
              <w:t xml:space="preserve">До 500 </w:t>
            </w:r>
          </w:p>
          <w:p>
            <w:pPr>
              <w:pStyle w:val="Normal"/>
              <w:rPr/>
            </w:pPr>
            <w:r>
              <w:rPr/>
            </w:r>
          </w:p>
        </w:tc>
        <w:tc>
          <w:tcPr>
            <w:tcW w:w="1065" w:type="dxa"/>
            <w:gridSpan w:val="2"/>
            <w:tcBorders>
              <w:start w:val="single" w:sz="2" w:space="0" w:color="000000"/>
            </w:tcBorders>
            <w:shd w:fill="auto" w:val="clear"/>
            <w:tcMar>
              <w:start w:w="102" w:type="dxa"/>
            </w:tcMar>
          </w:tcPr>
          <w:p>
            <w:pPr>
              <w:pStyle w:val="Normal"/>
              <w:jc w:val="center"/>
              <w:rPr/>
            </w:pPr>
            <w:r>
              <w:rPr/>
              <w:t xml:space="preserve">1,5 </w:t>
            </w:r>
          </w:p>
          <w:p>
            <w:pPr>
              <w:pStyle w:val="Normal"/>
              <w:jc w:val="center"/>
              <w:rPr/>
            </w:pPr>
            <w:r>
              <w:rPr/>
            </w:r>
          </w:p>
        </w:tc>
        <w:tc>
          <w:tcPr>
            <w:tcW w:w="1080" w:type="dxa"/>
            <w:gridSpan w:val="2"/>
            <w:tcBorders>
              <w:start w:val="single" w:sz="2" w:space="0" w:color="000000"/>
            </w:tcBorders>
            <w:shd w:fill="auto" w:val="clear"/>
            <w:tcMar>
              <w:start w:w="102" w:type="dxa"/>
            </w:tcMar>
          </w:tcPr>
          <w:p>
            <w:pPr>
              <w:pStyle w:val="Normal"/>
              <w:rPr/>
            </w:pPr>
            <w:r>
              <w:rPr/>
              <w:t xml:space="preserve">2 </w:t>
            </w:r>
          </w:p>
          <w:p>
            <w:pPr>
              <w:pStyle w:val="Normal"/>
              <w:rPr/>
            </w:pPr>
            <w:r>
              <w:rPr/>
            </w:r>
          </w:p>
        </w:tc>
        <w:tc>
          <w:tcPr>
            <w:tcW w:w="1155" w:type="dxa"/>
            <w:tcBorders>
              <w:start w:val="single" w:sz="2" w:space="0" w:color="000000"/>
            </w:tcBorders>
            <w:shd w:fill="auto" w:val="clear"/>
            <w:tcMar>
              <w:start w:w="102" w:type="dxa"/>
            </w:tcMar>
          </w:tcPr>
          <w:p>
            <w:pPr>
              <w:pStyle w:val="Normal"/>
              <w:rPr/>
            </w:pPr>
            <w:r>
              <w:rPr/>
              <w:t xml:space="preserve">2,5 </w:t>
            </w:r>
          </w:p>
          <w:p>
            <w:pPr>
              <w:pStyle w:val="Normal"/>
              <w:rPr/>
            </w:pPr>
            <w:r>
              <w:rPr/>
            </w:r>
          </w:p>
        </w:tc>
        <w:tc>
          <w:tcPr>
            <w:tcW w:w="1320" w:type="dxa"/>
            <w:gridSpan w:val="2"/>
            <w:tcBorders>
              <w:start w:val="single" w:sz="2" w:space="0" w:color="000000"/>
            </w:tcBorders>
            <w:shd w:fill="auto" w:val="clear"/>
            <w:tcMar>
              <w:start w:w="102" w:type="dxa"/>
            </w:tcMar>
          </w:tcPr>
          <w:p>
            <w:pPr>
              <w:pStyle w:val="Normal"/>
              <w:rPr/>
            </w:pPr>
            <w:r>
              <w:rPr/>
              <w:t xml:space="preserve">3 </w:t>
            </w:r>
          </w:p>
          <w:p>
            <w:pPr>
              <w:pStyle w:val="Normal"/>
              <w:rPr/>
            </w:pPr>
            <w:r>
              <w:rPr/>
            </w:r>
          </w:p>
        </w:tc>
        <w:tc>
          <w:tcPr>
            <w:tcW w:w="1140" w:type="dxa"/>
            <w:tcBorders>
              <w:start w:val="single" w:sz="2" w:space="0" w:color="000000"/>
            </w:tcBorders>
            <w:shd w:fill="auto" w:val="clear"/>
            <w:tcMar>
              <w:start w:w="102" w:type="dxa"/>
            </w:tcMar>
          </w:tcPr>
          <w:p>
            <w:pPr>
              <w:pStyle w:val="Normal"/>
              <w:rPr/>
            </w:pPr>
            <w:r>
              <w:rPr/>
              <w:t xml:space="preserve">4 </w:t>
            </w:r>
          </w:p>
          <w:p>
            <w:pPr>
              <w:pStyle w:val="Normal"/>
              <w:rPr/>
            </w:pPr>
            <w:r>
              <w:rPr/>
            </w:r>
          </w:p>
        </w:tc>
        <w:tc>
          <w:tcPr>
            <w:tcW w:w="12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5 </w:t>
            </w:r>
          </w:p>
          <w:p>
            <w:pPr>
              <w:pStyle w:val="Normal"/>
              <w:rPr/>
            </w:pPr>
            <w:r>
              <w:rPr/>
            </w:r>
          </w:p>
        </w:tc>
      </w:tr>
      <w:tr>
        <w:trPr/>
        <w:tc>
          <w:tcPr>
            <w:tcW w:w="1860" w:type="dxa"/>
            <w:tcBorders>
              <w:start w:val="single" w:sz="2" w:space="0" w:color="000000"/>
            </w:tcBorders>
            <w:shd w:fill="auto" w:val="clear"/>
            <w:tcMar>
              <w:start w:w="102" w:type="dxa"/>
            </w:tcMar>
          </w:tcPr>
          <w:p>
            <w:pPr>
              <w:pStyle w:val="Normal"/>
              <w:jc w:val="both"/>
              <w:rPr/>
            </w:pPr>
            <w:r>
              <w:rPr/>
              <w:t xml:space="preserve">Пластмассовые </w:t>
            </w:r>
          </w:p>
          <w:p>
            <w:pPr>
              <w:pStyle w:val="Normal"/>
              <w:jc w:val="both"/>
              <w:rPr/>
            </w:pPr>
            <w:r>
              <w:rPr/>
            </w:r>
          </w:p>
        </w:tc>
        <w:tc>
          <w:tcPr>
            <w:tcW w:w="1755" w:type="dxa"/>
            <w:tcBorders>
              <w:start w:val="single" w:sz="2" w:space="0" w:color="000000"/>
            </w:tcBorders>
            <w:shd w:fill="auto" w:val="clear"/>
            <w:tcMar>
              <w:start w:w="102" w:type="dxa"/>
            </w:tcMar>
          </w:tcPr>
          <w:p>
            <w:pPr>
              <w:pStyle w:val="Normal"/>
              <w:rPr/>
            </w:pPr>
            <w:r>
              <w:rPr/>
              <w:t xml:space="preserve">До 600 </w:t>
            </w:r>
          </w:p>
          <w:p>
            <w:pPr>
              <w:pStyle w:val="Normal"/>
              <w:rPr/>
            </w:pPr>
            <w:r>
              <w:rPr/>
            </w:r>
          </w:p>
        </w:tc>
        <w:tc>
          <w:tcPr>
            <w:tcW w:w="1065" w:type="dxa"/>
            <w:gridSpan w:val="2"/>
            <w:tcBorders>
              <w:start w:val="single" w:sz="2" w:space="0" w:color="000000"/>
            </w:tcBorders>
            <w:shd w:fill="auto" w:val="clear"/>
            <w:tcMar>
              <w:start w:w="102" w:type="dxa"/>
            </w:tcMar>
          </w:tcPr>
          <w:p>
            <w:pPr>
              <w:pStyle w:val="Normal"/>
              <w:jc w:val="center"/>
              <w:rPr/>
            </w:pPr>
            <w:r>
              <w:rPr/>
              <w:t xml:space="preserve">1,2 </w:t>
            </w:r>
          </w:p>
          <w:p>
            <w:pPr>
              <w:pStyle w:val="Normal"/>
              <w:jc w:val="center"/>
              <w:rPr/>
            </w:pPr>
            <w:r>
              <w:rPr/>
            </w:r>
          </w:p>
        </w:tc>
        <w:tc>
          <w:tcPr>
            <w:tcW w:w="1080" w:type="dxa"/>
            <w:gridSpan w:val="2"/>
            <w:tcBorders>
              <w:start w:val="single" w:sz="2" w:space="0" w:color="000000"/>
            </w:tcBorders>
            <w:shd w:fill="auto" w:val="clear"/>
            <w:tcMar>
              <w:start w:w="102" w:type="dxa"/>
            </w:tcMar>
          </w:tcPr>
          <w:p>
            <w:pPr>
              <w:pStyle w:val="Normal"/>
              <w:rPr/>
            </w:pPr>
            <w:r>
              <w:rPr/>
              <w:t xml:space="preserve">1,2 </w:t>
            </w:r>
          </w:p>
          <w:p>
            <w:pPr>
              <w:pStyle w:val="Normal"/>
              <w:rPr/>
            </w:pPr>
            <w:r>
              <w:rPr/>
            </w:r>
          </w:p>
        </w:tc>
        <w:tc>
          <w:tcPr>
            <w:tcW w:w="1155" w:type="dxa"/>
            <w:tcBorders>
              <w:start w:val="single" w:sz="2" w:space="0" w:color="000000"/>
            </w:tcBorders>
            <w:shd w:fill="auto" w:val="clear"/>
            <w:tcMar>
              <w:start w:w="102" w:type="dxa"/>
            </w:tcMar>
          </w:tcPr>
          <w:p>
            <w:pPr>
              <w:pStyle w:val="Normal"/>
              <w:rPr/>
            </w:pPr>
            <w:r>
              <w:rPr/>
              <w:t xml:space="preserve">1,4 </w:t>
            </w:r>
          </w:p>
          <w:p>
            <w:pPr>
              <w:pStyle w:val="Normal"/>
              <w:rPr/>
            </w:pPr>
            <w:r>
              <w:rPr/>
            </w:r>
          </w:p>
        </w:tc>
        <w:tc>
          <w:tcPr>
            <w:tcW w:w="1320" w:type="dxa"/>
            <w:gridSpan w:val="2"/>
            <w:tcBorders>
              <w:start w:val="single" w:sz="2" w:space="0" w:color="000000"/>
            </w:tcBorders>
            <w:shd w:fill="auto" w:val="clear"/>
            <w:tcMar>
              <w:start w:w="102" w:type="dxa"/>
            </w:tcMar>
          </w:tcPr>
          <w:p>
            <w:pPr>
              <w:pStyle w:val="Normal"/>
              <w:rPr/>
            </w:pPr>
            <w:r>
              <w:rPr/>
              <w:t xml:space="preserve">1,7 </w:t>
            </w:r>
          </w:p>
          <w:p>
            <w:pPr>
              <w:pStyle w:val="Normal"/>
              <w:rPr/>
            </w:pPr>
            <w:r>
              <w:rPr/>
            </w:r>
          </w:p>
        </w:tc>
        <w:tc>
          <w:tcPr>
            <w:tcW w:w="1140" w:type="dxa"/>
            <w:tcBorders>
              <w:start w:val="single" w:sz="2" w:space="0" w:color="000000"/>
            </w:tcBorders>
            <w:shd w:fill="auto" w:val="clear"/>
            <w:tcMar>
              <w:start w:w="102" w:type="dxa"/>
            </w:tcMar>
          </w:tcPr>
          <w:p>
            <w:pPr>
              <w:pStyle w:val="Normal"/>
              <w:rPr/>
            </w:pPr>
            <w:r>
              <w:rPr/>
              <w:t xml:space="preserve">1,7 </w:t>
            </w:r>
          </w:p>
          <w:p>
            <w:pPr>
              <w:pStyle w:val="Normal"/>
              <w:rPr/>
            </w:pPr>
            <w:r>
              <w:rPr/>
            </w:r>
          </w:p>
        </w:tc>
        <w:tc>
          <w:tcPr>
            <w:tcW w:w="123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2,2 </w:t>
            </w:r>
          </w:p>
          <w:p>
            <w:pPr>
              <w:pStyle w:val="Normal"/>
              <w:rPr/>
            </w:pPr>
            <w:r>
              <w:rPr/>
            </w:r>
          </w:p>
        </w:tc>
      </w:tr>
      <w:tr>
        <w:trPr/>
        <w:tc>
          <w:tcPr>
            <w:tcW w:w="1860" w:type="dxa"/>
            <w:tcBorders>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Пластмассовые </w:t>
            </w:r>
          </w:p>
          <w:p>
            <w:pPr>
              <w:pStyle w:val="Normal"/>
              <w:jc w:val="both"/>
              <w:rPr/>
            </w:pPr>
            <w:r>
              <w:rPr/>
            </w:r>
          </w:p>
        </w:tc>
        <w:tc>
          <w:tcPr>
            <w:tcW w:w="175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Св. 600 </w:t>
            </w:r>
          </w:p>
          <w:p>
            <w:pPr>
              <w:pStyle w:val="Normal"/>
              <w:rPr/>
            </w:pPr>
            <w:r>
              <w:rPr/>
            </w:r>
          </w:p>
        </w:tc>
        <w:tc>
          <w:tcPr>
            <w:tcW w:w="1065" w:type="dxa"/>
            <w:gridSpan w:val="2"/>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1,6 </w:t>
            </w:r>
          </w:p>
          <w:p>
            <w:pPr>
              <w:pStyle w:val="Normal"/>
              <w:jc w:val="center"/>
              <w:rPr/>
            </w:pPr>
            <w:r>
              <w:rPr/>
            </w:r>
          </w:p>
        </w:tc>
        <w:tc>
          <w:tcPr>
            <w:tcW w:w="1080"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r>
              <w:rPr/>
              <w:t>-</w:t>
            </w:r>
          </w:p>
          <w:p>
            <w:pPr>
              <w:pStyle w:val="Normal"/>
              <w:rPr/>
            </w:pPr>
            <w:r>
              <w:rPr/>
            </w:r>
          </w:p>
        </w:tc>
        <w:tc>
          <w:tcPr>
            <w:tcW w:w="115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1,8 </w:t>
            </w:r>
          </w:p>
          <w:p>
            <w:pPr>
              <w:pStyle w:val="Normal"/>
              <w:jc w:val="center"/>
              <w:rPr/>
            </w:pPr>
            <w:r>
              <w:rPr/>
            </w:r>
          </w:p>
        </w:tc>
        <w:tc>
          <w:tcPr>
            <w:tcW w:w="1320"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r>
              <w:rPr/>
              <w:t>-</w:t>
            </w:r>
          </w:p>
          <w:p>
            <w:pPr>
              <w:pStyle w:val="Normal"/>
              <w:rPr/>
            </w:pPr>
            <w:r>
              <w:rPr/>
            </w:r>
          </w:p>
        </w:tc>
        <w:tc>
          <w:tcPr>
            <w:tcW w:w="114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2,2 </w:t>
            </w:r>
          </w:p>
          <w:p>
            <w:pPr>
              <w:pStyle w:val="Normal"/>
              <w:jc w:val="center"/>
              <w:rPr/>
            </w:pPr>
            <w:r>
              <w:rPr/>
            </w:r>
          </w:p>
        </w:tc>
        <w:tc>
          <w:tcPr>
            <w:tcW w:w="123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                </w:t>
            </w:r>
            <w:r>
              <w:rPr/>
              <w:t>-</w:t>
            </w:r>
          </w:p>
          <w:p>
            <w:pPr>
              <w:pStyle w:val="Normal"/>
              <w:rPr/>
            </w:pPr>
            <w:r>
              <w:rPr/>
            </w:r>
          </w:p>
        </w:tc>
      </w:tr>
    </w:tbl>
    <w:p>
      <w:pPr>
        <w:pStyle w:val="Normal"/>
        <w:jc w:val="both"/>
        <w:rPr/>
      </w:pPr>
      <w:r>
        <w:rPr/>
      </w:r>
    </w:p>
    <w:p>
      <w:pPr>
        <w:pStyle w:val="Normal"/>
        <w:ind w:firstLine="270"/>
        <w:jc w:val="both"/>
        <w:rPr/>
      </w:pPr>
      <w:r>
        <w:rPr/>
        <w:t>Примечания: 1. При параллельной прокладке водоводов на разных уровнях указанные в таблице расстояния надлежит соблюдать исходя из разности отметок заложения труб.</w:t>
      </w:r>
    </w:p>
    <w:p>
      <w:pPr>
        <w:pStyle w:val="Normal"/>
        <w:ind w:firstLine="270"/>
        <w:jc w:val="both"/>
        <w:rPr/>
      </w:pPr>
      <w:r>
        <w:rPr/>
      </w:r>
    </w:p>
    <w:p>
      <w:pPr>
        <w:pStyle w:val="Normal"/>
        <w:ind w:firstLine="225"/>
        <w:jc w:val="both"/>
        <w:rPr/>
      </w:pPr>
      <w:r>
        <w:rPr/>
        <w:t xml:space="preserve">2. Для водоводов, различающихся по диаметру и материалу труб, расстояния следует принимать по тому виду труб, для которого они оказываются большими.    </w:t>
      </w:r>
    </w:p>
    <w:p>
      <w:pPr>
        <w:pStyle w:val="Normal"/>
        <w:ind w:firstLine="90"/>
        <w:jc w:val="both"/>
        <w:rPr/>
      </w:pPr>
      <w:r>
        <w:rPr/>
      </w:r>
    </w:p>
    <w:p>
      <w:pPr>
        <w:pStyle w:val="Normal"/>
        <w:ind w:firstLine="270"/>
        <w:jc w:val="both"/>
        <w:rPr/>
      </w:pPr>
      <w:r>
        <w:rPr/>
      </w:r>
    </w:p>
    <w:p>
      <w:pPr>
        <w:pStyle w:val="Normal"/>
        <w:ind w:firstLine="225"/>
        <w:jc w:val="both"/>
        <w:rPr/>
      </w:pPr>
      <w:r>
        <w:rPr/>
        <w:t xml:space="preserve">8.54. Расстояние по вертикали от подошвы рельса железнодорожного пути или от покрытия автомобильной дороги до верха трубы, футляра или тоннеля должно приниматься согласно </w:t>
      </w:r>
      <w:r>
        <w:rPr>
          <w:vanish/>
        </w:rPr>
        <w:t>#M12291 5200094</w:t>
      </w:r>
      <w:r>
        <w:rPr/>
        <w:t>СНиП II-89-80*</w:t>
      </w:r>
      <w:r>
        <w:rPr>
          <w:vanish/>
        </w:rPr>
        <w:t>#S</w:t>
      </w:r>
      <w:r>
        <w:rPr/>
        <w:t>.</w:t>
      </w:r>
    </w:p>
    <w:p>
      <w:pPr>
        <w:pStyle w:val="Normal"/>
        <w:ind w:firstLine="270"/>
        <w:jc w:val="both"/>
        <w:rPr/>
      </w:pPr>
      <w:r>
        <w:rPr/>
      </w:r>
    </w:p>
    <w:p>
      <w:pPr>
        <w:pStyle w:val="Normal"/>
        <w:ind w:firstLine="225"/>
        <w:jc w:val="both"/>
        <w:rPr/>
      </w:pPr>
      <w:r>
        <w:rPr/>
        <w:t>Заглубление трубопроводов в местах переходов при наличии пучинистых грунтов должно определяться теплотехническим расчетом с целью исключения морозного пучения грунта.</w:t>
      </w:r>
    </w:p>
    <w:p>
      <w:pPr>
        <w:pStyle w:val="Normal"/>
        <w:ind w:firstLine="225"/>
        <w:jc w:val="both"/>
        <w:rPr/>
      </w:pPr>
      <w:r>
        <w:rPr/>
      </w:r>
    </w:p>
    <w:p>
      <w:pPr>
        <w:pStyle w:val="Normal"/>
        <w:ind w:firstLine="225"/>
        <w:jc w:val="both"/>
        <w:rPr/>
      </w:pPr>
      <w:r>
        <w:rPr/>
        <w:t>8.55. Расстояние в плане от обреза футляра, а в случае устройства - в конце футляра колодца  - от наружной поверхности стены колодца должно приниматься:</w:t>
      </w:r>
    </w:p>
    <w:p>
      <w:pPr>
        <w:pStyle w:val="Normal"/>
        <w:ind w:firstLine="225"/>
        <w:jc w:val="both"/>
        <w:rPr/>
      </w:pPr>
      <w:r>
        <w:rPr/>
      </w:r>
    </w:p>
    <w:p>
      <w:pPr>
        <w:pStyle w:val="Normal"/>
        <w:ind w:firstLine="225"/>
        <w:jc w:val="both"/>
        <w:rPr/>
      </w:pPr>
      <w:r>
        <w:rPr/>
        <w:t>при пересечении железных дорог  - 8 м от оси крайнего пути, 5 м от подошвы насыпи, 3 м от бровки выемки и от крайних водоотводных сооружений (кюветов, нагорных канав, лотков и дренажей);</w:t>
      </w:r>
    </w:p>
    <w:p>
      <w:pPr>
        <w:pStyle w:val="Normal"/>
        <w:ind w:firstLine="225"/>
        <w:jc w:val="both"/>
        <w:rPr/>
      </w:pPr>
      <w:r>
        <w:rPr/>
      </w:r>
    </w:p>
    <w:p>
      <w:pPr>
        <w:pStyle w:val="Normal"/>
        <w:ind w:firstLine="225"/>
        <w:jc w:val="both"/>
        <w:rPr/>
      </w:pPr>
      <w:r>
        <w:rPr/>
        <w:t>при пересечении автомобильных дорог - 3 м от бровки земляного полотна или подошвы насыпи, бровки выемки, наружной бровки нагорной канавы или другого водоотводного сооружения.</w:t>
      </w:r>
    </w:p>
    <w:p>
      <w:pPr>
        <w:pStyle w:val="Normal"/>
        <w:ind w:firstLine="180"/>
        <w:jc w:val="both"/>
        <w:rPr/>
      </w:pPr>
      <w:r>
        <w:rPr/>
      </w:r>
    </w:p>
    <w:p>
      <w:pPr>
        <w:pStyle w:val="Normal"/>
        <w:ind w:firstLine="225"/>
        <w:jc w:val="both"/>
        <w:rPr/>
      </w:pPr>
      <w:r>
        <w:rPr/>
        <w:t>Расстояние в плане от наружной поверхности футляра или тоннеля следует принимать не менее:</w:t>
      </w:r>
    </w:p>
    <w:p>
      <w:pPr>
        <w:pStyle w:val="Normal"/>
        <w:ind w:firstLine="225"/>
        <w:jc w:val="both"/>
        <w:rPr/>
      </w:pPr>
      <w:r>
        <w:rPr/>
      </w:r>
    </w:p>
    <w:p>
      <w:pPr>
        <w:pStyle w:val="Normal"/>
        <w:ind w:firstLine="225"/>
        <w:jc w:val="both"/>
        <w:rPr/>
      </w:pPr>
      <w:r>
        <w:rPr/>
        <w:t xml:space="preserve">3 м  - до опор контактной сети; </w:t>
      </w:r>
    </w:p>
    <w:p>
      <w:pPr>
        <w:pStyle w:val="Normal"/>
        <w:ind w:firstLine="225"/>
        <w:jc w:val="both"/>
        <w:rPr/>
      </w:pPr>
      <w:r>
        <w:rPr/>
      </w:r>
    </w:p>
    <w:p>
      <w:pPr>
        <w:pStyle w:val="Normal"/>
        <w:ind w:firstLine="225"/>
        <w:jc w:val="both"/>
        <w:rPr/>
      </w:pPr>
      <w:r>
        <w:rPr/>
        <w:t>10 м - до стрелок, крестовин и мест присоединения отсасывающего кабеля к рельсам электрифицированных дорог;</w:t>
      </w:r>
    </w:p>
    <w:p>
      <w:pPr>
        <w:pStyle w:val="Normal"/>
        <w:ind w:firstLine="225"/>
        <w:jc w:val="both"/>
        <w:rPr/>
      </w:pPr>
      <w:r>
        <w:rPr/>
      </w:r>
    </w:p>
    <w:p>
      <w:pPr>
        <w:pStyle w:val="Normal"/>
        <w:ind w:firstLine="225"/>
        <w:jc w:val="both"/>
        <w:rPr/>
      </w:pPr>
      <w:r>
        <w:rPr/>
        <w:t>30 м - до мостов, водопропускных труб, туннелей и других искусственных сооружений.</w:t>
      </w:r>
    </w:p>
    <w:p>
      <w:pPr>
        <w:pStyle w:val="Normal"/>
        <w:ind w:firstLine="270"/>
        <w:jc w:val="both"/>
        <w:rPr/>
      </w:pPr>
      <w:r>
        <w:rPr/>
      </w:r>
    </w:p>
    <w:p>
      <w:pPr>
        <w:pStyle w:val="Normal"/>
        <w:ind w:firstLine="225"/>
        <w:jc w:val="both"/>
        <w:rPr/>
      </w:pPr>
      <w:r>
        <w:rPr/>
        <w:t>Примечание. Расстояние от обреза футляра (туннеля) следует уточнять в зависимости от наличия кабелей междугородной связи, сигнализации и др., уложенных вдоль дорог.</w:t>
      </w:r>
    </w:p>
    <w:p>
      <w:pPr>
        <w:pStyle w:val="Normal"/>
        <w:ind w:firstLine="270"/>
        <w:jc w:val="both"/>
        <w:rPr/>
      </w:pPr>
      <w:r>
        <w:rPr/>
      </w:r>
    </w:p>
    <w:p>
      <w:pPr>
        <w:pStyle w:val="Normal"/>
        <w:ind w:firstLine="225"/>
        <w:jc w:val="both"/>
        <w:rPr/>
      </w:pPr>
      <w:r>
        <w:rPr/>
        <w:t>8.56. Внутренний диаметр футляра надлежит принимать при производстве работ:</w:t>
      </w:r>
    </w:p>
    <w:p>
      <w:pPr>
        <w:pStyle w:val="Normal"/>
        <w:ind w:firstLine="225"/>
        <w:jc w:val="both"/>
        <w:rPr/>
      </w:pPr>
      <w:r>
        <w:rPr/>
      </w:r>
    </w:p>
    <w:p>
      <w:pPr>
        <w:pStyle w:val="Normal"/>
        <w:ind w:firstLine="225"/>
        <w:jc w:val="both"/>
        <w:rPr/>
      </w:pPr>
      <w:r>
        <w:rPr/>
        <w:t>открытым способом - на 200 мм больше наружного диаметра трубопровода;</w:t>
      </w:r>
    </w:p>
    <w:p>
      <w:pPr>
        <w:pStyle w:val="Normal"/>
        <w:ind w:firstLine="225"/>
        <w:jc w:val="both"/>
        <w:rPr/>
      </w:pPr>
      <w:r>
        <w:rPr/>
      </w:r>
    </w:p>
    <w:p>
      <w:pPr>
        <w:pStyle w:val="Normal"/>
        <w:ind w:firstLine="225"/>
        <w:jc w:val="both"/>
        <w:rPr/>
      </w:pPr>
      <w:r>
        <w:rPr/>
        <w:t xml:space="preserve">закрытым способом - в зависимости от длины перехода и диаметра трубопровода согласно </w:t>
      </w:r>
      <w:r>
        <w:rPr>
          <w:vanish/>
        </w:rPr>
        <w:t>#M12291 5200088</w:t>
      </w:r>
      <w:r>
        <w:rPr/>
        <w:t>СНиП III-4-80*</w:t>
      </w:r>
      <w:r>
        <w:rPr>
          <w:vanish/>
        </w:rPr>
        <w:t>#S</w:t>
      </w:r>
      <w:r>
        <w:rPr/>
        <w:t>.</w:t>
      </w:r>
    </w:p>
    <w:p>
      <w:pPr>
        <w:pStyle w:val="Normal"/>
        <w:ind w:firstLine="270"/>
        <w:jc w:val="both"/>
        <w:rPr/>
      </w:pPr>
      <w:r>
        <w:rPr/>
      </w:r>
    </w:p>
    <w:p>
      <w:pPr>
        <w:pStyle w:val="Normal"/>
        <w:ind w:firstLine="270"/>
        <w:jc w:val="both"/>
        <w:rPr/>
      </w:pPr>
      <w:r>
        <w:rPr/>
        <w:t>Примечание. В одном футляре или туннеле допускаются укладка нескольких трубопроводов, а также совместная прокладка трубопроводов и коммуникаций (электрокабели, связь и т.д.).</w:t>
      </w:r>
    </w:p>
    <w:p>
      <w:pPr>
        <w:pStyle w:val="Normal"/>
        <w:ind w:firstLine="270"/>
        <w:jc w:val="both"/>
        <w:rPr/>
      </w:pPr>
      <w:r>
        <w:rPr/>
      </w:r>
    </w:p>
    <w:p>
      <w:pPr>
        <w:pStyle w:val="Normal"/>
        <w:ind w:firstLine="270"/>
        <w:jc w:val="both"/>
        <w:rPr/>
      </w:pPr>
      <w:r>
        <w:rPr/>
        <w:t>8.57. Переходы трубопроводов над железными дорогами должны предусматриваться в футлярах на специальных эстакадах с учетом требований пп. 8.55 и 8.59.</w:t>
      </w:r>
    </w:p>
    <w:p>
      <w:pPr>
        <w:pStyle w:val="Normal"/>
        <w:ind w:firstLine="270"/>
        <w:jc w:val="both"/>
        <w:rPr/>
      </w:pPr>
      <w:r>
        <w:rPr/>
      </w:r>
    </w:p>
    <w:p>
      <w:pPr>
        <w:pStyle w:val="Normal"/>
        <w:ind w:firstLine="225"/>
        <w:jc w:val="both"/>
        <w:rPr/>
      </w:pPr>
      <w:r>
        <w:rPr/>
        <w:t>8.58. При пересечении электрифицированной железной дороги должны быть предусмотрены мероприятия по защите труб от коррозии, вызываемой блуждающими токами.</w:t>
      </w:r>
    </w:p>
    <w:p>
      <w:pPr>
        <w:pStyle w:val="Normal"/>
        <w:ind w:firstLine="225"/>
        <w:jc w:val="both"/>
        <w:rPr/>
      </w:pPr>
      <w:r>
        <w:rPr/>
      </w:r>
    </w:p>
    <w:p>
      <w:pPr>
        <w:pStyle w:val="Normal"/>
        <w:ind w:firstLine="270"/>
        <w:jc w:val="both"/>
        <w:rPr/>
      </w:pPr>
      <w:r>
        <w:rPr/>
        <w:t>8.59. При проектировании переходов через железные дороги I, II и III категорий общей сети, а также автомобильные дороги I и II категорий должны предусматриваться мероприятия по предотвращению подмыва или подтопления дорог при повреждении трубопроводов.</w:t>
      </w:r>
    </w:p>
    <w:p>
      <w:pPr>
        <w:pStyle w:val="Normal"/>
        <w:ind w:firstLine="225"/>
        <w:jc w:val="both"/>
        <w:rPr/>
      </w:pPr>
      <w:r>
        <w:rPr/>
      </w:r>
    </w:p>
    <w:p>
      <w:pPr>
        <w:pStyle w:val="Normal"/>
        <w:ind w:firstLine="270"/>
        <w:jc w:val="both"/>
        <w:rPr/>
      </w:pPr>
      <w:r>
        <w:rPr/>
        <w:t>При этом на трубопроводе с обеих сторон перехода под железными дорогами следует, как правило, предусматривать колодцы с установкой в них запорной арматуры.</w:t>
      </w:r>
    </w:p>
    <w:p>
      <w:pPr>
        <w:pStyle w:val="Normal"/>
        <w:ind w:firstLine="225"/>
        <w:jc w:val="both"/>
        <w:rPr/>
      </w:pPr>
      <w:r>
        <w:rPr/>
      </w:r>
    </w:p>
    <w:p>
      <w:pPr>
        <w:pStyle w:val="Normal"/>
        <w:ind w:firstLine="270"/>
        <w:jc w:val="both"/>
        <w:rPr/>
      </w:pPr>
      <w:r>
        <w:rPr/>
        <w:t>8.60. Проект перехода через железные и автомобильные дороги должен согласовываться с органами Министерства путей сообщения или Министерства строительства и эксплуатации автомобильных дорог союзных республик.</w:t>
      </w:r>
    </w:p>
    <w:p>
      <w:pPr>
        <w:pStyle w:val="Normal"/>
        <w:ind w:firstLine="180"/>
        <w:jc w:val="both"/>
        <w:rPr/>
      </w:pPr>
      <w:r>
        <w:rPr/>
      </w:r>
    </w:p>
    <w:p>
      <w:pPr>
        <w:pStyle w:val="Normal"/>
        <w:ind w:firstLine="270"/>
        <w:jc w:val="both"/>
        <w:rPr/>
      </w:pPr>
      <w:r>
        <w:rPr/>
        <w:t>8.61. При переходе трубопроводов через водотоки количество линий дюкера должно быть не менее двух; при выключении одной линии по остальным должна обеспечиваться подача 100 %-го расчетного расхода воды. Линии дюкера должны укладываться из стальных труб с усиленной антикоррозионной изоляцией, защищенной от механических повреждений.</w:t>
      </w:r>
    </w:p>
    <w:p>
      <w:pPr>
        <w:pStyle w:val="Normal"/>
        <w:ind w:firstLine="225"/>
        <w:jc w:val="both"/>
        <w:rPr/>
      </w:pPr>
      <w:r>
        <w:rPr/>
      </w:r>
    </w:p>
    <w:p>
      <w:pPr>
        <w:pStyle w:val="Normal"/>
        <w:ind w:firstLine="270"/>
        <w:jc w:val="both"/>
        <w:rPr/>
      </w:pPr>
      <w:r>
        <w:rPr/>
        <w:t>Проект дюкера через судоходные водотоки должен согласовываться с органами управления речным флотом союзных республик.</w:t>
      </w:r>
    </w:p>
    <w:p>
      <w:pPr>
        <w:pStyle w:val="Normal"/>
        <w:ind w:firstLine="225"/>
        <w:jc w:val="both"/>
        <w:rPr/>
      </w:pPr>
      <w:r>
        <w:rPr/>
      </w:r>
    </w:p>
    <w:p>
      <w:pPr>
        <w:pStyle w:val="Normal"/>
        <w:ind w:firstLine="270"/>
        <w:jc w:val="both"/>
        <w:rPr/>
      </w:pPr>
      <w:r>
        <w:rPr/>
        <w:t>Глубина укладки подводной части трубопровода до верха трубы должна быть не менее 0,5 м ниже дна водотока, а в пределах фарватера на судоходных водотоках - не менее 1 м. При этом надлежит учитывать возможность размыва и переформирования русла водотока.</w:t>
      </w:r>
    </w:p>
    <w:p>
      <w:pPr>
        <w:pStyle w:val="Normal"/>
        <w:ind w:firstLine="225"/>
        <w:jc w:val="both"/>
        <w:rPr/>
      </w:pPr>
      <w:r>
        <w:rPr/>
      </w:r>
    </w:p>
    <w:p>
      <w:pPr>
        <w:pStyle w:val="Normal"/>
        <w:ind w:firstLine="225"/>
        <w:jc w:val="both"/>
        <w:rPr/>
      </w:pPr>
      <w:r>
        <w:rPr/>
        <w:t>Расстояние между линиями дюкера в свету должно быть не менее 1,5 м.</w:t>
      </w:r>
    </w:p>
    <w:p>
      <w:pPr>
        <w:pStyle w:val="Normal"/>
        <w:ind w:firstLine="225"/>
        <w:jc w:val="both"/>
        <w:rPr/>
      </w:pPr>
      <w:r>
        <w:rPr/>
      </w:r>
    </w:p>
    <w:p>
      <w:pPr>
        <w:pStyle w:val="Normal"/>
        <w:ind w:firstLine="225"/>
        <w:jc w:val="both"/>
        <w:rPr/>
      </w:pPr>
      <w:r>
        <w:rPr/>
        <w:t>Уклон наклона восходящей части дюкера следует принимать не более 20° к горизонту.</w:t>
      </w:r>
    </w:p>
    <w:p>
      <w:pPr>
        <w:pStyle w:val="Normal"/>
        <w:ind w:firstLine="225"/>
        <w:jc w:val="both"/>
        <w:rPr/>
      </w:pPr>
      <w:r>
        <w:rPr/>
      </w:r>
    </w:p>
    <w:p>
      <w:pPr>
        <w:pStyle w:val="Normal"/>
        <w:ind w:firstLine="225"/>
        <w:jc w:val="both"/>
        <w:rPr/>
      </w:pPr>
      <w:r>
        <w:rPr/>
        <w:t>По обе стороны дюкера необходимо предусматривать устройство колодцев и переключений с установкой запорной арматуры.</w:t>
      </w:r>
    </w:p>
    <w:p>
      <w:pPr>
        <w:pStyle w:val="Normal"/>
        <w:ind w:firstLine="225"/>
        <w:jc w:val="both"/>
        <w:rPr/>
      </w:pPr>
      <w:r>
        <w:rPr/>
      </w:r>
    </w:p>
    <w:p>
      <w:pPr>
        <w:pStyle w:val="Normal"/>
        <w:ind w:firstLine="225"/>
        <w:jc w:val="both"/>
        <w:rPr/>
      </w:pPr>
      <w:r>
        <w:rPr/>
        <w:t>Отметка планировки у колодцев дюкера должна приниматься на 0,5 м выше максимального уровня воды в водотоке обеспеченностью 5%.</w:t>
      </w:r>
    </w:p>
    <w:p>
      <w:pPr>
        <w:pStyle w:val="Normal"/>
        <w:ind w:firstLine="225"/>
        <w:jc w:val="both"/>
        <w:rPr/>
      </w:pPr>
      <w:r>
        <w:rPr/>
      </w:r>
    </w:p>
    <w:p>
      <w:pPr>
        <w:pStyle w:val="Normal"/>
        <w:ind w:firstLine="270"/>
        <w:jc w:val="both"/>
        <w:rPr/>
      </w:pPr>
      <w:r>
        <w:rPr/>
        <w:t>8.62. На поворотах в горизонтальной или вертикальной плоскости трубопроводов из раструбных труб или соединяемых муфтами, когда возникающие усилия не могут быть восприняты стыками труб, должны предусматриваться упоры.</w:t>
      </w:r>
    </w:p>
    <w:p>
      <w:pPr>
        <w:pStyle w:val="Normal"/>
        <w:ind w:firstLine="225"/>
        <w:jc w:val="both"/>
        <w:rPr/>
      </w:pPr>
      <w:r>
        <w:rPr/>
      </w:r>
    </w:p>
    <w:p>
      <w:pPr>
        <w:pStyle w:val="Normal"/>
        <w:ind w:firstLine="270"/>
        <w:jc w:val="both"/>
        <w:rPr/>
      </w:pPr>
      <w:r>
        <w:rPr/>
        <w:t>На сварных трубопроводах упоры следует предусматривать при расположении поворотов в колодцах или угле поворота в вертикальной плоскости выпуклости вверх 30 град. и более.</w:t>
      </w:r>
    </w:p>
    <w:p>
      <w:pPr>
        <w:pStyle w:val="Normal"/>
        <w:ind w:firstLine="270"/>
        <w:jc w:val="both"/>
        <w:rPr/>
      </w:pPr>
      <w:r>
        <w:rPr/>
      </w:r>
    </w:p>
    <w:p>
      <w:pPr>
        <w:pStyle w:val="Normal"/>
        <w:ind w:firstLine="270"/>
        <w:jc w:val="both"/>
        <w:rPr/>
      </w:pPr>
      <w:r>
        <w:rPr/>
        <w:t>Примечание. На трубопроводах из раструбных труб или соединяемых муфтами с рабочим давлением до 1 МПа (10 кгс/кв.см) при углах поворота до 10°  упоры допускается не предусматривать.</w:t>
      </w:r>
    </w:p>
    <w:p>
      <w:pPr>
        <w:pStyle w:val="Normal"/>
        <w:ind w:firstLine="270"/>
        <w:jc w:val="both"/>
        <w:rPr/>
      </w:pPr>
      <w:r>
        <w:rPr/>
      </w:r>
    </w:p>
    <w:p>
      <w:pPr>
        <w:pStyle w:val="Normal"/>
        <w:ind w:firstLine="270"/>
        <w:jc w:val="both"/>
        <w:rPr/>
      </w:pPr>
      <w:r>
        <w:rPr/>
        <w:t>8.63. При определении размеров колодцев минимальные расстояния до внутренних поверхностей колодца надлежит принимать:</w:t>
      </w:r>
    </w:p>
    <w:p>
      <w:pPr>
        <w:pStyle w:val="Normal"/>
        <w:ind w:firstLine="270"/>
        <w:jc w:val="both"/>
        <w:rPr/>
      </w:pPr>
      <w:r>
        <w:rPr/>
      </w:r>
    </w:p>
    <w:p>
      <w:pPr>
        <w:pStyle w:val="Normal"/>
        <w:ind w:firstLine="225"/>
        <w:jc w:val="both"/>
        <w:rPr/>
      </w:pPr>
      <w:r>
        <w:rPr/>
        <w:t>от стенок труб при диаметре труб до 400 мм  - 0,3 м, от 500 до 600 мм - 0,5 м, более 600 мм - 0,7 м;</w:t>
      </w:r>
    </w:p>
    <w:p>
      <w:pPr>
        <w:pStyle w:val="Normal"/>
        <w:ind w:firstLine="225"/>
        <w:jc w:val="both"/>
        <w:rPr/>
      </w:pPr>
      <w:r>
        <w:rPr/>
      </w:r>
    </w:p>
    <w:p>
      <w:pPr>
        <w:pStyle w:val="Normal"/>
        <w:ind w:firstLine="225"/>
        <w:jc w:val="both"/>
        <w:rPr/>
      </w:pPr>
      <w:r>
        <w:rPr/>
        <w:t>от плоскости фланца при диаметре труб до 400 мм  - 0,3 м, более 400 мм - 0,5 м;</w:t>
      </w:r>
    </w:p>
    <w:p>
      <w:pPr>
        <w:pStyle w:val="Normal"/>
        <w:ind w:firstLine="225"/>
        <w:jc w:val="both"/>
        <w:rPr/>
      </w:pPr>
      <w:r>
        <w:rPr/>
      </w:r>
    </w:p>
    <w:p>
      <w:pPr>
        <w:pStyle w:val="Normal"/>
        <w:ind w:firstLine="225"/>
        <w:jc w:val="both"/>
        <w:rPr/>
      </w:pPr>
      <w:r>
        <w:rPr/>
        <w:t>от края раструба, обращенного к стене, при диаметре труб до 300 мм  - 0,4 м, более 300 мм - 0,5 м;</w:t>
      </w:r>
    </w:p>
    <w:p>
      <w:pPr>
        <w:pStyle w:val="Normal"/>
        <w:ind w:firstLine="225"/>
        <w:jc w:val="both"/>
        <w:rPr/>
      </w:pPr>
      <w:r>
        <w:rPr/>
      </w:r>
    </w:p>
    <w:p>
      <w:pPr>
        <w:pStyle w:val="Normal"/>
        <w:ind w:firstLine="225"/>
        <w:jc w:val="both"/>
        <w:rPr/>
      </w:pPr>
      <w:r>
        <w:rPr/>
        <w:t>от низа трубы до дна при диаметре труб до 400 мм  - 0,25 м, от 500 до 600 мм - 0,3 м, более 600 мм - 0,35 м;</w:t>
      </w:r>
    </w:p>
    <w:p>
      <w:pPr>
        <w:pStyle w:val="Normal"/>
        <w:ind w:firstLine="225"/>
        <w:jc w:val="both"/>
        <w:rPr/>
      </w:pPr>
      <w:r>
        <w:rPr/>
      </w:r>
    </w:p>
    <w:p>
      <w:pPr>
        <w:pStyle w:val="Normal"/>
        <w:ind w:firstLine="225"/>
        <w:jc w:val="both"/>
        <w:rPr/>
      </w:pPr>
      <w:r>
        <w:rPr/>
        <w:t>от верха штока задвижки с выдвижным шпинделем - 0,3 м, от маховика задвижки с невыдвижным шпинделем  - 0,5 м.</w:t>
      </w:r>
    </w:p>
    <w:p>
      <w:pPr>
        <w:pStyle w:val="Normal"/>
        <w:ind w:firstLine="225"/>
        <w:jc w:val="both"/>
        <w:rPr/>
      </w:pPr>
      <w:r>
        <w:rPr/>
      </w:r>
    </w:p>
    <w:p>
      <w:pPr>
        <w:pStyle w:val="Normal"/>
        <w:ind w:firstLine="270"/>
        <w:jc w:val="both"/>
        <w:rPr/>
      </w:pPr>
      <w:r>
        <w:rPr/>
        <w:t>Высота рабочей части колодцев должна быть не менее 1,5 м.</w:t>
      </w:r>
    </w:p>
    <w:p>
      <w:pPr>
        <w:pStyle w:val="Normal"/>
        <w:ind w:firstLine="225"/>
        <w:jc w:val="both"/>
        <w:rPr/>
      </w:pPr>
      <w:r>
        <w:rPr/>
      </w:r>
    </w:p>
    <w:p>
      <w:pPr>
        <w:pStyle w:val="Normal"/>
        <w:ind w:firstLine="270"/>
        <w:jc w:val="both"/>
        <w:rPr/>
      </w:pPr>
      <w:r>
        <w:rPr/>
        <w:t>8.64. В случаях установки на водоводах клапанов для впуска воздуха, размещаемых в колодцах, необходимо предусматривать устройство вентиляционной трубы, которая в случае подачи по водоводам воды питьевого качества должна оборудоваться фильтром.</w:t>
      </w:r>
    </w:p>
    <w:p>
      <w:pPr>
        <w:pStyle w:val="Normal"/>
        <w:ind w:firstLine="270"/>
        <w:jc w:val="both"/>
        <w:rPr/>
      </w:pPr>
      <w:r>
        <w:rPr/>
      </w:r>
    </w:p>
    <w:p>
      <w:pPr>
        <w:pStyle w:val="Normal"/>
        <w:ind w:firstLine="225"/>
        <w:jc w:val="both"/>
        <w:rPr/>
      </w:pPr>
      <w:r>
        <w:rPr/>
        <w:t>8.65. Для спуска в колодец на горловине и стенках колодца надлежит предусматривать установку рифленых стальных или чугунных скоб, допускается применение переносных металлических лестниц.</w:t>
      </w:r>
    </w:p>
    <w:p>
      <w:pPr>
        <w:pStyle w:val="Normal"/>
        <w:ind w:firstLine="225"/>
        <w:jc w:val="both"/>
        <w:rPr/>
      </w:pPr>
      <w:r>
        <w:rPr/>
      </w:r>
    </w:p>
    <w:p>
      <w:pPr>
        <w:pStyle w:val="Normal"/>
        <w:ind w:firstLine="270"/>
        <w:jc w:val="both"/>
        <w:rPr/>
      </w:pPr>
      <w:r>
        <w:rPr/>
        <w:t>Для обслуживания арматуры в колодцах при необходимости следует предусматривать площадки согласно п. 12.7.</w:t>
      </w:r>
    </w:p>
    <w:p>
      <w:pPr>
        <w:pStyle w:val="Normal"/>
        <w:ind w:firstLine="225"/>
        <w:jc w:val="both"/>
        <w:rPr/>
      </w:pPr>
      <w:r>
        <w:rPr/>
      </w:r>
    </w:p>
    <w:p>
      <w:pPr>
        <w:pStyle w:val="Normal"/>
        <w:ind w:firstLine="270"/>
        <w:jc w:val="both"/>
        <w:rPr/>
      </w:pPr>
      <w:r>
        <w:rPr/>
        <w:t>8.66. В колодцах (при обосновании) необходимо предусматривать установку вторых утепляющих крышек; в случае необходимости надлежит предусматривать люки с запорными устройствами.</w:t>
      </w:r>
    </w:p>
    <w:p>
      <w:pPr>
        <w:pStyle w:val="Normal"/>
        <w:ind w:firstLine="270"/>
        <w:jc w:val="both"/>
        <w:rPr/>
      </w:pPr>
      <w:r>
        <w:rPr/>
      </w:r>
    </w:p>
    <w:p>
      <w:pPr>
        <w:pStyle w:val="Heading"/>
        <w:jc w:val="center"/>
        <w:rPr/>
      </w:pPr>
      <w:r>
        <w:rPr/>
      </w:r>
    </w:p>
    <w:p>
      <w:pPr>
        <w:pStyle w:val="Heading"/>
        <w:jc w:val="center"/>
        <w:rPr/>
      </w:pPr>
      <w:r>
        <w:rPr/>
        <w:t>9. ЕМКОСТИ ДЛЯ ХРАНЕНИЯ ВОДЫ</w:t>
      </w:r>
    </w:p>
    <w:p>
      <w:pPr>
        <w:pStyle w:val="Heading"/>
        <w:jc w:val="center"/>
        <w:rPr/>
      </w:pPr>
      <w:r>
        <w:rPr/>
      </w:r>
    </w:p>
    <w:p>
      <w:pPr>
        <w:pStyle w:val="Heading"/>
        <w:jc w:val="center"/>
        <w:rPr/>
      </w:pPr>
      <w:r>
        <w:rPr/>
        <w:t>Общие указания</w:t>
      </w:r>
    </w:p>
    <w:p>
      <w:pPr>
        <w:pStyle w:val="Heading"/>
        <w:jc w:val="center"/>
        <w:rPr/>
      </w:pPr>
      <w:r>
        <w:rPr/>
      </w:r>
    </w:p>
    <w:p>
      <w:pPr>
        <w:pStyle w:val="Normal"/>
        <w:ind w:firstLine="270"/>
        <w:jc w:val="both"/>
        <w:rPr/>
      </w:pPr>
      <w:r>
        <w:rPr/>
      </w:r>
    </w:p>
    <w:p>
      <w:pPr>
        <w:pStyle w:val="Normal"/>
        <w:ind w:firstLine="270"/>
        <w:jc w:val="both"/>
        <w:rPr/>
      </w:pPr>
      <w:r>
        <w:rPr/>
        <w:t>9.1. Емкости в системах водоснабжения в зависимости от назначения должны включать регулирующий, пожарный, аварийный и контактный объемы воды.</w:t>
      </w:r>
    </w:p>
    <w:p>
      <w:pPr>
        <w:pStyle w:val="Normal"/>
        <w:ind w:firstLine="270"/>
        <w:jc w:val="both"/>
        <w:rPr/>
      </w:pPr>
      <w:r>
        <w:rPr/>
      </w:r>
    </w:p>
    <w:p>
      <w:pPr>
        <w:pStyle w:val="Normal"/>
        <w:ind w:firstLine="225"/>
        <w:jc w:val="both"/>
        <w:rPr/>
      </w:pPr>
      <w:r>
        <w:rPr/>
        <w:t>9.2. Регулирующий объем воды Wp, куб. м, в емкостях (резервуарах, баках водонапорных башен, контррезервуарах и др.) должен определяться на основании графиков поступления и отбора воды, а при их отсутствии по формуле</w:t>
      </w:r>
    </w:p>
    <w:p>
      <w:pPr>
        <w:pStyle w:val="Normal"/>
        <w:ind w:firstLine="270"/>
        <w:jc w:val="both"/>
        <w:rPr/>
      </w:pPr>
      <w:r>
        <w:rPr/>
      </w:r>
    </w:p>
    <w:p>
      <w:pPr>
        <w:pStyle w:val="Normal"/>
        <w:ind w:firstLine="225"/>
        <w:jc w:val="both"/>
        <w:rPr/>
      </w:pPr>
      <w:r>
        <w:rPr/>
      </w:r>
    </w:p>
    <w:tbl>
      <w:tblPr>
        <w:tblW w:w="7005" w:type="dxa"/>
        <w:jc w:val="start"/>
        <w:tblInd w:w="165" w:type="dxa"/>
        <w:tblBorders/>
        <w:tblCellMar>
          <w:top w:w="0" w:type="dxa"/>
          <w:start w:w="15" w:type="dxa"/>
          <w:bottom w:w="0" w:type="dxa"/>
          <w:end w:w="15" w:type="dxa"/>
        </w:tblCellMar>
      </w:tblPr>
      <w:tblGrid>
        <w:gridCol w:w="5580"/>
        <w:gridCol w:w="1425"/>
      </w:tblGrid>
      <w:tr>
        <w:trPr/>
        <w:tc>
          <w:tcPr>
            <w:tcW w:w="5580" w:type="dxa"/>
            <w:tcBorders/>
            <w:shd w:fill="auto" w:val="clear"/>
          </w:tcPr>
          <w:p>
            <w:pPr>
              <w:pStyle w:val="Normal"/>
              <w:rPr/>
            </w:pPr>
            <w:r>
              <w:rPr>
                <w:vanish/>
              </w:rPr>
              <w:t>#G0</w:t>
            </w:r>
            <w:r>
              <w:rPr/>
              <w:t xml:space="preserve">  </w:t>
            </w:r>
          </w:p>
          <w:p>
            <w:pPr>
              <w:pStyle w:val="Normal"/>
              <w:rPr/>
            </w:pPr>
            <w:r>
              <w:rPr/>
              <w:drawing>
                <wp:inline distT="0" distB="0" distL="0" distR="0">
                  <wp:extent cx="343535" cy="42545"/>
                  <wp:effectExtent l="0" t="0" r="0" b="0"/>
                  <wp:docPr id="155" name="Изображение1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Изображение155" descr="" title=""/>
                          <pic:cNvPicPr>
                            <a:picLocks noChangeAspect="1" noChangeArrowheads="1"/>
                          </pic:cNvPicPr>
                        </pic:nvPicPr>
                        <pic:blipFill>
                          <a:blip r:embed="rId156"/>
                          <a:stretch>
                            <a:fillRect/>
                          </a:stretch>
                        </pic:blipFill>
                        <pic:spPr bwMode="auto">
                          <a:xfrm>
                            <a:off x="0" y="0"/>
                            <a:ext cx="343535" cy="42545"/>
                          </a:xfrm>
                          <a:prstGeom prst="rect">
                            <a:avLst/>
                          </a:prstGeom>
                        </pic:spPr>
                      </pic:pic>
                    </a:graphicData>
                  </a:graphic>
                </wp:inline>
              </w:drawing>
            </w:r>
          </w:p>
        </w:tc>
        <w:tc>
          <w:tcPr>
            <w:tcW w:w="1425" w:type="dxa"/>
            <w:tcBorders/>
            <w:shd w:fill="auto" w:val="clear"/>
          </w:tcPr>
          <w:p>
            <w:pPr>
              <w:pStyle w:val="Normal"/>
              <w:snapToGrid w:val="false"/>
              <w:rPr/>
            </w:pPr>
            <w:r>
              <w:rPr/>
            </w:r>
          </w:p>
          <w:p>
            <w:pPr>
              <w:pStyle w:val="Normal"/>
              <w:rPr/>
            </w:pPr>
            <w:r>
              <w:rPr/>
              <w:t xml:space="preserve">                </w:t>
            </w:r>
            <w:r>
              <w:rPr/>
              <w:t>(33)</w:t>
            </w:r>
          </w:p>
          <w:p>
            <w:pPr>
              <w:pStyle w:val="Normal"/>
              <w:rPr/>
            </w:pPr>
            <w:r>
              <w:rPr/>
            </w:r>
          </w:p>
        </w:tc>
      </w:tr>
    </w:tbl>
    <w:p>
      <w:pPr>
        <w:pStyle w:val="Normal"/>
        <w:ind w:firstLine="225"/>
        <w:jc w:val="both"/>
        <w:rPr/>
      </w:pPr>
      <w:r>
        <w:rPr/>
        <w:t xml:space="preserve">      </w:t>
      </w:r>
      <w:r>
        <w:rPr/>
        <w:tab/>
        <w:t xml:space="preserve">     </w:t>
      </w:r>
    </w:p>
    <w:p>
      <w:pPr>
        <w:pStyle w:val="Normal"/>
        <w:ind w:firstLine="225"/>
        <w:jc w:val="both"/>
        <w:rPr/>
      </w:pPr>
      <w:r>
        <w:rPr/>
        <w:tab/>
        <w:tab/>
      </w:r>
    </w:p>
    <w:p>
      <w:pPr>
        <w:pStyle w:val="Normal"/>
        <w:ind w:firstLine="270"/>
        <w:jc w:val="both"/>
        <w:rPr/>
      </w:pPr>
      <w:r>
        <w:rPr/>
      </w:r>
    </w:p>
    <w:tbl>
      <w:tblPr>
        <w:tblW w:w="9060" w:type="dxa"/>
        <w:jc w:val="start"/>
        <w:tblInd w:w="165" w:type="dxa"/>
        <w:tblBorders/>
        <w:tblCellMar>
          <w:top w:w="0" w:type="dxa"/>
          <w:start w:w="15" w:type="dxa"/>
          <w:bottom w:w="0" w:type="dxa"/>
          <w:end w:w="15" w:type="dxa"/>
        </w:tblCellMar>
      </w:tblPr>
      <w:tblGrid>
        <w:gridCol w:w="450"/>
        <w:gridCol w:w="1470"/>
        <w:gridCol w:w="7140"/>
      </w:tblGrid>
      <w:tr>
        <w:trPr/>
        <w:tc>
          <w:tcPr>
            <w:tcW w:w="450" w:type="dxa"/>
            <w:tcBorders/>
            <w:shd w:fill="auto" w:val="clear"/>
          </w:tcPr>
          <w:p>
            <w:pPr>
              <w:pStyle w:val="Normal"/>
              <w:rPr/>
            </w:pPr>
            <w:r>
              <w:rPr>
                <w:vanish/>
              </w:rPr>
              <w:t>#G0</w:t>
            </w:r>
            <w:r>
              <w:rPr/>
              <w:t xml:space="preserve">       где </w:t>
            </w:r>
          </w:p>
          <w:p>
            <w:pPr>
              <w:pStyle w:val="Normal"/>
              <w:rPr/>
            </w:pPr>
            <w:r>
              <w:rPr/>
            </w:r>
          </w:p>
        </w:tc>
        <w:tc>
          <w:tcPr>
            <w:tcW w:w="1470" w:type="dxa"/>
            <w:tcBorders/>
            <w:shd w:fill="auto" w:val="clear"/>
          </w:tcPr>
          <w:p>
            <w:pPr>
              <w:pStyle w:val="Normal"/>
              <w:rPr/>
            </w:pPr>
            <w:r>
              <w:rPr/>
              <w:t xml:space="preserve">  </w:t>
            </w:r>
          </w:p>
          <w:p>
            <w:pPr>
              <w:pStyle w:val="Normal"/>
              <w:rPr/>
            </w:pPr>
            <w:r>
              <w:rPr/>
              <w:drawing>
                <wp:inline distT="0" distB="0" distL="0" distR="0">
                  <wp:extent cx="426085" cy="207645"/>
                  <wp:effectExtent l="0" t="0" r="0" b="0"/>
                  <wp:docPr id="156" name="Изображение1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Изображение156" descr="" title=""/>
                          <pic:cNvPicPr>
                            <a:picLocks noChangeAspect="1" noChangeArrowheads="1"/>
                          </pic:cNvPicPr>
                        </pic:nvPicPr>
                        <pic:blipFill>
                          <a:blip r:embed="rId157"/>
                          <a:stretch>
                            <a:fillRect/>
                          </a:stretch>
                        </pic:blipFill>
                        <pic:spPr bwMode="auto">
                          <a:xfrm>
                            <a:off x="0" y="0"/>
                            <a:ext cx="426085" cy="207645"/>
                          </a:xfrm>
                          <a:prstGeom prst="rect">
                            <a:avLst/>
                          </a:prstGeom>
                        </pic:spPr>
                      </pic:pic>
                    </a:graphicData>
                  </a:graphic>
                </wp:inline>
              </w:drawing>
            </w:r>
          </w:p>
        </w:tc>
        <w:tc>
          <w:tcPr>
            <w:tcW w:w="7140" w:type="dxa"/>
            <w:tcBorders/>
            <w:shd w:fill="auto" w:val="clear"/>
          </w:tcPr>
          <w:p>
            <w:pPr>
              <w:pStyle w:val="Normal"/>
              <w:rPr/>
            </w:pPr>
            <w:r>
              <w:rPr/>
              <w:t xml:space="preserve">  </w:t>
            </w:r>
          </w:p>
          <w:p>
            <w:pPr>
              <w:pStyle w:val="Normal"/>
              <w:jc w:val="both"/>
              <w:rPr/>
            </w:pPr>
            <w:r>
              <w:rPr/>
              <w:t xml:space="preserve">-  расход воды в сутки максимального водопотребления, куб.м/сут; </w:t>
            </w:r>
          </w:p>
          <w:p>
            <w:pPr>
              <w:pStyle w:val="Normal"/>
              <w:ind w:firstLine="225"/>
              <w:jc w:val="both"/>
              <w:rPr/>
            </w:pPr>
            <w:r>
              <w:rPr/>
            </w:r>
          </w:p>
          <w:p>
            <w:pPr>
              <w:pStyle w:val="Normal"/>
              <w:ind w:firstLine="225"/>
              <w:jc w:val="both"/>
              <w:rPr/>
            </w:pPr>
            <w:r>
              <w:rPr/>
            </w:r>
          </w:p>
        </w:tc>
      </w:tr>
      <w:tr>
        <w:trPr/>
        <w:tc>
          <w:tcPr>
            <w:tcW w:w="450" w:type="dxa"/>
            <w:tcBorders/>
            <w:shd w:fill="auto" w:val="clear"/>
          </w:tcPr>
          <w:p>
            <w:pPr>
              <w:pStyle w:val="Normal"/>
              <w:rPr/>
            </w:pPr>
            <w:r>
              <w:rPr/>
              <w:t xml:space="preserve">  </w:t>
            </w:r>
          </w:p>
          <w:p>
            <w:pPr>
              <w:pStyle w:val="Normal"/>
              <w:rPr/>
            </w:pPr>
            <w:r>
              <w:rPr/>
            </w:r>
          </w:p>
        </w:tc>
        <w:tc>
          <w:tcPr>
            <w:tcW w:w="1470" w:type="dxa"/>
            <w:tcBorders/>
            <w:shd w:fill="auto" w:val="clear"/>
          </w:tcPr>
          <w:p>
            <w:pPr>
              <w:pStyle w:val="Normal"/>
              <w:rPr/>
            </w:pPr>
            <w:r>
              <w:rPr/>
              <w:t xml:space="preserve">       </w:t>
            </w:r>
          </w:p>
          <w:p>
            <w:pPr>
              <w:pStyle w:val="Normal"/>
              <w:rPr/>
            </w:pPr>
            <w:r>
              <w:rPr/>
              <w:drawing>
                <wp:inline distT="0" distB="0" distL="0" distR="0">
                  <wp:extent cx="195580" cy="184150"/>
                  <wp:effectExtent l="0" t="0" r="0" b="0"/>
                  <wp:docPr id="157" name="Изображение1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Изображение157" descr="" title=""/>
                          <pic:cNvPicPr>
                            <a:picLocks noChangeAspect="1" noChangeArrowheads="1"/>
                          </pic:cNvPicPr>
                        </pic:nvPicPr>
                        <pic:blipFill>
                          <a:blip r:embed="rId158"/>
                          <a:stretch>
                            <a:fillRect/>
                          </a:stretch>
                        </pic:blipFill>
                        <pic:spPr bwMode="auto">
                          <a:xfrm>
                            <a:off x="0" y="0"/>
                            <a:ext cx="195580" cy="184150"/>
                          </a:xfrm>
                          <a:prstGeom prst="rect">
                            <a:avLst/>
                          </a:prstGeom>
                        </pic:spPr>
                      </pic:pic>
                    </a:graphicData>
                  </a:graphic>
                </wp:inline>
              </w:drawing>
            </w:r>
          </w:p>
        </w:tc>
        <w:tc>
          <w:tcPr>
            <w:tcW w:w="7140" w:type="dxa"/>
            <w:tcBorders/>
            <w:shd w:fill="auto" w:val="clear"/>
          </w:tcPr>
          <w:p>
            <w:pPr>
              <w:pStyle w:val="Normal"/>
              <w:rPr/>
            </w:pPr>
            <w:r>
              <w:rPr/>
              <w:t xml:space="preserve">  </w:t>
            </w:r>
          </w:p>
          <w:p>
            <w:pPr>
              <w:pStyle w:val="Normal"/>
              <w:jc w:val="both"/>
              <w:rPr/>
            </w:pPr>
            <w:r>
              <w:rPr/>
              <w:t xml:space="preserve">- отношение максимальной часовой подачи воды в регулирующую емкость при станциях водоподготовки, насосных станциях или в сеть водопровода с регулирующей емкостью к среднему часовому расходу в сутки максимального водопотребления; </w:t>
            </w:r>
          </w:p>
          <w:p>
            <w:pPr>
              <w:pStyle w:val="Normal"/>
              <w:jc w:val="both"/>
              <w:rPr/>
            </w:pPr>
            <w:r>
              <w:rPr/>
            </w:r>
          </w:p>
          <w:p>
            <w:pPr>
              <w:pStyle w:val="Normal"/>
              <w:jc w:val="both"/>
              <w:rPr/>
            </w:pPr>
            <w:r>
              <w:rPr/>
            </w:r>
          </w:p>
        </w:tc>
      </w:tr>
      <w:tr>
        <w:trPr/>
        <w:tc>
          <w:tcPr>
            <w:tcW w:w="450" w:type="dxa"/>
            <w:tcBorders/>
            <w:shd w:fill="auto" w:val="clear"/>
          </w:tcPr>
          <w:p>
            <w:pPr>
              <w:pStyle w:val="Normal"/>
              <w:rPr/>
            </w:pPr>
            <w:r>
              <w:rPr/>
              <w:t xml:space="preserve">  </w:t>
            </w:r>
          </w:p>
          <w:p>
            <w:pPr>
              <w:pStyle w:val="Normal"/>
              <w:rPr/>
            </w:pPr>
            <w:r>
              <w:rPr/>
            </w:r>
          </w:p>
        </w:tc>
        <w:tc>
          <w:tcPr>
            <w:tcW w:w="1470" w:type="dxa"/>
            <w:tcBorders/>
            <w:shd w:fill="auto" w:val="clear"/>
          </w:tcPr>
          <w:p>
            <w:pPr>
              <w:pStyle w:val="Normal"/>
              <w:rPr/>
            </w:pPr>
            <w:r>
              <w:rPr/>
              <w:t xml:space="preserve">  </w:t>
            </w:r>
          </w:p>
          <w:p>
            <w:pPr>
              <w:pStyle w:val="Normal"/>
              <w:rPr/>
            </w:pPr>
            <w:r>
              <w:rPr/>
              <w:t xml:space="preserve">     </w:t>
            </w:r>
            <w:r>
              <w:rPr/>
              <w:t>К(ч)</w:t>
            </w:r>
          </w:p>
          <w:p>
            <w:pPr>
              <w:pStyle w:val="Normal"/>
              <w:rPr/>
            </w:pPr>
            <w:r>
              <w:rPr/>
              <w:t xml:space="preserve">     </w:t>
            </w:r>
          </w:p>
          <w:p>
            <w:pPr>
              <w:pStyle w:val="Normal"/>
              <w:rPr/>
            </w:pPr>
            <w:r>
              <w:rPr/>
            </w:r>
          </w:p>
        </w:tc>
        <w:tc>
          <w:tcPr>
            <w:tcW w:w="7140" w:type="dxa"/>
            <w:tcBorders/>
            <w:shd w:fill="auto" w:val="clear"/>
          </w:tcPr>
          <w:p>
            <w:pPr>
              <w:pStyle w:val="Normal"/>
              <w:rPr/>
            </w:pPr>
            <w:r>
              <w:rPr/>
              <w:t xml:space="preserve">  </w:t>
            </w:r>
          </w:p>
          <w:p>
            <w:pPr>
              <w:pStyle w:val="Normal"/>
              <w:jc w:val="both"/>
              <w:rPr/>
            </w:pPr>
            <w:r>
              <w:rPr/>
              <w:t>- коэффициент часовой неравномерности отбора воды из регулирующей емкости или сети водопровода с регулирующей емкостью, определяемый как отношение максимального часового отбора к среднему часовому расходу в сутки максимального водопотребления.</w:t>
            </w:r>
          </w:p>
          <w:p>
            <w:pPr>
              <w:pStyle w:val="Normal"/>
              <w:ind w:firstLine="225"/>
              <w:jc w:val="both"/>
              <w:rPr/>
            </w:pPr>
            <w:r>
              <w:rPr/>
            </w:r>
          </w:p>
          <w:p>
            <w:pPr>
              <w:pStyle w:val="Normal"/>
              <w:ind w:firstLine="225"/>
              <w:jc w:val="both"/>
              <w:rPr/>
            </w:pPr>
            <w:r>
              <w:rPr/>
            </w:r>
          </w:p>
        </w:tc>
      </w:tr>
    </w:tbl>
    <w:p>
      <w:pPr>
        <w:pStyle w:val="Normal"/>
        <w:ind w:firstLine="270"/>
        <w:jc w:val="both"/>
        <w:rPr/>
      </w:pPr>
      <w:r>
        <w:rPr/>
      </w:r>
    </w:p>
    <w:p>
      <w:pPr>
        <w:pStyle w:val="Normal"/>
        <w:ind w:firstLine="495"/>
        <w:jc w:val="both"/>
        <w:rPr/>
      </w:pPr>
      <w:r>
        <w:rPr/>
        <w:t>Максимальный часовой отбор воды непосредственно на нужды потребителей, не имеющих регулирующих емкостей, следует принимать равным максимальному часовому водопотреблению. Максимальный часовой отбор воды из регулирующей емкости насосами для подачи в водопроводную сеть при наличии на сети регулирующей емкости определяется по максимальной часовой производительности насосной станции.</w:t>
      </w:r>
    </w:p>
    <w:p>
      <w:pPr>
        <w:pStyle w:val="Normal"/>
        <w:ind w:firstLine="225"/>
        <w:jc w:val="both"/>
        <w:rPr/>
      </w:pPr>
      <w:r>
        <w:rPr/>
      </w:r>
    </w:p>
    <w:p>
      <w:pPr>
        <w:pStyle w:val="Normal"/>
        <w:ind w:firstLine="270"/>
        <w:jc w:val="both"/>
        <w:rPr/>
      </w:pPr>
      <w:r>
        <w:rPr/>
        <w:t>В емкостях на станциях водоподготовки следует предусматривать дополнительно объем воды на промывку фильтров, определяемый согласно п. 6.117.</w:t>
      </w:r>
    </w:p>
    <w:p>
      <w:pPr>
        <w:pStyle w:val="Normal"/>
        <w:ind w:firstLine="270"/>
        <w:jc w:val="both"/>
        <w:rPr/>
      </w:pPr>
      <w:r>
        <w:rPr/>
      </w:r>
    </w:p>
    <w:p>
      <w:pPr>
        <w:pStyle w:val="Normal"/>
        <w:ind w:firstLine="270"/>
        <w:jc w:val="both"/>
        <w:rPr/>
      </w:pPr>
      <w:r>
        <w:rPr/>
        <w:t>Примечание. При обосновании в емкостях допускается предусматривать объем воды для регулирования суточной неравномерности водопотребления.</w:t>
      </w:r>
    </w:p>
    <w:p>
      <w:pPr>
        <w:pStyle w:val="Normal"/>
        <w:ind w:firstLine="270"/>
        <w:jc w:val="both"/>
        <w:rPr/>
      </w:pPr>
      <w:r>
        <w:rPr/>
      </w:r>
    </w:p>
    <w:p>
      <w:pPr>
        <w:pStyle w:val="Normal"/>
        <w:ind w:firstLine="270"/>
        <w:jc w:val="both"/>
        <w:rPr/>
      </w:pPr>
      <w:r>
        <w:rPr/>
        <w:t>9.3. 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w:t>
      </w:r>
    </w:p>
    <w:p>
      <w:pPr>
        <w:pStyle w:val="Normal"/>
        <w:ind w:firstLine="270"/>
        <w:jc w:val="both"/>
        <w:rPr/>
      </w:pPr>
      <w:r>
        <w:rPr/>
      </w:r>
    </w:p>
    <w:p>
      <w:pPr>
        <w:pStyle w:val="Normal"/>
        <w:ind w:firstLine="225"/>
        <w:jc w:val="both"/>
        <w:rPr/>
      </w:pPr>
      <w:r>
        <w:rPr/>
        <w:t>9.4. Пожарный объем воды в резервуарах должен определяться из условия обеспечения:</w:t>
      </w:r>
    </w:p>
    <w:p>
      <w:pPr>
        <w:pStyle w:val="Normal"/>
        <w:ind w:firstLine="225"/>
        <w:jc w:val="both"/>
        <w:rPr/>
      </w:pPr>
      <w:r>
        <w:rPr/>
      </w:r>
    </w:p>
    <w:p>
      <w:pPr>
        <w:pStyle w:val="Normal"/>
        <w:ind w:firstLine="225"/>
        <w:jc w:val="both"/>
        <w:rPr/>
      </w:pPr>
      <w:r>
        <w:rPr/>
        <w:t>пожаротушения из наружных гидрантов и внутренних пожарных кранов согласно пп. 2.12-2.17, 2.20, 2.22 - 2.24;</w:t>
      </w:r>
    </w:p>
    <w:p>
      <w:pPr>
        <w:pStyle w:val="Normal"/>
        <w:ind w:firstLine="225"/>
        <w:jc w:val="both"/>
        <w:rPr/>
      </w:pPr>
      <w:r>
        <w:rPr/>
      </w:r>
    </w:p>
    <w:p>
      <w:pPr>
        <w:pStyle w:val="Normal"/>
        <w:ind w:firstLine="225"/>
        <w:jc w:val="both"/>
        <w:rPr/>
      </w:pPr>
      <w:r>
        <w:rPr/>
        <w:t>специальных средств пожаротушения (спринклеров, дренчеров и др., не имеющих собственных резервуаров) согласно пп. 2.18 и 2.19;</w:t>
      </w:r>
    </w:p>
    <w:p>
      <w:pPr>
        <w:pStyle w:val="Normal"/>
        <w:ind w:firstLine="225"/>
        <w:jc w:val="both"/>
        <w:rPr/>
      </w:pPr>
      <w:r>
        <w:rPr/>
      </w:r>
    </w:p>
    <w:p>
      <w:pPr>
        <w:pStyle w:val="Normal"/>
        <w:ind w:firstLine="225"/>
        <w:jc w:val="both"/>
        <w:rPr/>
      </w:pPr>
      <w:r>
        <w:rPr/>
        <w:t>максимальных хозяйственно-питьевых и производственных нужд на весь период пожаротушения с учетом требований п. 2.21.</w:t>
      </w:r>
    </w:p>
    <w:p>
      <w:pPr>
        <w:pStyle w:val="Normal"/>
        <w:ind w:firstLine="270"/>
        <w:jc w:val="both"/>
        <w:rPr/>
      </w:pPr>
      <w:r>
        <w:rPr/>
      </w:r>
    </w:p>
    <w:p>
      <w:pPr>
        <w:pStyle w:val="Normal"/>
        <w:ind w:firstLine="270"/>
        <w:jc w:val="both"/>
        <w:rPr/>
      </w:pPr>
      <w:r>
        <w:rPr/>
        <w:t>Примечание. При определении пожарного объема воды в резервуарах допускается учитывать пополнение его во время тушения пожара, если подача воды в них осуществляется системами водоснабжения I и II категорий.</w:t>
      </w:r>
    </w:p>
    <w:p>
      <w:pPr>
        <w:pStyle w:val="Normal"/>
        <w:ind w:firstLine="270"/>
        <w:jc w:val="both"/>
        <w:rPr/>
      </w:pPr>
      <w:r>
        <w:rPr/>
      </w:r>
    </w:p>
    <w:p>
      <w:pPr>
        <w:pStyle w:val="Normal"/>
        <w:ind w:firstLine="270"/>
        <w:jc w:val="both"/>
        <w:rPr/>
      </w:pPr>
      <w:r>
        <w:rPr/>
        <w:t>9.5. Пожарный объем воды в баках водонапорных башен должен рассчитываться на десятиминутную продолжительность тушения одного наружного и одного внутреннего пожаров при одновременном наибольшем расходе воды на другие нужды.</w:t>
      </w:r>
    </w:p>
    <w:p>
      <w:pPr>
        <w:pStyle w:val="Normal"/>
        <w:ind w:firstLine="270"/>
        <w:jc w:val="both"/>
        <w:rPr/>
      </w:pPr>
      <w:r>
        <w:rPr/>
      </w:r>
    </w:p>
    <w:p>
      <w:pPr>
        <w:pStyle w:val="Normal"/>
        <w:ind w:firstLine="270"/>
        <w:jc w:val="both"/>
        <w:rPr/>
      </w:pPr>
      <w:r>
        <w:rPr/>
        <w:t>Примечание. При обосновании допускается хранение в баках водонапорных башен полного пожарного объема воды, определенного по п. 9.4.</w:t>
      </w:r>
    </w:p>
    <w:p>
      <w:pPr>
        <w:pStyle w:val="Normal"/>
        <w:ind w:firstLine="270"/>
        <w:jc w:val="both"/>
        <w:rPr/>
      </w:pPr>
      <w:r>
        <w:rPr/>
      </w:r>
    </w:p>
    <w:p>
      <w:pPr>
        <w:pStyle w:val="Normal"/>
        <w:ind w:firstLine="270"/>
        <w:jc w:val="both"/>
        <w:rPr/>
      </w:pPr>
      <w:r>
        <w:rPr/>
        <w:t>9.6. При подаче воды по одному водоводу в емкостях следует предусматривать:</w:t>
      </w:r>
    </w:p>
    <w:p>
      <w:pPr>
        <w:pStyle w:val="Normal"/>
        <w:ind w:firstLine="225"/>
        <w:jc w:val="both"/>
        <w:rPr/>
      </w:pPr>
      <w:r>
        <w:rPr/>
      </w:r>
    </w:p>
    <w:p>
      <w:pPr>
        <w:pStyle w:val="Normal"/>
        <w:ind w:firstLine="270"/>
        <w:jc w:val="both"/>
        <w:rPr/>
      </w:pPr>
      <w:r>
        <w:rPr/>
        <w:t>аварийный объем воды, обеспечивающий в течение времени ликвидации аварии на водоводе (п. 8.4)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pPr>
        <w:pStyle w:val="Normal"/>
        <w:ind w:firstLine="225"/>
        <w:jc w:val="both"/>
        <w:rPr/>
      </w:pPr>
      <w:r>
        <w:rPr/>
      </w:r>
    </w:p>
    <w:p>
      <w:pPr>
        <w:pStyle w:val="Normal"/>
        <w:ind w:firstLine="270"/>
        <w:jc w:val="both"/>
        <w:rPr/>
      </w:pPr>
      <w:r>
        <w:rPr/>
        <w:t>дополнительный объем воды на пожаротушение в размере, определенном согласно п. 9.4.</w:t>
      </w:r>
    </w:p>
    <w:p>
      <w:pPr>
        <w:pStyle w:val="Normal"/>
        <w:ind w:firstLine="270"/>
        <w:jc w:val="both"/>
        <w:rPr/>
      </w:pPr>
      <w:r>
        <w:rPr/>
      </w:r>
    </w:p>
    <w:p>
      <w:pPr>
        <w:pStyle w:val="Normal"/>
        <w:ind w:firstLine="270"/>
        <w:jc w:val="both"/>
        <w:rPr/>
      </w:pPr>
      <w:r>
        <w:rPr/>
        <w:t>Примечания: 1. Время, необходимое для восстановления аварийного объема воды, надлежит принимать 36-48 ч.</w:t>
      </w:r>
    </w:p>
    <w:p>
      <w:pPr>
        <w:pStyle w:val="Normal"/>
        <w:ind w:firstLine="225"/>
        <w:jc w:val="both"/>
        <w:rPr/>
      </w:pPr>
      <w:r>
        <w:rPr/>
      </w:r>
    </w:p>
    <w:p>
      <w:pPr>
        <w:pStyle w:val="Normal"/>
        <w:ind w:firstLine="270"/>
        <w:jc w:val="both"/>
        <w:rPr/>
      </w:pPr>
      <w:r>
        <w:rPr/>
        <w:t>2. Восстановление аварийного объема воды следует предусматривать за счет снижения водопотребления или использования резервных насосных агрегатов.</w:t>
      </w:r>
    </w:p>
    <w:p>
      <w:pPr>
        <w:pStyle w:val="Normal"/>
        <w:ind w:firstLine="225"/>
        <w:jc w:val="both"/>
        <w:rPr/>
      </w:pPr>
      <w:r>
        <w:rPr/>
      </w:r>
    </w:p>
    <w:p>
      <w:pPr>
        <w:pStyle w:val="Normal"/>
        <w:ind w:firstLine="270"/>
        <w:jc w:val="both"/>
        <w:rPr/>
      </w:pPr>
      <w:r>
        <w:rPr/>
        <w:t>3. Дополнительный объем воды на пожаротушение допускается не предусматривать при длине одной линии водовода не более 500 м до населенных пунктов с числом жителей до 5000 чел., а также до промышленных и сельскохозяйственных предприятий при расходе воды на наружное пожаротушение не более 40 л/с.</w:t>
      </w:r>
    </w:p>
    <w:p>
      <w:pPr>
        <w:pStyle w:val="Normal"/>
        <w:ind w:firstLine="270"/>
        <w:jc w:val="both"/>
        <w:rPr/>
      </w:pPr>
      <w:r>
        <w:rPr/>
      </w:r>
    </w:p>
    <w:p>
      <w:pPr>
        <w:pStyle w:val="Normal"/>
        <w:ind w:firstLine="270"/>
        <w:jc w:val="both"/>
        <w:rPr/>
      </w:pPr>
      <w:r>
        <w:rPr/>
        <w:t>9.7. Объем воды в емкостях перед насосными станциями подкачки или оборотного водоснабжения, работающими равномерно, следует принимать из расчета 5-10-минутной производительности насоса большей производительности.</w:t>
      </w:r>
    </w:p>
    <w:p>
      <w:pPr>
        <w:pStyle w:val="Normal"/>
        <w:ind w:firstLine="270"/>
        <w:jc w:val="both"/>
        <w:rPr/>
      </w:pPr>
      <w:r>
        <w:rPr/>
      </w:r>
    </w:p>
    <w:p>
      <w:pPr>
        <w:pStyle w:val="Normal"/>
        <w:ind w:firstLine="225"/>
        <w:jc w:val="both"/>
        <w:rPr/>
      </w:pPr>
      <w:r>
        <w:rPr/>
        <w:t>9.8. Контактный объем воды для обеспечения требуемого времени контакта воды с реагентами надлежит определять согласно п. 6.167. Контактный объем допускается уменьшать на величину пожарного и аварийного объемов в случае их наличия.</w:t>
      </w:r>
    </w:p>
    <w:p>
      <w:pPr>
        <w:pStyle w:val="Normal"/>
        <w:ind w:firstLine="225"/>
        <w:jc w:val="both"/>
        <w:rPr/>
      </w:pPr>
      <w:r>
        <w:rPr/>
      </w:r>
    </w:p>
    <w:p>
      <w:pPr>
        <w:pStyle w:val="Normal"/>
        <w:ind w:firstLine="270"/>
        <w:jc w:val="both"/>
        <w:rPr/>
      </w:pPr>
      <w:r>
        <w:rPr/>
        <w:t>9.9. Емкости и их оборудование должны быть защищены от замерзания воды.</w:t>
      </w:r>
    </w:p>
    <w:p>
      <w:pPr>
        <w:pStyle w:val="Normal"/>
        <w:ind w:firstLine="270"/>
        <w:jc w:val="both"/>
        <w:rPr/>
      </w:pPr>
      <w:r>
        <w:rPr/>
      </w:r>
    </w:p>
    <w:p>
      <w:pPr>
        <w:pStyle w:val="Normal"/>
        <w:ind w:firstLine="225"/>
        <w:jc w:val="both"/>
        <w:rPr/>
      </w:pPr>
      <w:r>
        <w:rPr/>
        <w:t>9.10. В емкостях для питьевой воды должен быть обеспечен обмен пожарного и аварийного объемов воды в срок не более 48 ч.</w:t>
      </w:r>
    </w:p>
    <w:p>
      <w:pPr>
        <w:pStyle w:val="Normal"/>
        <w:ind w:firstLine="270"/>
        <w:jc w:val="both"/>
        <w:rPr/>
      </w:pPr>
      <w:r>
        <w:rPr/>
      </w:r>
    </w:p>
    <w:p>
      <w:pPr>
        <w:pStyle w:val="Normal"/>
        <w:ind w:firstLine="270"/>
        <w:jc w:val="both"/>
        <w:rPr/>
      </w:pPr>
      <w:r>
        <w:rPr/>
        <w:t>Примечание. При обосновании срок обмена воды в емкостях допускается увеличивать до 3-4 сут. При этом следует предусматривать установку циркуляционных насосов, производительность которых должна определяться из условия замены воды в емкостях в срок не более 48 ч с учетом поступления воды из источника водоснабжения.</w:t>
      </w:r>
    </w:p>
    <w:p>
      <w:pPr>
        <w:pStyle w:val="Normal"/>
        <w:ind w:firstLine="270"/>
        <w:jc w:val="both"/>
        <w:rPr/>
      </w:pPr>
      <w:r>
        <w:rPr/>
      </w:r>
    </w:p>
    <w:p>
      <w:pPr>
        <w:pStyle w:val="Normal"/>
        <w:ind w:firstLine="270"/>
        <w:jc w:val="both"/>
        <w:rPr/>
      </w:pPr>
      <w:r>
        <w:rPr/>
        <w:t>9.11. Конструкции резервуаров и водонапорных башен следует принимать по п. 14.18.</w:t>
      </w:r>
    </w:p>
    <w:p>
      <w:pPr>
        <w:pStyle w:val="Normal"/>
        <w:ind w:firstLine="270"/>
        <w:jc w:val="both"/>
        <w:rPr/>
      </w:pPr>
      <w:r>
        <w:rPr/>
      </w:r>
    </w:p>
    <w:p>
      <w:pPr>
        <w:pStyle w:val="Normal"/>
        <w:jc w:val="center"/>
        <w:rPr/>
      </w:pPr>
      <w:r>
        <w:rPr/>
      </w:r>
    </w:p>
    <w:p>
      <w:pPr>
        <w:pStyle w:val="Heading"/>
        <w:jc w:val="center"/>
        <w:rPr/>
      </w:pPr>
      <w:r>
        <w:rPr/>
        <w:t>Оборудование емкостей</w:t>
      </w:r>
    </w:p>
    <w:p>
      <w:pPr>
        <w:pStyle w:val="Heading"/>
        <w:jc w:val="center"/>
        <w:rPr/>
      </w:pPr>
      <w:r>
        <w:rPr/>
      </w:r>
    </w:p>
    <w:p>
      <w:pPr>
        <w:pStyle w:val="Normal"/>
        <w:ind w:firstLine="270"/>
        <w:jc w:val="both"/>
        <w:rPr/>
      </w:pPr>
      <w:r>
        <w:rPr/>
      </w:r>
    </w:p>
    <w:p>
      <w:pPr>
        <w:pStyle w:val="Normal"/>
        <w:ind w:firstLine="270"/>
        <w:jc w:val="both"/>
        <w:rPr/>
      </w:pPr>
      <w:r>
        <w:rPr/>
        <w:t>9.12. Резервуары для воды и баки водонапорных башен должны быть оборудованы: подводящими и отводящими трубопроводами или объединенным подводяще-отводящим трубопроводом, переливным устройством, спускным трубопроводом, вентиляционным устройством, скобами или лестницами, люками-лазами для прохода людей и транспортирования оборудования.</w:t>
      </w:r>
    </w:p>
    <w:p>
      <w:pPr>
        <w:pStyle w:val="Normal"/>
        <w:ind w:firstLine="225"/>
        <w:jc w:val="both"/>
        <w:rPr/>
      </w:pPr>
      <w:r>
        <w:rPr/>
      </w:r>
    </w:p>
    <w:p>
      <w:pPr>
        <w:pStyle w:val="Normal"/>
        <w:ind w:firstLine="270"/>
        <w:jc w:val="both"/>
        <w:rPr/>
      </w:pPr>
      <w:r>
        <w:rPr/>
        <w:t>В зависимости от назначения емкости дополнительно следует предусматривать:</w:t>
      </w:r>
    </w:p>
    <w:p>
      <w:pPr>
        <w:pStyle w:val="Normal"/>
        <w:ind w:firstLine="270"/>
        <w:jc w:val="both"/>
        <w:rPr/>
      </w:pPr>
      <w:r>
        <w:rPr/>
      </w:r>
    </w:p>
    <w:p>
      <w:pPr>
        <w:pStyle w:val="Normal"/>
        <w:ind w:firstLine="225"/>
        <w:jc w:val="both"/>
        <w:rPr/>
      </w:pPr>
      <w:r>
        <w:rPr/>
        <w:t>устройства для изменения уровня воды, контроля вакуума и давления согласно п. 13.36;</w:t>
      </w:r>
    </w:p>
    <w:p>
      <w:pPr>
        <w:pStyle w:val="Normal"/>
        <w:ind w:firstLine="225"/>
        <w:jc w:val="both"/>
        <w:rPr/>
      </w:pPr>
      <w:r>
        <w:rPr/>
      </w:r>
    </w:p>
    <w:p>
      <w:pPr>
        <w:pStyle w:val="Normal"/>
        <w:ind w:firstLine="225"/>
        <w:jc w:val="both"/>
        <w:rPr/>
      </w:pPr>
      <w:r>
        <w:rPr/>
        <w:t>световые люки диаметром 300 мм (в резервуарах для воды непитьевого качества);</w:t>
      </w:r>
    </w:p>
    <w:p>
      <w:pPr>
        <w:pStyle w:val="Normal"/>
        <w:ind w:firstLine="225"/>
        <w:jc w:val="both"/>
        <w:rPr/>
      </w:pPr>
      <w:r>
        <w:rPr/>
      </w:r>
    </w:p>
    <w:p>
      <w:pPr>
        <w:pStyle w:val="Normal"/>
        <w:ind w:firstLine="270"/>
        <w:jc w:val="both"/>
        <w:rPr/>
      </w:pPr>
      <w:r>
        <w:rPr/>
        <w:t>промывочный водопровод (переносной или стационарный);</w:t>
      </w:r>
    </w:p>
    <w:p>
      <w:pPr>
        <w:pStyle w:val="Normal"/>
        <w:ind w:firstLine="225"/>
        <w:jc w:val="both"/>
        <w:rPr/>
      </w:pPr>
      <w:r>
        <w:rPr/>
      </w:r>
    </w:p>
    <w:p>
      <w:pPr>
        <w:pStyle w:val="Normal"/>
        <w:ind w:firstLine="270"/>
        <w:jc w:val="both"/>
        <w:rPr/>
      </w:pPr>
      <w:r>
        <w:rPr/>
        <w:t>устройство для предотвращения перелива воды из емкости (средства автоматики или установка на подающем трубопроводе поплавкового запорного клапана);</w:t>
      </w:r>
    </w:p>
    <w:p>
      <w:pPr>
        <w:pStyle w:val="Normal"/>
        <w:ind w:firstLine="225"/>
        <w:jc w:val="both"/>
        <w:rPr/>
      </w:pPr>
      <w:r>
        <w:rPr/>
      </w:r>
    </w:p>
    <w:p>
      <w:pPr>
        <w:pStyle w:val="Normal"/>
        <w:ind w:firstLine="270"/>
        <w:jc w:val="both"/>
        <w:rPr/>
      </w:pPr>
      <w:r>
        <w:rPr/>
        <w:t>устройство для очистки поступающего в емкость воздуха (в резервуарах для воды питьевого качества).</w:t>
      </w:r>
    </w:p>
    <w:p>
      <w:pPr>
        <w:pStyle w:val="Normal"/>
        <w:ind w:firstLine="225"/>
        <w:jc w:val="both"/>
        <w:rPr/>
      </w:pPr>
      <w:r>
        <w:rPr/>
      </w:r>
    </w:p>
    <w:p>
      <w:pPr>
        <w:pStyle w:val="Normal"/>
        <w:ind w:firstLine="270"/>
        <w:jc w:val="both"/>
        <w:rPr/>
      </w:pPr>
      <w:r>
        <w:rPr/>
        <w:t>9.13. На конце подводящего трубопровода в резервуарах и баках водонапорных башен следует предусматривать диффузор с горизонтальной кромкой или камеру, верх которых должен располагаться на 50-100 мм выше максимального уровня воды в емкости.</w:t>
      </w:r>
    </w:p>
    <w:p>
      <w:pPr>
        <w:pStyle w:val="Normal"/>
        <w:ind w:firstLine="225"/>
        <w:jc w:val="both"/>
        <w:rPr/>
      </w:pPr>
      <w:r>
        <w:rPr/>
      </w:r>
    </w:p>
    <w:p>
      <w:pPr>
        <w:pStyle w:val="Normal"/>
        <w:ind w:firstLine="270"/>
        <w:jc w:val="both"/>
        <w:rPr/>
      </w:pPr>
      <w:r>
        <w:rPr/>
        <w:t>9.14. На отводящем трубопроводе в резервуаре надлежит предусматривать конфузор, при диаметре трубопровода до 200 мм допускается применять приемный клапан, размещаемый в приямке (см. п. 7.4).</w:t>
      </w:r>
    </w:p>
    <w:p>
      <w:pPr>
        <w:pStyle w:val="Normal"/>
        <w:ind w:firstLine="225"/>
        <w:jc w:val="both"/>
        <w:rPr/>
      </w:pPr>
      <w:r>
        <w:rPr/>
      </w:r>
    </w:p>
    <w:p>
      <w:pPr>
        <w:pStyle w:val="Normal"/>
        <w:ind w:firstLine="270"/>
        <w:jc w:val="both"/>
        <w:rPr/>
      </w:pPr>
      <w:r>
        <w:rPr/>
        <w:t>Расстояние от кромки конфузора до дна и стен емкости или приямка следует определять из расчета скорости подхода воды к конфузору не более скорости движения воды во входном сечении.</w:t>
      </w:r>
    </w:p>
    <w:p>
      <w:pPr>
        <w:pStyle w:val="Normal"/>
        <w:ind w:firstLine="270"/>
        <w:jc w:val="both"/>
        <w:rPr/>
      </w:pPr>
      <w:r>
        <w:rPr/>
      </w:r>
    </w:p>
    <w:p>
      <w:pPr>
        <w:pStyle w:val="Normal"/>
        <w:ind w:firstLine="225"/>
        <w:jc w:val="both"/>
        <w:rPr/>
      </w:pPr>
      <w:r>
        <w:rPr/>
        <w:t>Горизонтальная кромка конфузора, устраиваемого в днище резервуара, а также верх приямка должны быть на 50 мм выше набетонки днища.</w:t>
      </w:r>
    </w:p>
    <w:p>
      <w:pPr>
        <w:pStyle w:val="Normal"/>
        <w:ind w:firstLine="225"/>
        <w:jc w:val="both"/>
        <w:rPr/>
      </w:pPr>
      <w:r>
        <w:rPr/>
      </w:r>
    </w:p>
    <w:p>
      <w:pPr>
        <w:pStyle w:val="Normal"/>
        <w:ind w:firstLine="270"/>
        <w:jc w:val="both"/>
        <w:rPr/>
      </w:pPr>
      <w:r>
        <w:rPr/>
        <w:t>На отводящем трубопроводе или приямке необходимо предусматривать решетку.</w:t>
      </w:r>
    </w:p>
    <w:p>
      <w:pPr>
        <w:pStyle w:val="Normal"/>
        <w:ind w:firstLine="225"/>
        <w:jc w:val="both"/>
        <w:rPr/>
      </w:pPr>
      <w:r>
        <w:rPr/>
      </w:r>
    </w:p>
    <w:p>
      <w:pPr>
        <w:pStyle w:val="Normal"/>
        <w:ind w:firstLine="270"/>
        <w:jc w:val="both"/>
        <w:rPr/>
      </w:pPr>
      <w:r>
        <w:rPr/>
        <w:t>Вне резервуара или водонапорной башни на отводящем (подводяще-отводящем) трубопроводе следует предусматривать устройство для отбора воды автоцистернами и пожарными машинами.</w:t>
      </w:r>
    </w:p>
    <w:p>
      <w:pPr>
        <w:pStyle w:val="Normal"/>
        <w:ind w:firstLine="225"/>
        <w:jc w:val="both"/>
        <w:rPr/>
      </w:pPr>
      <w:r>
        <w:rPr/>
      </w:r>
    </w:p>
    <w:p>
      <w:pPr>
        <w:pStyle w:val="Normal"/>
        <w:ind w:firstLine="270"/>
        <w:jc w:val="both"/>
        <w:rPr/>
      </w:pPr>
      <w:r>
        <w:rPr/>
        <w:t>9.15. Переливное устройство должно быть рассчитано на расход, равный разности максимальной подачи и минимального отбора воды. Слой воды на кромке переливного устройства должен быть не более 100 мм.</w:t>
      </w:r>
    </w:p>
    <w:p>
      <w:pPr>
        <w:pStyle w:val="Normal"/>
        <w:ind w:firstLine="270"/>
        <w:jc w:val="both"/>
        <w:rPr/>
      </w:pPr>
      <w:r>
        <w:rPr/>
      </w:r>
    </w:p>
    <w:p>
      <w:pPr>
        <w:pStyle w:val="Normal"/>
        <w:ind w:firstLine="225"/>
        <w:jc w:val="both"/>
        <w:rPr/>
      </w:pPr>
      <w:r>
        <w:rPr/>
        <w:t>В резервуарах и водонапорных башнях, предназначенных для питьевой воды, на переливном устройстве должен быть предусмотрен гидравлический затвор.</w:t>
      </w:r>
    </w:p>
    <w:p>
      <w:pPr>
        <w:pStyle w:val="Normal"/>
        <w:ind w:firstLine="225"/>
        <w:jc w:val="both"/>
        <w:rPr/>
      </w:pPr>
      <w:r>
        <w:rPr/>
      </w:r>
    </w:p>
    <w:p>
      <w:pPr>
        <w:pStyle w:val="Normal"/>
        <w:ind w:firstLine="225"/>
        <w:jc w:val="both"/>
        <w:rPr/>
      </w:pPr>
      <w:r>
        <w:rPr/>
        <w:t>9.16. Спускной трубопровод надлежит проектировать диаметром 100-150 мм в зависимости от объема емкости. Днище емкости должно иметь уклон не менее 0,005 в сторону спускного трубопровода.</w:t>
      </w:r>
    </w:p>
    <w:p>
      <w:pPr>
        <w:pStyle w:val="Normal"/>
        <w:ind w:firstLine="225"/>
        <w:jc w:val="both"/>
        <w:rPr/>
      </w:pPr>
      <w:r>
        <w:rPr/>
      </w:r>
    </w:p>
    <w:p>
      <w:pPr>
        <w:pStyle w:val="Normal"/>
        <w:ind w:firstLine="225"/>
        <w:jc w:val="both"/>
        <w:rPr/>
      </w:pPr>
      <w:r>
        <w:rPr/>
        <w:t>9.17. Спускные и переливные трубопроводы следует присоединять (без подтопления их концов):</w:t>
      </w:r>
    </w:p>
    <w:p>
      <w:pPr>
        <w:pStyle w:val="Normal"/>
        <w:ind w:firstLine="225"/>
        <w:jc w:val="both"/>
        <w:rPr/>
      </w:pPr>
      <w:r>
        <w:rPr/>
      </w:r>
    </w:p>
    <w:p>
      <w:pPr>
        <w:pStyle w:val="Normal"/>
        <w:ind w:firstLine="225"/>
        <w:jc w:val="both"/>
        <w:rPr/>
      </w:pPr>
      <w:r>
        <w:rPr/>
        <w:t>от емкостей для воды непитьевого качества - к канализации любого назначения с разрывом струи или к открытой канаве;</w:t>
      </w:r>
    </w:p>
    <w:p>
      <w:pPr>
        <w:pStyle w:val="Normal"/>
        <w:ind w:firstLine="225"/>
        <w:jc w:val="both"/>
        <w:rPr/>
      </w:pPr>
      <w:r>
        <w:rPr/>
      </w:r>
    </w:p>
    <w:p>
      <w:pPr>
        <w:pStyle w:val="Normal"/>
        <w:ind w:firstLine="225"/>
        <w:jc w:val="both"/>
        <w:rPr/>
      </w:pPr>
      <w:r>
        <w:rPr/>
        <w:t>от емкостей для питьевой воды - к дождевой канализации или к открытой канаве с разрывом струи.</w:t>
      </w:r>
    </w:p>
    <w:p>
      <w:pPr>
        <w:pStyle w:val="Normal"/>
        <w:ind w:firstLine="225"/>
        <w:jc w:val="both"/>
        <w:rPr/>
      </w:pPr>
      <w:r>
        <w:rPr/>
      </w:r>
    </w:p>
    <w:p>
      <w:pPr>
        <w:pStyle w:val="Normal"/>
        <w:ind w:firstLine="225"/>
        <w:jc w:val="both"/>
        <w:rPr/>
      </w:pPr>
      <w:r>
        <w:rPr/>
        <w:t>При присоединении переливного трубопровода к открытой канаве необходимо предусматривать установку на конце трубопровода решетки с прозорами 10 мм.</w:t>
      </w:r>
    </w:p>
    <w:p>
      <w:pPr>
        <w:pStyle w:val="Normal"/>
        <w:ind w:firstLine="225"/>
        <w:jc w:val="both"/>
        <w:rPr/>
      </w:pPr>
      <w:r>
        <w:rPr/>
      </w:r>
    </w:p>
    <w:p>
      <w:pPr>
        <w:pStyle w:val="Normal"/>
        <w:ind w:firstLine="225"/>
        <w:jc w:val="both"/>
        <w:rPr/>
      </w:pPr>
      <w:r>
        <w:rPr/>
        <w:t>При невозможности или нецелесообразности сброса воды по спускному трубопроводу самотеком следует предусматривать колодец для откачки воды передвижными насосами.</w:t>
      </w:r>
    </w:p>
    <w:p>
      <w:pPr>
        <w:pStyle w:val="Normal"/>
        <w:ind w:firstLine="225"/>
        <w:jc w:val="both"/>
        <w:rPr/>
      </w:pPr>
      <w:r>
        <w:rPr/>
      </w:r>
    </w:p>
    <w:p>
      <w:pPr>
        <w:pStyle w:val="Normal"/>
        <w:ind w:firstLine="225"/>
        <w:jc w:val="both"/>
        <w:rPr/>
      </w:pPr>
      <w:r>
        <w:rPr/>
        <w:t>9.18. Впуск и выпуск воздуха при изменении положения уровня воды в емкости, а также обмен воздуха в резервуарах для хранения пожарного и аварийного объемов надлежит предусматривать через вентиляционные устройства, исключающие возможность образования вакуума, превышающего 80 мм вод. ст.</w:t>
      </w:r>
    </w:p>
    <w:p>
      <w:pPr>
        <w:pStyle w:val="Normal"/>
        <w:ind w:firstLine="225"/>
        <w:jc w:val="both"/>
        <w:rPr/>
      </w:pPr>
      <w:r>
        <w:rPr/>
      </w:r>
    </w:p>
    <w:p>
      <w:pPr>
        <w:pStyle w:val="Normal"/>
        <w:ind w:firstLine="225"/>
        <w:jc w:val="both"/>
        <w:rPr/>
      </w:pPr>
      <w:r>
        <w:rPr/>
        <w:t>В резервуарах воздушное пространство над максимальным уровнем до нижнего ребра плиты или плоскости перекрытия следует принимать от 200 до 300 мм. Ригели и опоры плит могут быть подтоплены, при этом необходимо обеспечить воздухообмен между всеми отсеками покрытия.</w:t>
      </w:r>
    </w:p>
    <w:p>
      <w:pPr>
        <w:pStyle w:val="Normal"/>
        <w:ind w:firstLine="225"/>
        <w:jc w:val="both"/>
        <w:rPr/>
      </w:pPr>
      <w:r>
        <w:rPr/>
      </w:r>
    </w:p>
    <w:p>
      <w:pPr>
        <w:pStyle w:val="Normal"/>
        <w:ind w:firstLine="225"/>
        <w:jc w:val="both"/>
        <w:rPr/>
      </w:pPr>
      <w:r>
        <w:rPr/>
        <w:t>9.19. Люки-лазы должны располагаться вблизи от концов подводящего, отводящего и переливного трубопроводов. Крышки люков в резервуарах для питьевой воды должны иметь устройства для запирания и пломбирования. Люки резервуаров должны возвышаться над утеплением перекрытия на высоту не менее 0,2 м.</w:t>
      </w:r>
    </w:p>
    <w:p>
      <w:pPr>
        <w:pStyle w:val="Normal"/>
        <w:ind w:firstLine="225"/>
        <w:jc w:val="both"/>
        <w:rPr/>
      </w:pPr>
      <w:r>
        <w:rPr/>
      </w:r>
    </w:p>
    <w:p>
      <w:pPr>
        <w:pStyle w:val="Normal"/>
        <w:ind w:firstLine="225"/>
        <w:jc w:val="both"/>
        <w:rPr/>
      </w:pPr>
      <w:r>
        <w:rPr/>
        <w:t>В резервуарах для питьевой воды должна быть обеспечена полная герметизация всех люков.</w:t>
      </w:r>
    </w:p>
    <w:p>
      <w:pPr>
        <w:pStyle w:val="Normal"/>
        <w:ind w:firstLine="225"/>
        <w:jc w:val="both"/>
        <w:rPr/>
      </w:pPr>
      <w:r>
        <w:rPr/>
      </w:r>
    </w:p>
    <w:p>
      <w:pPr>
        <w:pStyle w:val="Normal"/>
        <w:ind w:firstLine="225"/>
        <w:jc w:val="both"/>
        <w:rPr/>
      </w:pPr>
      <w:r>
        <w:rPr/>
        <w:t>9.20. Напорные резервуары и водонапорные башни при системе пожаротушения высокого давления должны быть оборудованы автоматическими устройствами, обеспечивающими их отключение при пуске пожарных насосов.</w:t>
      </w:r>
    </w:p>
    <w:p>
      <w:pPr>
        <w:pStyle w:val="Normal"/>
        <w:ind w:firstLine="225"/>
        <w:jc w:val="both"/>
        <w:rPr/>
      </w:pPr>
      <w:r>
        <w:rPr/>
      </w:r>
    </w:p>
    <w:p>
      <w:pPr>
        <w:pStyle w:val="Heading"/>
        <w:jc w:val="center"/>
        <w:rPr/>
      </w:pPr>
      <w:r>
        <w:rPr/>
      </w:r>
    </w:p>
    <w:p>
      <w:pPr>
        <w:pStyle w:val="Heading"/>
        <w:jc w:val="center"/>
        <w:rPr/>
      </w:pPr>
      <w:r>
        <w:rPr/>
        <w:t>Резервуары</w:t>
      </w:r>
    </w:p>
    <w:p>
      <w:pPr>
        <w:pStyle w:val="Heading"/>
        <w:jc w:val="center"/>
        <w:rPr/>
      </w:pPr>
      <w:r>
        <w:rPr/>
      </w:r>
    </w:p>
    <w:p>
      <w:pPr>
        <w:pStyle w:val="Normal"/>
        <w:ind w:firstLine="270"/>
        <w:jc w:val="both"/>
        <w:rPr/>
      </w:pPr>
      <w:r>
        <w:rPr/>
      </w:r>
    </w:p>
    <w:p>
      <w:pPr>
        <w:pStyle w:val="Normal"/>
        <w:ind w:firstLine="225"/>
        <w:jc w:val="both"/>
        <w:rPr/>
      </w:pPr>
      <w:r>
        <w:rPr/>
        <w:t>9.21. Общее количество резервуаров одного назначения в одном узле должно быть не менее двух.</w:t>
      </w:r>
    </w:p>
    <w:p>
      <w:pPr>
        <w:pStyle w:val="Normal"/>
        <w:ind w:firstLine="225"/>
        <w:jc w:val="both"/>
        <w:rPr/>
      </w:pPr>
      <w:r>
        <w:rPr/>
      </w:r>
    </w:p>
    <w:p>
      <w:pPr>
        <w:pStyle w:val="Normal"/>
        <w:ind w:firstLine="225"/>
        <w:jc w:val="both"/>
        <w:rPr/>
      </w:pPr>
      <w:r>
        <w:rPr/>
        <w:t>Во всех резервуарах в узле наинизшие и наивысшие уровни пожарных, аварийных и регулирующих объемов должны быть соответственно на одинаковых отметках.</w:t>
      </w:r>
    </w:p>
    <w:p>
      <w:pPr>
        <w:pStyle w:val="Normal"/>
        <w:ind w:firstLine="225"/>
        <w:jc w:val="both"/>
        <w:rPr/>
      </w:pPr>
      <w:r>
        <w:rPr/>
      </w:r>
    </w:p>
    <w:p>
      <w:pPr>
        <w:pStyle w:val="Normal"/>
        <w:ind w:firstLine="225"/>
        <w:jc w:val="both"/>
        <w:rPr/>
      </w:pPr>
      <w:r>
        <w:rPr/>
        <w:t>При выключении одного резервуара в остальных должно храниться не менее 50 % пожарного и аварийного объемов воды.</w:t>
      </w:r>
    </w:p>
    <w:p>
      <w:pPr>
        <w:pStyle w:val="Normal"/>
        <w:ind w:firstLine="225"/>
        <w:jc w:val="both"/>
        <w:rPr/>
      </w:pPr>
      <w:r>
        <w:rPr/>
      </w:r>
    </w:p>
    <w:p>
      <w:pPr>
        <w:pStyle w:val="Normal"/>
        <w:ind w:firstLine="225"/>
        <w:jc w:val="both"/>
        <w:rPr/>
      </w:pPr>
      <w:r>
        <w:rPr/>
        <w:t>Оборудование резервуаров должно обеспечивать возможность независимого включения и опорожнения каждого резервуара.</w:t>
      </w:r>
    </w:p>
    <w:p>
      <w:pPr>
        <w:pStyle w:val="Normal"/>
        <w:ind w:firstLine="225"/>
        <w:jc w:val="both"/>
        <w:rPr/>
      </w:pPr>
      <w:r>
        <w:rPr/>
      </w:r>
    </w:p>
    <w:p>
      <w:pPr>
        <w:pStyle w:val="Normal"/>
        <w:ind w:firstLine="225"/>
        <w:jc w:val="both"/>
        <w:rPr/>
      </w:pPr>
      <w:r>
        <w:rPr/>
        <w:t>Устройство одного резервуара допускается в случае отсутствия в нем пожарного и аварийного объемов.</w:t>
      </w:r>
    </w:p>
    <w:p>
      <w:pPr>
        <w:pStyle w:val="Normal"/>
        <w:ind w:firstLine="225"/>
        <w:jc w:val="both"/>
        <w:rPr/>
      </w:pPr>
      <w:r>
        <w:rPr/>
      </w:r>
    </w:p>
    <w:p>
      <w:pPr>
        <w:pStyle w:val="Normal"/>
        <w:ind w:firstLine="225"/>
        <w:jc w:val="both"/>
        <w:rPr/>
      </w:pPr>
      <w:r>
        <w:rPr/>
        <w:t>9.22. Конструкции камер задвижек при резервуарах не должны быть жестко связаны с конструкцией резервуаров.</w:t>
      </w:r>
    </w:p>
    <w:p>
      <w:pPr>
        <w:pStyle w:val="Normal"/>
        <w:ind w:firstLine="225"/>
        <w:jc w:val="both"/>
        <w:rPr/>
      </w:pPr>
      <w:r>
        <w:rPr/>
      </w:r>
    </w:p>
    <w:p>
      <w:pPr>
        <w:pStyle w:val="Heading"/>
        <w:jc w:val="center"/>
        <w:rPr/>
      </w:pPr>
      <w:r>
        <w:rPr/>
      </w:r>
    </w:p>
    <w:p>
      <w:pPr>
        <w:pStyle w:val="Heading"/>
        <w:jc w:val="center"/>
        <w:rPr/>
      </w:pPr>
      <w:r>
        <w:rPr/>
        <w:t>Водонапорные башни</w:t>
      </w:r>
    </w:p>
    <w:p>
      <w:pPr>
        <w:pStyle w:val="Heading"/>
        <w:jc w:val="center"/>
        <w:rPr/>
      </w:pPr>
      <w:r>
        <w:rPr/>
      </w:r>
    </w:p>
    <w:p>
      <w:pPr>
        <w:pStyle w:val="Normal"/>
        <w:ind w:firstLine="270"/>
        <w:jc w:val="both"/>
        <w:rPr/>
      </w:pPr>
      <w:r>
        <w:rPr/>
      </w:r>
    </w:p>
    <w:p>
      <w:pPr>
        <w:pStyle w:val="Normal"/>
        <w:ind w:firstLine="225"/>
        <w:jc w:val="both"/>
        <w:rPr/>
      </w:pPr>
      <w:r>
        <w:rPr/>
        <w:t>9.23. Водонапорные башни допускается проектировать с шатром вокруг бака или без шатра в зависимости от режима работы башни, объема бака, климатических условий и температуры воды в источнике водоснабжения.</w:t>
      </w:r>
    </w:p>
    <w:p>
      <w:pPr>
        <w:pStyle w:val="Normal"/>
        <w:ind w:firstLine="225"/>
        <w:jc w:val="both"/>
        <w:rPr/>
      </w:pPr>
      <w:r>
        <w:rPr/>
      </w:r>
    </w:p>
    <w:p>
      <w:pPr>
        <w:pStyle w:val="Normal"/>
        <w:ind w:firstLine="225"/>
        <w:jc w:val="both"/>
        <w:rPr/>
      </w:pPr>
      <w:r>
        <w:rPr/>
        <w:t>9.24. Ствол водонапорной башни допускается использовать для размещения производственных помещений системы водоснабжения, исключающих образование пыли, дыма и газовыделений.</w:t>
      </w:r>
    </w:p>
    <w:p>
      <w:pPr>
        <w:pStyle w:val="Normal"/>
        <w:ind w:firstLine="225"/>
        <w:jc w:val="both"/>
        <w:rPr/>
      </w:pPr>
      <w:r>
        <w:rPr/>
      </w:r>
    </w:p>
    <w:p>
      <w:pPr>
        <w:pStyle w:val="Normal"/>
        <w:ind w:firstLine="225"/>
        <w:jc w:val="both"/>
        <w:rPr/>
      </w:pPr>
      <w:r>
        <w:rPr/>
        <w:t xml:space="preserve">9.25. При жесткой заделке труб в днище бака водонапорной башни на стояках трубопроводов надлежит предусматривать компенсаторы. </w:t>
      </w:r>
    </w:p>
    <w:p>
      <w:pPr>
        <w:pStyle w:val="Normal"/>
        <w:ind w:firstLine="225"/>
        <w:jc w:val="both"/>
        <w:rPr/>
      </w:pPr>
      <w:r>
        <w:rPr/>
      </w:r>
    </w:p>
    <w:p>
      <w:pPr>
        <w:pStyle w:val="Normal"/>
        <w:ind w:firstLine="225"/>
        <w:jc w:val="both"/>
        <w:rPr/>
      </w:pPr>
      <w:r>
        <w:rPr/>
        <w:t>9.26. Водонапорная башня, не входящая в зону молниезащиты других сооружений, должна быть оборудована собственной молниезащитой.</w:t>
      </w:r>
    </w:p>
    <w:p>
      <w:pPr>
        <w:pStyle w:val="Normal"/>
        <w:ind w:firstLine="225"/>
        <w:jc w:val="both"/>
        <w:rPr/>
      </w:pPr>
      <w:r>
        <w:rPr/>
      </w:r>
    </w:p>
    <w:p>
      <w:pPr>
        <w:pStyle w:val="Normal"/>
        <w:ind w:firstLine="225"/>
        <w:jc w:val="both"/>
        <w:rPr/>
      </w:pPr>
      <w:r>
        <w:rPr/>
      </w:r>
    </w:p>
    <w:p>
      <w:pPr>
        <w:pStyle w:val="Heading"/>
        <w:jc w:val="center"/>
        <w:rPr/>
      </w:pPr>
      <w:r>
        <w:rPr/>
        <w:t>Пожарные резервуары и водоемы</w:t>
      </w:r>
    </w:p>
    <w:p>
      <w:pPr>
        <w:pStyle w:val="Heading"/>
        <w:jc w:val="center"/>
        <w:rPr/>
      </w:pPr>
      <w:r>
        <w:rPr/>
      </w:r>
    </w:p>
    <w:p>
      <w:pPr>
        <w:pStyle w:val="Normal"/>
        <w:ind w:firstLine="270"/>
        <w:jc w:val="both"/>
        <w:rPr/>
      </w:pPr>
      <w:r>
        <w:rPr/>
      </w:r>
    </w:p>
    <w:p>
      <w:pPr>
        <w:pStyle w:val="Normal"/>
        <w:ind w:firstLine="225"/>
        <w:jc w:val="both"/>
        <w:rPr/>
      </w:pPr>
      <w:r>
        <w:rPr/>
        <w:t xml:space="preserve">9.27. Хранение пожарного объема воды в специальных резервуарах или открытых водоемах допускается для предприятий и населенных пунктов, указанных в примеч. 1 к п. 2.11. </w:t>
      </w:r>
    </w:p>
    <w:p>
      <w:pPr>
        <w:pStyle w:val="Normal"/>
        <w:ind w:firstLine="225"/>
        <w:jc w:val="both"/>
        <w:rPr/>
      </w:pPr>
      <w:r>
        <w:rPr/>
      </w:r>
    </w:p>
    <w:p>
      <w:pPr>
        <w:pStyle w:val="Normal"/>
        <w:ind w:firstLine="225"/>
        <w:jc w:val="both"/>
        <w:rPr/>
      </w:pPr>
      <w:r>
        <w:rPr/>
        <w:t>9.28. Объем пожарных резервуаров и водоемов надлежит определять исходя из расчетных расходов воды и продолжительности тушения пожаров согласно пп. 2.13-2.17 и 2.24.</w:t>
      </w:r>
    </w:p>
    <w:p>
      <w:pPr>
        <w:pStyle w:val="Normal"/>
        <w:ind w:firstLine="225"/>
        <w:jc w:val="both"/>
        <w:rPr/>
      </w:pPr>
      <w:r>
        <w:rPr/>
      </w:r>
    </w:p>
    <w:p>
      <w:pPr>
        <w:pStyle w:val="Normal"/>
        <w:ind w:firstLine="225"/>
        <w:jc w:val="both"/>
        <w:rPr/>
      </w:pPr>
      <w:r>
        <w:rPr/>
      </w:r>
    </w:p>
    <w:p>
      <w:pPr>
        <w:pStyle w:val="Normal"/>
        <w:ind w:firstLine="225"/>
        <w:jc w:val="both"/>
        <w:rPr/>
      </w:pPr>
      <w:r>
        <w:rPr/>
        <w:t>Примечания: 1. Объем открытых водоемов необходимо рассчитывать с учетом возможного испарения воды и образования льда. Превышение кромки открытого водоема над наивысшим уровнем воды в нем должно быть не менее 0,5 м.</w:t>
      </w:r>
    </w:p>
    <w:p>
      <w:pPr>
        <w:pStyle w:val="Normal"/>
        <w:ind w:firstLine="225"/>
        <w:jc w:val="both"/>
        <w:rPr/>
      </w:pPr>
      <w:r>
        <w:rPr/>
      </w:r>
    </w:p>
    <w:p>
      <w:pPr>
        <w:pStyle w:val="Normal"/>
        <w:ind w:firstLine="225"/>
        <w:jc w:val="both"/>
        <w:rPr/>
      </w:pPr>
      <w:r>
        <w:rPr/>
        <w:t>2. К пожарным резервуарам, водоемам и приемным колодцам должен быть обеспечен свободный подъезд пожарных машин с покрытием дорог согласно п. 14.6.</w:t>
      </w:r>
    </w:p>
    <w:p>
      <w:pPr>
        <w:pStyle w:val="Normal"/>
        <w:ind w:firstLine="225"/>
        <w:jc w:val="both"/>
        <w:rPr/>
      </w:pPr>
      <w:r>
        <w:rPr/>
      </w:r>
    </w:p>
    <w:p>
      <w:pPr>
        <w:pStyle w:val="Normal"/>
        <w:ind w:firstLine="225"/>
        <w:jc w:val="both"/>
        <w:rPr/>
      </w:pPr>
      <w:r>
        <w:rPr/>
        <w:t>3. У мест расположения пожарных резервуаров и водоемов должны быть предусмотрены указатели по ГОСТ 12.4.009-83.</w:t>
      </w:r>
    </w:p>
    <w:p>
      <w:pPr>
        <w:pStyle w:val="Normal"/>
        <w:ind w:firstLine="225"/>
        <w:jc w:val="both"/>
        <w:rPr/>
      </w:pPr>
      <w:r>
        <w:rPr/>
      </w:r>
    </w:p>
    <w:p>
      <w:pPr>
        <w:pStyle w:val="Normal"/>
        <w:ind w:firstLine="225"/>
        <w:jc w:val="both"/>
        <w:rPr/>
      </w:pPr>
      <w:r>
        <w:rPr/>
        <w:t>9.29. Количество пожарных резервуаров или водоемов должно быть не менее двух, при этом в каждом из них должно храниться 50 % объема воды на пожаротушение.</w:t>
      </w:r>
    </w:p>
    <w:p>
      <w:pPr>
        <w:pStyle w:val="Normal"/>
        <w:ind w:firstLine="225"/>
        <w:jc w:val="both"/>
        <w:rPr/>
      </w:pPr>
      <w:r>
        <w:rPr/>
      </w:r>
    </w:p>
    <w:p>
      <w:pPr>
        <w:pStyle w:val="Normal"/>
        <w:ind w:firstLine="225"/>
        <w:jc w:val="both"/>
        <w:rPr/>
      </w:pPr>
      <w:r>
        <w:rPr/>
        <w:t>Расстояние между пожарными резервуарами или водоемами следует принимать согласно п. 9.30, при этом подача воды в любую точку пожара должна обеспечиваться из двух соседних резервуаров или водоемов.</w:t>
      </w:r>
    </w:p>
    <w:p>
      <w:pPr>
        <w:pStyle w:val="Normal"/>
        <w:ind w:firstLine="225"/>
        <w:jc w:val="both"/>
        <w:rPr/>
      </w:pPr>
      <w:r>
        <w:rPr/>
      </w:r>
    </w:p>
    <w:p>
      <w:pPr>
        <w:pStyle w:val="Normal"/>
        <w:ind w:firstLine="225"/>
        <w:jc w:val="both"/>
        <w:rPr/>
      </w:pPr>
      <w:r>
        <w:rPr/>
        <w:t xml:space="preserve">9.30. Пожарные резервуары или водоемы надлежит размещать из условия обслуживания ими зданий, находящихся в радиусе: </w:t>
      </w:r>
    </w:p>
    <w:p>
      <w:pPr>
        <w:pStyle w:val="Normal"/>
        <w:ind w:firstLine="225"/>
        <w:jc w:val="both"/>
        <w:rPr/>
      </w:pPr>
      <w:r>
        <w:rPr/>
      </w:r>
    </w:p>
    <w:p>
      <w:pPr>
        <w:pStyle w:val="Normal"/>
        <w:ind w:firstLine="225"/>
        <w:jc w:val="both"/>
        <w:rPr/>
      </w:pPr>
      <w:r>
        <w:rPr/>
        <w:t xml:space="preserve">при наличии автонасосов - 200 м; </w:t>
      </w:r>
    </w:p>
    <w:p>
      <w:pPr>
        <w:pStyle w:val="Normal"/>
        <w:ind w:firstLine="225"/>
        <w:jc w:val="both"/>
        <w:rPr/>
      </w:pPr>
      <w:r>
        <w:rPr/>
      </w:r>
    </w:p>
    <w:p>
      <w:pPr>
        <w:pStyle w:val="Normal"/>
        <w:ind w:firstLine="225"/>
        <w:jc w:val="both"/>
        <w:rPr/>
      </w:pPr>
      <w:r>
        <w:rPr/>
        <w:t>при наличии мотопомп - 100-150 м в зависимости от типа мотопомп.</w:t>
      </w:r>
    </w:p>
    <w:p>
      <w:pPr>
        <w:pStyle w:val="Normal"/>
        <w:ind w:firstLine="225"/>
        <w:jc w:val="both"/>
        <w:rPr/>
      </w:pPr>
      <w:r>
        <w:rPr/>
      </w:r>
    </w:p>
    <w:p>
      <w:pPr>
        <w:pStyle w:val="Normal"/>
        <w:ind w:firstLine="225"/>
        <w:jc w:val="both"/>
        <w:rPr/>
      </w:pPr>
      <w:r>
        <w:rPr/>
        <w:t>Для увеличения радиуса обслуживания допускается прокладка от резервуаров или водоемов тупиковых трубопроводов длиной не более 200 м с учетом требований п. 9.32.</w:t>
      </w:r>
    </w:p>
    <w:p>
      <w:pPr>
        <w:pStyle w:val="Normal"/>
        <w:ind w:firstLine="225"/>
        <w:jc w:val="both"/>
        <w:rPr/>
      </w:pPr>
      <w:r>
        <w:rPr/>
      </w:r>
    </w:p>
    <w:p>
      <w:pPr>
        <w:pStyle w:val="Normal"/>
        <w:ind w:firstLine="225"/>
        <w:jc w:val="both"/>
        <w:rPr/>
      </w:pPr>
      <w:r>
        <w:rPr/>
        <w:t>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 не менее 10 м.</w:t>
      </w:r>
    </w:p>
    <w:p>
      <w:pPr>
        <w:pStyle w:val="Normal"/>
        <w:ind w:firstLine="225"/>
        <w:jc w:val="both"/>
        <w:rPr/>
      </w:pPr>
      <w:r>
        <w:rPr/>
      </w:r>
    </w:p>
    <w:p>
      <w:pPr>
        <w:pStyle w:val="Normal"/>
        <w:ind w:firstLine="225"/>
        <w:jc w:val="both"/>
        <w:rPr/>
      </w:pPr>
      <w:r>
        <w:rPr/>
        <w:t>9.31*. Подачу воды для заполнения пожарных резервуаров и водоемов следует предусматривать по пожарным рукавам длиной до 250 м, а по согласованию с органами Государственного пожарного надзора - длиной до 500 м.</w:t>
      </w:r>
    </w:p>
    <w:p>
      <w:pPr>
        <w:pStyle w:val="Normal"/>
        <w:ind w:firstLine="225"/>
        <w:jc w:val="both"/>
        <w:rPr/>
      </w:pPr>
      <w:r>
        <w:rPr/>
      </w:r>
    </w:p>
    <w:p>
      <w:pPr>
        <w:pStyle w:val="Normal"/>
        <w:ind w:firstLine="225"/>
        <w:jc w:val="both"/>
        <w:rPr/>
      </w:pPr>
      <w:r>
        <w:rPr/>
        <w:t>9.32. Если непосредственный забор воды из пожарного резервуара или водоема автонасосами или мотопомпами затруднен, надлежит предусматривать приемные колодцы объемом 3-5 куб.м. Диаметр трубопровода, соединяющего резервуар или водоем с приемным колодцем, следует принимать из условия пропуска расчетного расхода воды на наружное пожаротушение, но не менее 200 мм. Перед приемным колодцем на соединительном трубопроводе следует устанавливать колодец с задвижкой, штурвал которой должен быть выведен под крышку люка.</w:t>
      </w:r>
    </w:p>
    <w:p>
      <w:pPr>
        <w:pStyle w:val="Normal"/>
        <w:ind w:firstLine="225"/>
        <w:jc w:val="both"/>
        <w:rPr/>
      </w:pPr>
      <w:r>
        <w:rPr/>
      </w:r>
    </w:p>
    <w:p>
      <w:pPr>
        <w:pStyle w:val="Normal"/>
        <w:ind w:firstLine="225"/>
        <w:jc w:val="both"/>
        <w:rPr/>
      </w:pPr>
      <w:r>
        <w:rPr/>
        <w:t xml:space="preserve">На соединительном трубопроводе со стороны водоема следует предусматривать решетку. </w:t>
      </w:r>
    </w:p>
    <w:p>
      <w:pPr>
        <w:pStyle w:val="Normal"/>
        <w:ind w:firstLine="225"/>
        <w:jc w:val="both"/>
        <w:rPr/>
      </w:pPr>
      <w:r>
        <w:rPr/>
      </w:r>
    </w:p>
    <w:p>
      <w:pPr>
        <w:pStyle w:val="Normal"/>
        <w:ind w:firstLine="225"/>
        <w:jc w:val="both"/>
        <w:rPr/>
      </w:pPr>
      <w:r>
        <w:rPr/>
        <w:t>9.33. Пожарные резервуары и водоемы оборудовать переливными и спускными трубопроводами не требуется.</w:t>
      </w:r>
    </w:p>
    <w:p>
      <w:pPr>
        <w:pStyle w:val="Normal"/>
        <w:ind w:firstLine="225"/>
        <w:jc w:val="both"/>
        <w:rPr/>
      </w:pPr>
      <w:r>
        <w:rPr/>
      </w:r>
    </w:p>
    <w:p>
      <w:pPr>
        <w:pStyle w:val="Normal"/>
        <w:ind w:firstLine="225"/>
        <w:jc w:val="both"/>
        <w:rPr/>
      </w:pPr>
      <w:r>
        <w:rPr/>
      </w:r>
    </w:p>
    <w:p>
      <w:pPr>
        <w:pStyle w:val="Heading"/>
        <w:jc w:val="center"/>
        <w:rPr/>
      </w:pPr>
      <w:r>
        <w:rPr/>
        <w:t>10. ЗОНЫ САНИТАРНОЙ ОХРАНЫ</w:t>
      </w:r>
    </w:p>
    <w:p>
      <w:pPr>
        <w:pStyle w:val="Heading"/>
        <w:jc w:val="center"/>
        <w:rPr/>
      </w:pPr>
      <w:r>
        <w:rPr/>
      </w:r>
    </w:p>
    <w:p>
      <w:pPr>
        <w:pStyle w:val="Heading"/>
        <w:jc w:val="center"/>
        <w:rPr/>
      </w:pPr>
      <w:r>
        <w:rPr/>
        <w:t>Общие указания</w:t>
      </w:r>
    </w:p>
    <w:p>
      <w:pPr>
        <w:pStyle w:val="Heading"/>
        <w:jc w:val="center"/>
        <w:rPr/>
      </w:pPr>
      <w:r>
        <w:rPr/>
      </w:r>
    </w:p>
    <w:p>
      <w:pPr>
        <w:pStyle w:val="Normal"/>
        <w:ind w:firstLine="360"/>
        <w:jc w:val="both"/>
        <w:rPr>
          <w:b/>
          <w:b/>
          <w:sz w:val="22"/>
        </w:rPr>
      </w:pPr>
      <w:r>
        <w:rPr>
          <w:b/>
          <w:sz w:val="22"/>
        </w:rPr>
      </w:r>
    </w:p>
    <w:p>
      <w:pPr>
        <w:pStyle w:val="Normal"/>
        <w:ind w:firstLine="225"/>
        <w:jc w:val="both"/>
        <w:rPr/>
      </w:pPr>
      <w:r>
        <w:rPr/>
        <w:t>10.1. Зоны санитарной охраны* должны предусматриваться на всех проектируемых и реконструируемых водопроводах хозяйственно-питьевого назначения в целях обеспечения их санитарно-эпидемиологической надежности.</w:t>
      </w:r>
    </w:p>
    <w:p>
      <w:pPr>
        <w:pStyle w:val="Normal"/>
        <w:ind w:firstLine="225"/>
        <w:jc w:val="both"/>
        <w:rPr/>
      </w:pPr>
      <w:r>
        <w:rPr/>
        <w:t>__________________</w:t>
      </w:r>
    </w:p>
    <w:p>
      <w:pPr>
        <w:pStyle w:val="Normal"/>
        <w:ind w:firstLine="225"/>
        <w:jc w:val="both"/>
        <w:rPr/>
      </w:pPr>
      <w:r>
        <w:rPr/>
        <w:t xml:space="preserve">* - В дальнейшем - «зона».   </w:t>
      </w:r>
    </w:p>
    <w:p>
      <w:pPr>
        <w:pStyle w:val="Normal"/>
        <w:ind w:firstLine="225"/>
        <w:jc w:val="both"/>
        <w:rPr/>
      </w:pPr>
      <w:r>
        <w:rPr/>
      </w:r>
    </w:p>
    <w:p>
      <w:pPr>
        <w:pStyle w:val="Normal"/>
        <w:ind w:firstLine="225"/>
        <w:jc w:val="both"/>
        <w:rPr/>
      </w:pPr>
      <w:r>
        <w:rPr/>
        <w:t>10.2. Зоны водопровода должны включать зону источника водоснабжения в месте забора воды (включая водозаборные сооружения), зону и санитарно-защитную полосу* водопроводных сооружений (насосных станций, станций подготовки воды, емкостей) и санитарно-защитную полосу водоводов.</w:t>
      </w:r>
    </w:p>
    <w:p>
      <w:pPr>
        <w:pStyle w:val="Normal"/>
        <w:ind w:firstLine="225"/>
        <w:jc w:val="both"/>
        <w:rPr/>
      </w:pPr>
      <w:r>
        <w:rPr/>
        <w:t>__________________</w:t>
      </w:r>
    </w:p>
    <w:p>
      <w:pPr>
        <w:pStyle w:val="Normal"/>
        <w:ind w:firstLine="225"/>
        <w:jc w:val="both"/>
        <w:rPr/>
      </w:pPr>
      <w:r>
        <w:rPr/>
        <w:t xml:space="preserve">* - В дальнейшем - "полоса".   </w:t>
      </w:r>
    </w:p>
    <w:p>
      <w:pPr>
        <w:pStyle w:val="Normal"/>
        <w:ind w:firstLine="225"/>
        <w:jc w:val="both"/>
        <w:rPr/>
      </w:pPr>
      <w:r>
        <w:rPr/>
      </w:r>
    </w:p>
    <w:p>
      <w:pPr>
        <w:pStyle w:val="Normal"/>
        <w:ind w:firstLine="225"/>
        <w:jc w:val="both"/>
        <w:rPr/>
      </w:pPr>
      <w:r>
        <w:rPr/>
        <w:t>Зона источника водоснабжения в месте забора воды должна состоять из трех поясов: первого -  строгого режима, второго и третьего - режимов ограничения. Зона водопроводных сооружений должна состоять из первого пояса и полосы (при расположении водопроводных сооружений за пределами второго пояса зоны источника водоснабжения).</w:t>
      </w:r>
    </w:p>
    <w:p>
      <w:pPr>
        <w:pStyle w:val="Normal"/>
        <w:ind w:firstLine="225"/>
        <w:jc w:val="both"/>
        <w:rPr/>
      </w:pPr>
      <w:r>
        <w:rPr/>
      </w:r>
    </w:p>
    <w:p>
      <w:pPr>
        <w:pStyle w:val="Normal"/>
        <w:ind w:firstLine="225"/>
        <w:jc w:val="both"/>
        <w:rPr/>
      </w:pPr>
      <w:r>
        <w:rPr/>
        <w:t>10.3. Проект зон санитарной охраны водопровода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pPr>
        <w:pStyle w:val="Normal"/>
        <w:ind w:firstLine="225"/>
        <w:jc w:val="both"/>
        <w:rPr/>
      </w:pPr>
      <w:r>
        <w:rPr/>
      </w:r>
    </w:p>
    <w:p>
      <w:pPr>
        <w:pStyle w:val="Normal"/>
        <w:ind w:firstLine="225"/>
        <w:jc w:val="both"/>
        <w:rPr/>
      </w:pPr>
      <w:r>
        <w:rPr/>
        <w:t>10.4. Проектом зон санитарной охраны водопровода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pPr>
        <w:pStyle w:val="Normal"/>
        <w:ind w:firstLine="225"/>
        <w:jc w:val="both"/>
        <w:rPr/>
      </w:pPr>
      <w:r>
        <w:rPr/>
      </w:r>
    </w:p>
    <w:p>
      <w:pPr>
        <w:pStyle w:val="Normal"/>
        <w:ind w:firstLine="225"/>
        <w:jc w:val="both"/>
        <w:rPr/>
      </w:pPr>
      <w:r>
        <w:rPr/>
        <w:t>10.5. Проект зон санитарной охраны водопровода должен 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pPr>
        <w:pStyle w:val="Normal"/>
        <w:ind w:firstLine="225"/>
        <w:jc w:val="both"/>
        <w:rPr/>
      </w:pPr>
      <w:r>
        <w:rPr/>
      </w:r>
    </w:p>
    <w:p>
      <w:pPr>
        <w:pStyle w:val="Normal"/>
        <w:ind w:firstLine="225"/>
        <w:jc w:val="both"/>
        <w:rPr/>
      </w:pPr>
      <w:r>
        <w:rPr/>
        <w:t>10.6. Инженерные мероприятия по ликвидации загрязнений территорий, водотоков, водоемов и водоносных горизонтов во втором и третьем поясах зон, а также в пределах полос должны выполняться за счет средств предприятий, являющихся источниками этих загрязнений.</w:t>
      </w:r>
    </w:p>
    <w:p>
      <w:pPr>
        <w:pStyle w:val="Normal"/>
        <w:ind w:firstLine="225"/>
        <w:jc w:val="both"/>
        <w:rPr/>
      </w:pPr>
      <w:r>
        <w:rPr/>
      </w:r>
    </w:p>
    <w:p>
      <w:pPr>
        <w:pStyle w:val="Normal"/>
        <w:ind w:firstLine="225"/>
        <w:jc w:val="both"/>
        <w:rPr/>
      </w:pPr>
      <w:r>
        <w:rPr/>
        <w:t>10.7. Проект зон водопровода должен разрабатываться с учетом развития системы водоснабжения на перспективу.</w:t>
      </w:r>
    </w:p>
    <w:p>
      <w:pPr>
        <w:pStyle w:val="Normal"/>
        <w:ind w:firstLine="225"/>
        <w:jc w:val="both"/>
        <w:rPr/>
      </w:pPr>
      <w:r>
        <w:rPr/>
      </w:r>
    </w:p>
    <w:p>
      <w:pPr>
        <w:pStyle w:val="Normal"/>
        <w:ind w:firstLine="225"/>
        <w:jc w:val="both"/>
        <w:rPr/>
      </w:pPr>
      <w:r>
        <w:rPr/>
      </w:r>
    </w:p>
    <w:p>
      <w:pPr>
        <w:pStyle w:val="Heading"/>
        <w:jc w:val="center"/>
        <w:rPr/>
      </w:pPr>
      <w:r>
        <w:rPr/>
      </w:r>
    </w:p>
    <w:p>
      <w:pPr>
        <w:pStyle w:val="Heading"/>
        <w:jc w:val="center"/>
        <w:rPr/>
      </w:pPr>
      <w:r>
        <w:rPr/>
        <w:t>ГРАНИЦЫ ЗОН САНИТАРНОЙ ОХРАНЫ</w:t>
      </w:r>
    </w:p>
    <w:p>
      <w:pPr>
        <w:pStyle w:val="Heading"/>
        <w:jc w:val="center"/>
        <w:rPr/>
      </w:pPr>
      <w:r>
        <w:rPr/>
      </w:r>
    </w:p>
    <w:p>
      <w:pPr>
        <w:pStyle w:val="Heading"/>
        <w:jc w:val="center"/>
        <w:rPr/>
      </w:pPr>
      <w:r>
        <w:rPr/>
        <w:t xml:space="preserve">Поверхностные источники водоснабжения </w:t>
      </w:r>
    </w:p>
    <w:p>
      <w:pPr>
        <w:pStyle w:val="Normal"/>
        <w:ind w:firstLine="360"/>
        <w:jc w:val="both"/>
        <w:rPr>
          <w:b/>
          <w:b/>
          <w:sz w:val="22"/>
        </w:rPr>
      </w:pPr>
      <w:r>
        <w:rPr>
          <w:b/>
          <w:sz w:val="22"/>
        </w:rPr>
      </w:r>
    </w:p>
    <w:p>
      <w:pPr>
        <w:pStyle w:val="Normal"/>
        <w:ind w:firstLine="300"/>
        <w:jc w:val="both"/>
        <w:rPr>
          <w:b/>
          <w:b/>
          <w:sz w:val="22"/>
        </w:rPr>
      </w:pPr>
      <w:r>
        <w:rPr>
          <w:b/>
          <w:sz w:val="22"/>
        </w:rPr>
      </w:r>
    </w:p>
    <w:p>
      <w:pPr>
        <w:pStyle w:val="Normal"/>
        <w:ind w:firstLine="225"/>
        <w:jc w:val="both"/>
        <w:rPr/>
      </w:pPr>
      <w:r>
        <w:rPr/>
        <w:t xml:space="preserve">10.8. Границы первого пояса зоны поверхностного источника водоснабжения, в том числе водоподводящего канала, должны устанавливаться на расстояниях от водозабора: </w:t>
      </w:r>
    </w:p>
    <w:p>
      <w:pPr>
        <w:pStyle w:val="Normal"/>
        <w:ind w:firstLine="225"/>
        <w:jc w:val="both"/>
        <w:rPr/>
      </w:pPr>
      <w:r>
        <w:rPr/>
      </w:r>
    </w:p>
    <w:p>
      <w:pPr>
        <w:pStyle w:val="Normal"/>
        <w:ind w:firstLine="225"/>
        <w:jc w:val="both"/>
        <w:rPr/>
      </w:pPr>
      <w:r>
        <w:rPr/>
        <w:t xml:space="preserve">а) для водотоков (реки, каналы): </w:t>
      </w:r>
    </w:p>
    <w:p>
      <w:pPr>
        <w:pStyle w:val="Normal"/>
        <w:ind w:firstLine="225"/>
        <w:jc w:val="both"/>
        <w:rPr/>
      </w:pPr>
      <w:r>
        <w:rPr/>
      </w:r>
    </w:p>
    <w:p>
      <w:pPr>
        <w:pStyle w:val="Normal"/>
        <w:ind w:firstLine="225"/>
        <w:jc w:val="both"/>
        <w:rPr/>
      </w:pPr>
      <w:r>
        <w:rPr/>
        <w:t xml:space="preserve">вверх по течению  - не менее 200 м; </w:t>
      </w:r>
    </w:p>
    <w:p>
      <w:pPr>
        <w:pStyle w:val="Normal"/>
        <w:ind w:firstLine="225"/>
        <w:jc w:val="both"/>
        <w:rPr/>
      </w:pPr>
      <w:r>
        <w:rPr/>
      </w:r>
    </w:p>
    <w:p>
      <w:pPr>
        <w:pStyle w:val="Normal"/>
        <w:ind w:firstLine="225"/>
        <w:jc w:val="both"/>
        <w:rPr/>
      </w:pPr>
      <w:r>
        <w:rPr/>
        <w:t xml:space="preserve">вниз по течению  - не менее 100 м; </w:t>
      </w:r>
    </w:p>
    <w:p>
      <w:pPr>
        <w:pStyle w:val="Normal"/>
        <w:ind w:firstLine="225"/>
        <w:jc w:val="both"/>
        <w:rPr/>
      </w:pPr>
      <w:r>
        <w:rPr/>
      </w:r>
    </w:p>
    <w:p>
      <w:pPr>
        <w:pStyle w:val="Normal"/>
        <w:ind w:firstLine="225"/>
        <w:jc w:val="both"/>
        <w:rPr/>
      </w:pPr>
      <w:r>
        <w:rPr/>
        <w:t>по прилегающему к водозабору берегу -  не менее 100 м от уреза воды при летне-осенней межени;</w:t>
      </w:r>
    </w:p>
    <w:p>
      <w:pPr>
        <w:pStyle w:val="Normal"/>
        <w:ind w:firstLine="225"/>
        <w:jc w:val="both"/>
        <w:rPr/>
      </w:pPr>
      <w:r>
        <w:rPr/>
      </w:r>
    </w:p>
    <w:p>
      <w:pPr>
        <w:pStyle w:val="Normal"/>
        <w:ind w:firstLine="225"/>
        <w:jc w:val="both"/>
        <w:rPr/>
      </w:pPr>
      <w:r>
        <w:rPr/>
        <w:t>в направлении к противоположному берегу: при ширине водотока менее 100 м - вся акватория и противоположный берег шириной 50 м от уреза воды при летне-осенней межени и при ширине водотока более 100 м - полоса акватории шириной не менее 100 м;</w:t>
      </w:r>
    </w:p>
    <w:p>
      <w:pPr>
        <w:pStyle w:val="Normal"/>
        <w:ind w:firstLine="225"/>
        <w:jc w:val="both"/>
        <w:rPr/>
      </w:pPr>
      <w:r>
        <w:rPr/>
      </w:r>
    </w:p>
    <w:p>
      <w:pPr>
        <w:pStyle w:val="Normal"/>
        <w:ind w:firstLine="225"/>
        <w:jc w:val="both"/>
        <w:rPr/>
      </w:pPr>
      <w:r>
        <w:rPr/>
        <w:t>на водозаборах ковшевого типа в границы первого пояса включается вся акватория ковша и территория вокруг него полосой не менее 100 м;</w:t>
      </w:r>
    </w:p>
    <w:p>
      <w:pPr>
        <w:pStyle w:val="Normal"/>
        <w:ind w:firstLine="225"/>
        <w:jc w:val="both"/>
        <w:rPr/>
      </w:pPr>
      <w:r>
        <w:rPr/>
      </w:r>
    </w:p>
    <w:p>
      <w:pPr>
        <w:pStyle w:val="Normal"/>
        <w:ind w:firstLine="225"/>
        <w:jc w:val="both"/>
        <w:rPr/>
      </w:pPr>
      <w:r>
        <w:rPr/>
        <w:t xml:space="preserve">б) для водоемов (водохранилище, озеро): </w:t>
      </w:r>
    </w:p>
    <w:p>
      <w:pPr>
        <w:pStyle w:val="Normal"/>
        <w:ind w:firstLine="225"/>
        <w:jc w:val="both"/>
        <w:rPr/>
      </w:pPr>
      <w:r>
        <w:rPr/>
      </w:r>
    </w:p>
    <w:p>
      <w:pPr>
        <w:pStyle w:val="Normal"/>
        <w:ind w:firstLine="225"/>
        <w:jc w:val="both"/>
        <w:rPr/>
      </w:pPr>
      <w:r>
        <w:rPr/>
        <w:t>по акватории во всех направлениях - не менее 100 м;</w:t>
      </w:r>
    </w:p>
    <w:p>
      <w:pPr>
        <w:pStyle w:val="Normal"/>
        <w:ind w:firstLine="225"/>
        <w:jc w:val="both"/>
        <w:rPr/>
      </w:pPr>
      <w:r>
        <w:rPr/>
      </w:r>
    </w:p>
    <w:p>
      <w:pPr>
        <w:pStyle w:val="Normal"/>
        <w:ind w:firstLine="225"/>
        <w:jc w:val="both"/>
        <w:rPr/>
      </w:pPr>
      <w:r>
        <w:rPr/>
        <w:t>по прилегающему к водозабору берегу  - не менее 100 м от уреза воды при нормальном подпорном уровне в водохранилище и летне-осенней межени в озере.</w:t>
      </w:r>
    </w:p>
    <w:p>
      <w:pPr>
        <w:pStyle w:val="Normal"/>
        <w:ind w:firstLine="225"/>
        <w:jc w:val="both"/>
        <w:rPr/>
      </w:pPr>
      <w:r>
        <w:rPr/>
      </w:r>
    </w:p>
    <w:p>
      <w:pPr>
        <w:pStyle w:val="Normal"/>
        <w:ind w:firstLine="225"/>
        <w:jc w:val="both"/>
        <w:rPr/>
      </w:pPr>
      <w:r>
        <w:rPr/>
        <w:t>10.9. Границы второго пояса зоны водотока надлежит устанавливать:</w:t>
      </w:r>
    </w:p>
    <w:p>
      <w:pPr>
        <w:pStyle w:val="Normal"/>
        <w:ind w:firstLine="225"/>
        <w:jc w:val="both"/>
        <w:rPr/>
      </w:pPr>
      <w:r>
        <w:rPr/>
      </w:r>
    </w:p>
    <w:p>
      <w:pPr>
        <w:pStyle w:val="Normal"/>
        <w:ind w:firstLine="225"/>
        <w:jc w:val="both"/>
        <w:rPr/>
      </w:pPr>
      <w:r>
        <w:rPr/>
        <w:t>вверх по течению, включая притоки, - исходя из скорости течения воды, усредненной по ширине и длине водотока или на отдельных его участках и времени протекания воды от границы пояса до водозабора при среднемесячном расходе воды летне-осенней межени 95 % обеспеченности не менее 5 сут для IА, Б, В, Г, IIА климатических районов и не менее 3 сут для остальных климатических районов;</w:t>
      </w:r>
    </w:p>
    <w:p>
      <w:pPr>
        <w:pStyle w:val="Normal"/>
        <w:ind w:firstLine="225"/>
        <w:jc w:val="both"/>
        <w:rPr/>
      </w:pPr>
      <w:r>
        <w:rPr/>
      </w:r>
    </w:p>
    <w:p>
      <w:pPr>
        <w:pStyle w:val="Normal"/>
        <w:ind w:firstLine="225"/>
        <w:jc w:val="both"/>
        <w:rPr/>
      </w:pPr>
      <w:r>
        <w:rPr/>
        <w:t xml:space="preserve">вниз по течению  - не менее 250 м; </w:t>
      </w:r>
    </w:p>
    <w:p>
      <w:pPr>
        <w:pStyle w:val="Normal"/>
        <w:ind w:firstLine="225"/>
        <w:jc w:val="both"/>
        <w:rPr/>
      </w:pPr>
      <w:r>
        <w:rPr/>
      </w:r>
    </w:p>
    <w:p>
      <w:pPr>
        <w:pStyle w:val="Normal"/>
        <w:ind w:firstLine="225"/>
        <w:jc w:val="both"/>
        <w:rPr/>
      </w:pPr>
      <w:r>
        <w:rPr/>
        <w:t>боковые границы - на расстоянии от уреза воды при летне-осенней межени - при равнинном рельефе -  500 м, при гористом рельефе местности  - до вершины первого склона, обращенного в сторону водотока, но не более 750 м при пологом склоне и 1000 м при крутом склоне.</w:t>
      </w:r>
    </w:p>
    <w:p>
      <w:pPr>
        <w:pStyle w:val="Normal"/>
        <w:ind w:firstLine="225"/>
        <w:jc w:val="both"/>
        <w:rPr/>
      </w:pPr>
      <w:r>
        <w:rPr/>
      </w:r>
    </w:p>
    <w:p>
      <w:pPr>
        <w:pStyle w:val="Normal"/>
        <w:ind w:firstLine="225"/>
        <w:jc w:val="both"/>
        <w:rPr/>
      </w:pPr>
      <w:r>
        <w:rPr/>
        <w:t>При наличии в реке подпора или обратного течения расстояние нижней границы второго пояса от водозабора должно устанавливаться в зависимости от гидрологических и метеорологических условий, по согласованию с органами санитарно-эпидемиологической службы.</w:t>
      </w:r>
    </w:p>
    <w:p>
      <w:pPr>
        <w:pStyle w:val="Normal"/>
        <w:ind w:firstLine="225"/>
        <w:jc w:val="both"/>
        <w:rPr/>
      </w:pPr>
      <w:r>
        <w:rPr/>
      </w:r>
    </w:p>
    <w:p>
      <w:pPr>
        <w:pStyle w:val="Normal"/>
        <w:ind w:firstLine="225"/>
        <w:jc w:val="both"/>
        <w:rPr/>
      </w:pPr>
      <w:r>
        <w:rPr/>
        <w:t>На судоходных реках и каналах в границы второго пояса зоны следует включать акваторию, прилегающую к водозабору в пределах фарватера.</w:t>
      </w:r>
    </w:p>
    <w:p>
      <w:pPr>
        <w:pStyle w:val="Normal"/>
        <w:ind w:firstLine="225"/>
        <w:jc w:val="both"/>
        <w:rPr/>
      </w:pPr>
      <w:r>
        <w:rPr/>
      </w:r>
    </w:p>
    <w:p>
      <w:pPr>
        <w:pStyle w:val="Normal"/>
        <w:ind w:firstLine="225"/>
        <w:jc w:val="both"/>
        <w:rPr/>
      </w:pPr>
      <w:r>
        <w:rPr/>
      </w:r>
    </w:p>
    <w:p>
      <w:pPr>
        <w:pStyle w:val="Normal"/>
        <w:ind w:firstLine="225"/>
        <w:jc w:val="both"/>
        <w:rPr/>
      </w:pPr>
      <w:r>
        <w:rPr/>
        <w:t>Примечание. В отдельных случаях в зависимости от местных условий боковые границы второго пояса допускается увеличивать по согласованию с органами санитарно-эпидемиологической службы.</w:t>
      </w:r>
    </w:p>
    <w:p>
      <w:pPr>
        <w:pStyle w:val="Normal"/>
        <w:ind w:firstLine="225"/>
        <w:jc w:val="both"/>
        <w:rPr/>
      </w:pPr>
      <w:r>
        <w:rPr/>
      </w:r>
    </w:p>
    <w:p>
      <w:pPr>
        <w:pStyle w:val="Normal"/>
        <w:ind w:firstLine="225"/>
        <w:jc w:val="both"/>
        <w:rPr/>
      </w:pPr>
      <w:r>
        <w:rPr/>
      </w:r>
    </w:p>
    <w:p>
      <w:pPr>
        <w:pStyle w:val="Normal"/>
        <w:ind w:firstLine="225"/>
        <w:jc w:val="both"/>
        <w:rPr/>
      </w:pPr>
      <w:r>
        <w:rPr/>
        <w:t>10.10. Границы второго пояса зоны водоема, включая притоки, надлежит устанавливать от водозабора:</w:t>
      </w:r>
    </w:p>
    <w:p>
      <w:pPr>
        <w:pStyle w:val="Normal"/>
        <w:ind w:firstLine="225"/>
        <w:jc w:val="both"/>
        <w:rPr/>
      </w:pPr>
      <w:r>
        <w:rPr/>
      </w:r>
    </w:p>
    <w:p>
      <w:pPr>
        <w:pStyle w:val="Normal"/>
        <w:ind w:firstLine="225"/>
        <w:jc w:val="both"/>
        <w:rPr/>
      </w:pPr>
      <w:r>
        <w:rPr/>
        <w:t>по акватории во всех направлениях - на расстоянии 3 км при количестве ветров до 10% в сторону водозабора и 5 км при количестве ветров более 10%;</w:t>
      </w:r>
    </w:p>
    <w:p>
      <w:pPr>
        <w:pStyle w:val="Normal"/>
        <w:ind w:firstLine="225"/>
        <w:jc w:val="both"/>
        <w:rPr/>
      </w:pPr>
      <w:r>
        <w:rPr/>
      </w:r>
    </w:p>
    <w:p>
      <w:pPr>
        <w:pStyle w:val="Normal"/>
        <w:ind w:firstLine="225"/>
        <w:jc w:val="both"/>
        <w:rPr/>
      </w:pPr>
      <w:r>
        <w:rPr/>
        <w:t>боковые границы - от уреза воды при нормальном подпорном уровне в водохранилище и летне-осенней межени в озере на расстоянии согласно п. 10.9.</w:t>
      </w:r>
    </w:p>
    <w:p>
      <w:pPr>
        <w:pStyle w:val="Normal"/>
        <w:ind w:firstLine="225"/>
        <w:jc w:val="both"/>
        <w:rPr/>
      </w:pPr>
      <w:r>
        <w:rPr/>
      </w:r>
    </w:p>
    <w:p>
      <w:pPr>
        <w:pStyle w:val="Normal"/>
        <w:ind w:firstLine="225"/>
        <w:jc w:val="both"/>
        <w:rPr/>
      </w:pPr>
      <w:r>
        <w:rPr/>
        <w:t>10.11. Границы третьего пояса зоны поверхностного источника водоснабжения должны быть вверх и вниз по течению водотока или во все стороны по акватории водоема такими же, как для второго пояса; боковые границы -  по водоразделу, но не более 3-5 км от водотока или водоема.</w:t>
      </w:r>
    </w:p>
    <w:p>
      <w:pPr>
        <w:pStyle w:val="Normal"/>
        <w:ind w:firstLine="225"/>
        <w:jc w:val="both"/>
        <w:rPr/>
      </w:pPr>
      <w:r>
        <w:rPr/>
      </w:r>
    </w:p>
    <w:p>
      <w:pPr>
        <w:pStyle w:val="Normal"/>
        <w:ind w:firstLine="225"/>
        <w:jc w:val="both"/>
        <w:rPr/>
      </w:pPr>
      <w:r>
        <w:rPr/>
      </w:r>
    </w:p>
    <w:p>
      <w:pPr>
        <w:pStyle w:val="Heading"/>
        <w:jc w:val="center"/>
        <w:rPr/>
      </w:pPr>
      <w:r>
        <w:rPr/>
        <w:t>Подземные источники водоснабжения</w:t>
      </w:r>
    </w:p>
    <w:p>
      <w:pPr>
        <w:pStyle w:val="Heading"/>
        <w:jc w:val="center"/>
        <w:rPr/>
      </w:pPr>
      <w:r>
        <w:rPr/>
      </w:r>
    </w:p>
    <w:p>
      <w:pPr>
        <w:pStyle w:val="Normal"/>
        <w:ind w:firstLine="270"/>
        <w:jc w:val="both"/>
        <w:rPr/>
      </w:pPr>
      <w:r>
        <w:rPr/>
      </w:r>
    </w:p>
    <w:p>
      <w:pPr>
        <w:pStyle w:val="Normal"/>
        <w:ind w:firstLine="225"/>
        <w:jc w:val="both"/>
        <w:rPr/>
      </w:pPr>
      <w:r>
        <w:rPr/>
        <w:t>10.12. 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pPr>
        <w:pStyle w:val="Normal"/>
        <w:ind w:firstLine="225"/>
        <w:jc w:val="both"/>
        <w:rPr/>
      </w:pPr>
      <w:r>
        <w:rPr/>
      </w:r>
    </w:p>
    <w:p>
      <w:pPr>
        <w:pStyle w:val="Normal"/>
        <w:ind w:firstLine="225"/>
        <w:jc w:val="both"/>
        <w:rPr/>
      </w:pPr>
      <w:r>
        <w:rPr/>
        <w:t>30 м при использовании защищенных подземных вод;</w:t>
      </w:r>
    </w:p>
    <w:p>
      <w:pPr>
        <w:pStyle w:val="Normal"/>
        <w:ind w:firstLine="225"/>
        <w:jc w:val="both"/>
        <w:rPr/>
      </w:pPr>
      <w:r>
        <w:rPr/>
      </w:r>
    </w:p>
    <w:p>
      <w:pPr>
        <w:pStyle w:val="Normal"/>
        <w:ind w:firstLine="225"/>
        <w:jc w:val="both"/>
        <w:rPr/>
      </w:pPr>
      <w:r>
        <w:rPr/>
        <w:t>50 м при использовании недостаточно защищенных подземных вод.</w:t>
      </w:r>
    </w:p>
    <w:p>
      <w:pPr>
        <w:pStyle w:val="Normal"/>
        <w:ind w:firstLine="225"/>
        <w:jc w:val="both"/>
        <w:rPr/>
      </w:pPr>
      <w:r>
        <w:rPr/>
      </w:r>
    </w:p>
    <w:p>
      <w:pPr>
        <w:pStyle w:val="Normal"/>
        <w:ind w:firstLine="225"/>
        <w:jc w:val="both"/>
        <w:rPr/>
      </w:pPr>
      <w:r>
        <w:rPr/>
        <w:t>В границы первого пояса зоны инфильтрационных водозаборов следует включать прибрежную территорию между водозабором и поверхностным источником водоснабжения, если расстояние между ними менее 150 м.</w:t>
      </w:r>
    </w:p>
    <w:p>
      <w:pPr>
        <w:pStyle w:val="Normal"/>
        <w:ind w:firstLine="225"/>
        <w:jc w:val="both"/>
        <w:rPr/>
      </w:pPr>
      <w:r>
        <w:rPr/>
      </w:r>
    </w:p>
    <w:p>
      <w:pPr>
        <w:pStyle w:val="Normal"/>
        <w:ind w:firstLine="225"/>
        <w:jc w:val="both"/>
        <w:rPr/>
      </w:pPr>
      <w:r>
        <w:rPr/>
        <w:t>Для подрусловых водозаборов и участка поверхностного источника, питающего инфильтрационный водозабор или используемого для искусственного пополнения запасов подземных вод, границы первого пояса зоны следует предусматривать как для поверхностных источников водоснабжения согласно п. 10.8.</w:t>
      </w:r>
    </w:p>
    <w:p>
      <w:pPr>
        <w:pStyle w:val="Normal"/>
        <w:ind w:firstLine="225"/>
        <w:jc w:val="both"/>
        <w:rPr/>
      </w:pPr>
      <w:r>
        <w:rPr/>
      </w:r>
    </w:p>
    <w:p>
      <w:pPr>
        <w:pStyle w:val="Normal"/>
        <w:ind w:firstLine="225"/>
        <w:jc w:val="both"/>
        <w:rPr/>
      </w:pPr>
      <w:r>
        <w:rPr/>
      </w:r>
    </w:p>
    <w:p>
      <w:pPr>
        <w:pStyle w:val="Normal"/>
        <w:ind w:firstLine="225"/>
        <w:jc w:val="both"/>
        <w:rPr/>
      </w:pPr>
      <w:r>
        <w:rPr/>
        <w:t>Примечания: 1. Для водозаборов, расположенных на территории объекта, исключающего возможность загрязнения почвы и подземных вод, а также для водозаборов, расположенных в благоприятных санитарных, топографических и гидрогеологических условиях, размеры первого пояса зоны допускается уменьшать по согласованию с местными органами санитарно-эпидемиологической службы, но должны быть не менее 15 и 25 м соответственно.</w:t>
      </w:r>
    </w:p>
    <w:p>
      <w:pPr>
        <w:pStyle w:val="Normal"/>
        <w:ind w:firstLine="225"/>
        <w:jc w:val="both"/>
        <w:rPr/>
      </w:pPr>
      <w:r>
        <w:rPr/>
      </w:r>
    </w:p>
    <w:p>
      <w:pPr>
        <w:pStyle w:val="Normal"/>
        <w:ind w:firstLine="225"/>
        <w:jc w:val="both"/>
        <w:rPr/>
      </w:pPr>
      <w:r>
        <w:rPr/>
        <w:t>2. К защищенным подземным водам относятся воды напорных и безнапорных водоносных пластов, имеющих в пределах всех поясов зоны сплошную водоупорную кровлю, исключающую возможность местного питания из вышележащих недостаточно защищенных водоносных пластов.</w:t>
      </w:r>
    </w:p>
    <w:p>
      <w:pPr>
        <w:pStyle w:val="Normal"/>
        <w:ind w:firstLine="225"/>
        <w:jc w:val="both"/>
        <w:rPr/>
      </w:pPr>
      <w:r>
        <w:rPr/>
      </w:r>
    </w:p>
    <w:p>
      <w:pPr>
        <w:pStyle w:val="Normal"/>
        <w:ind w:firstLine="225"/>
        <w:jc w:val="both"/>
        <w:rPr/>
      </w:pPr>
      <w:r>
        <w:rPr/>
        <w:t>К недостаточно защищенным подземным водам относятся:</w:t>
      </w:r>
    </w:p>
    <w:p>
      <w:pPr>
        <w:pStyle w:val="Normal"/>
        <w:ind w:firstLine="225"/>
        <w:jc w:val="both"/>
        <w:rPr/>
      </w:pPr>
      <w:r>
        <w:rPr/>
      </w:r>
    </w:p>
    <w:p>
      <w:pPr>
        <w:pStyle w:val="Normal"/>
        <w:ind w:firstLine="225"/>
        <w:jc w:val="both"/>
        <w:rPr/>
      </w:pPr>
      <w:r>
        <w:rPr/>
        <w:t>воды первого от поверхности земли безнапорного водоносного пласта, получающего питание на площади его распространения;</w:t>
      </w:r>
    </w:p>
    <w:p>
      <w:pPr>
        <w:pStyle w:val="Normal"/>
        <w:ind w:firstLine="225"/>
        <w:jc w:val="both"/>
        <w:rPr/>
      </w:pPr>
      <w:r>
        <w:rPr/>
      </w:r>
    </w:p>
    <w:p>
      <w:pPr>
        <w:pStyle w:val="Normal"/>
        <w:ind w:firstLine="225"/>
        <w:jc w:val="both"/>
        <w:rPr/>
      </w:pPr>
      <w:r>
        <w:rPr/>
        <w:t>воды напорных и безнапорных водоносных пластов, которые в естественных условиях или в результате эксплуатации водозабора получают питание на площади зоны из вышележащих недостаточно защищенных водоносных пластов через гидрогеологические окна или проницаемые породы, кровли, а также из водотоков и водоемов путем непосредственной гидравлической связи.</w:t>
      </w:r>
    </w:p>
    <w:p>
      <w:pPr>
        <w:pStyle w:val="Normal"/>
        <w:ind w:firstLine="225"/>
        <w:jc w:val="both"/>
        <w:rPr/>
      </w:pPr>
      <w:r>
        <w:rPr/>
      </w:r>
    </w:p>
    <w:p>
      <w:pPr>
        <w:pStyle w:val="Normal"/>
        <w:ind w:firstLine="135"/>
        <w:jc w:val="both"/>
        <w:rPr/>
      </w:pPr>
      <w:r>
        <w:rPr/>
        <w:t>10.13. При искусственном пополнении запасов подземных вод границы первого пояса зоны должны устанавливаться от инфильтрационных сооружений закрытого типа (скважин, шахтных колодцев) - 50 м, открытого типа (бассейнов и др.)  - 100 м.</w:t>
      </w:r>
    </w:p>
    <w:p>
      <w:pPr>
        <w:pStyle w:val="Normal"/>
        <w:ind w:firstLine="135"/>
        <w:jc w:val="both"/>
        <w:rPr/>
      </w:pPr>
      <w:r>
        <w:rPr/>
      </w:r>
    </w:p>
    <w:p>
      <w:pPr>
        <w:pStyle w:val="Normal"/>
        <w:ind w:firstLine="225"/>
        <w:jc w:val="both"/>
        <w:rPr/>
      </w:pPr>
      <w:r>
        <w:rPr/>
        <w:t>10.14. 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w:t>
      </w:r>
    </w:p>
    <w:p>
      <w:pPr>
        <w:pStyle w:val="Normal"/>
        <w:ind w:firstLine="225"/>
        <w:jc w:val="both"/>
        <w:rPr/>
      </w:pPr>
      <w:r>
        <w:rPr/>
      </w:r>
    </w:p>
    <w:p>
      <w:pPr>
        <w:pStyle w:val="Normal"/>
        <w:ind w:firstLine="225"/>
        <w:jc w:val="both"/>
        <w:rPr/>
      </w:pPr>
      <w:r>
        <w:rPr/>
        <w:t>10.15. 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pPr>
        <w:pStyle w:val="Normal"/>
        <w:ind w:firstLine="225"/>
        <w:jc w:val="both"/>
        <w:rPr/>
      </w:pPr>
      <w:r>
        <w:rPr/>
      </w:r>
    </w:p>
    <w:p>
      <w:pPr>
        <w:pStyle w:val="Normal"/>
        <w:ind w:firstLine="225"/>
        <w:jc w:val="both"/>
        <w:rPr/>
      </w:pPr>
      <w:r>
        <w:rPr/>
        <w:t>10.16. При инфильтрационном питании водоносного пласта, а также при искусственном пополнении запасов подземных вод из поверхностного источника второй и третий пояса зоны поверхностного источника водоснабжения следует принимать согласно пп. 10.9-10.11.</w:t>
      </w:r>
    </w:p>
    <w:p>
      <w:pPr>
        <w:pStyle w:val="Normal"/>
        <w:ind w:firstLine="225"/>
        <w:jc w:val="both"/>
        <w:rPr/>
      </w:pPr>
      <w:r>
        <w:rPr/>
      </w:r>
    </w:p>
    <w:p>
      <w:pPr>
        <w:pStyle w:val="Normal"/>
        <w:ind w:firstLine="225"/>
        <w:jc w:val="both"/>
        <w:rPr/>
      </w:pPr>
      <w:r>
        <w:rPr/>
      </w:r>
    </w:p>
    <w:p>
      <w:pPr>
        <w:pStyle w:val="Heading"/>
        <w:jc w:val="center"/>
        <w:rPr/>
      </w:pPr>
      <w:r>
        <w:rPr/>
        <w:t>Площадки водопроводных сооружений</w:t>
      </w:r>
    </w:p>
    <w:p>
      <w:pPr>
        <w:pStyle w:val="Heading"/>
        <w:jc w:val="center"/>
        <w:rPr/>
      </w:pPr>
      <w:r>
        <w:rPr/>
      </w:r>
    </w:p>
    <w:p>
      <w:pPr>
        <w:pStyle w:val="Normal"/>
        <w:ind w:firstLine="270"/>
        <w:jc w:val="both"/>
        <w:rPr/>
      </w:pPr>
      <w:r>
        <w:rPr/>
      </w:r>
    </w:p>
    <w:p>
      <w:pPr>
        <w:pStyle w:val="Normal"/>
        <w:ind w:firstLine="225"/>
        <w:jc w:val="both"/>
        <w:rPr/>
      </w:pPr>
      <w:r>
        <w:rPr/>
        <w:t>10.17. Граница первого пояса зоны водопроводных сооружений должна совпадать с ограждением площадки сооружений и предусматриваться на расстоянии:</w:t>
      </w:r>
    </w:p>
    <w:p>
      <w:pPr>
        <w:pStyle w:val="Normal"/>
        <w:ind w:firstLine="225"/>
        <w:jc w:val="both"/>
        <w:rPr/>
      </w:pPr>
      <w:r>
        <w:rPr/>
      </w:r>
    </w:p>
    <w:p>
      <w:pPr>
        <w:pStyle w:val="Normal"/>
        <w:ind w:firstLine="225"/>
        <w:jc w:val="both"/>
        <w:rPr/>
      </w:pPr>
      <w:r>
        <w:rPr/>
        <w:t>от стен резервуаров фильтрованной (питьевой) воды, фильтров (кроме напорных), контактных осветлителей с открытой поверхностью воды  не менее 30 м;</w:t>
      </w:r>
    </w:p>
    <w:p>
      <w:pPr>
        <w:pStyle w:val="Normal"/>
        <w:ind w:firstLine="225"/>
        <w:jc w:val="both"/>
        <w:rPr/>
      </w:pPr>
      <w:r>
        <w:rPr/>
      </w:r>
    </w:p>
    <w:p>
      <w:pPr>
        <w:pStyle w:val="Normal"/>
        <w:ind w:firstLine="225"/>
        <w:jc w:val="both"/>
        <w:rPr/>
      </w:pPr>
      <w:r>
        <w:rPr/>
        <w:t>от стен остальных сооружений и стволов водонапорных башен -  не менее 15 м.</w:t>
      </w:r>
    </w:p>
    <w:p>
      <w:pPr>
        <w:pStyle w:val="Normal"/>
        <w:ind w:firstLine="225"/>
        <w:jc w:val="both"/>
        <w:rPr/>
      </w:pPr>
      <w:r>
        <w:rPr/>
      </w:r>
    </w:p>
    <w:p>
      <w:pPr>
        <w:pStyle w:val="Normal"/>
        <w:ind w:firstLine="225"/>
        <w:jc w:val="both"/>
        <w:rPr/>
      </w:pPr>
      <w:r>
        <w:rPr/>
        <w:t>Примечания: 1. По согласованию с органами санитарно-эпидемиологической службы первый пояс зоны отдельно стоящих водонапорных башен, а также насосных станций, работающих без разрыва струи, допускается не предусматривать.</w:t>
      </w:r>
    </w:p>
    <w:p>
      <w:pPr>
        <w:pStyle w:val="Normal"/>
        <w:ind w:firstLine="225"/>
        <w:jc w:val="both"/>
        <w:rPr/>
      </w:pPr>
      <w:r>
        <w:rPr/>
      </w:r>
    </w:p>
    <w:p>
      <w:pPr>
        <w:pStyle w:val="Normal"/>
        <w:ind w:firstLine="225"/>
        <w:jc w:val="both"/>
        <w:rPr/>
      </w:pPr>
      <w:r>
        <w:rPr/>
        <w:t>2. При расположении водопроводных сооружений на территории предприятия указанные расстояния допускается уменьшать по согласованию с местными органами санитарно-эпидемиологической службы, но должны быть не менее 10 м.</w:t>
      </w:r>
    </w:p>
    <w:p>
      <w:pPr>
        <w:pStyle w:val="Normal"/>
        <w:ind w:firstLine="225"/>
        <w:jc w:val="both"/>
        <w:rPr/>
      </w:pPr>
      <w:r>
        <w:rPr/>
      </w:r>
    </w:p>
    <w:p>
      <w:pPr>
        <w:pStyle w:val="Normal"/>
        <w:ind w:firstLine="225"/>
        <w:jc w:val="both"/>
        <w:rPr/>
      </w:pPr>
      <w:r>
        <w:rPr/>
      </w:r>
    </w:p>
    <w:p>
      <w:pPr>
        <w:pStyle w:val="Normal"/>
        <w:ind w:firstLine="225"/>
        <w:jc w:val="both"/>
        <w:rPr/>
      </w:pPr>
      <w:r>
        <w:rPr/>
        <w:t>10.18. Санитарно-защитная полоса вокруг первого пояса зоны водопроводных сооружений, расположенных за пределами второго пояса зоны источника водоснабжения, должна иметь ширину не менее 100 м.</w:t>
      </w:r>
    </w:p>
    <w:p>
      <w:pPr>
        <w:pStyle w:val="Normal"/>
        <w:ind w:firstLine="225"/>
        <w:jc w:val="both"/>
        <w:rPr/>
      </w:pPr>
      <w:r>
        <w:rPr/>
      </w:r>
    </w:p>
    <w:p>
      <w:pPr>
        <w:pStyle w:val="Normal"/>
        <w:ind w:firstLine="225"/>
        <w:jc w:val="both"/>
        <w:rPr/>
      </w:pPr>
      <w:r>
        <w:rPr/>
        <w:t>Примечание. При расположении площадок водопроводных сооружений на территории объекта ширину полосы допускается уменьшать по согласованию с органами санитарно-эпидемиологической службы, но должна быть не менее 30 м.</w:t>
      </w:r>
    </w:p>
    <w:p>
      <w:pPr>
        <w:pStyle w:val="Normal"/>
        <w:ind w:firstLine="225"/>
        <w:jc w:val="both"/>
        <w:rPr/>
      </w:pPr>
      <w:r>
        <w:rPr/>
      </w:r>
    </w:p>
    <w:p>
      <w:pPr>
        <w:pStyle w:val="Normal"/>
        <w:ind w:firstLine="225"/>
        <w:jc w:val="both"/>
        <w:rPr/>
      </w:pPr>
      <w:r>
        <w:rPr/>
        <w:t>10.19. Санитарно-защитную зону от промышленных и сельскохозяйственных предприятий до сооружений станций подготовки питьевой воды надлежит принимать как для населенных пунктов в зависимости от класса вредности производства.</w:t>
      </w:r>
    </w:p>
    <w:p>
      <w:pPr>
        <w:pStyle w:val="Normal"/>
        <w:ind w:firstLine="225"/>
        <w:jc w:val="both"/>
        <w:rPr/>
      </w:pPr>
      <w:r>
        <w:rPr/>
      </w:r>
    </w:p>
    <w:p>
      <w:pPr>
        <w:pStyle w:val="Normal"/>
        <w:ind w:firstLine="225"/>
        <w:jc w:val="both"/>
        <w:rPr/>
      </w:pPr>
      <w:r>
        <w:rPr/>
      </w:r>
    </w:p>
    <w:p>
      <w:pPr>
        <w:pStyle w:val="Heading"/>
        <w:jc w:val="center"/>
        <w:rPr/>
      </w:pPr>
      <w:r>
        <w:rPr/>
        <w:t xml:space="preserve">Водоводы </w:t>
      </w:r>
    </w:p>
    <w:p>
      <w:pPr>
        <w:pStyle w:val="Normal"/>
        <w:ind w:firstLine="270"/>
        <w:jc w:val="both"/>
        <w:rPr/>
      </w:pPr>
      <w:r>
        <w:rPr/>
      </w:r>
    </w:p>
    <w:p>
      <w:pPr>
        <w:pStyle w:val="Normal"/>
        <w:ind w:firstLine="270"/>
        <w:jc w:val="both"/>
        <w:rPr/>
      </w:pPr>
      <w:r>
        <w:rPr/>
      </w:r>
    </w:p>
    <w:p>
      <w:pPr>
        <w:pStyle w:val="Normal"/>
        <w:ind w:firstLine="225"/>
        <w:jc w:val="both"/>
        <w:rPr/>
      </w:pPr>
      <w:r>
        <w:rPr/>
        <w:t>10.20. Ширину санитарно-защитной полосы водоводов, проходящих по незастроенной территории, надлежит принимать от крайних водоводов:</w:t>
      </w:r>
    </w:p>
    <w:p>
      <w:pPr>
        <w:pStyle w:val="Normal"/>
        <w:ind w:firstLine="225"/>
        <w:jc w:val="both"/>
        <w:rPr/>
      </w:pPr>
      <w:r>
        <w:rPr/>
      </w:r>
    </w:p>
    <w:p>
      <w:pPr>
        <w:pStyle w:val="Normal"/>
        <w:ind w:firstLine="225"/>
        <w:jc w:val="both"/>
        <w:rPr/>
      </w:pPr>
      <w:r>
        <w:rPr/>
        <w:t>при прокладке в сухих грунтах - не менее 10 м при диаметре до 1000 мм и не менее 20 м при больших диаметрах; в мокрых грунтах -  не менее 50 м независимо от диаметра.</w:t>
      </w:r>
    </w:p>
    <w:p>
      <w:pPr>
        <w:pStyle w:val="Normal"/>
        <w:ind w:firstLine="225"/>
        <w:jc w:val="both"/>
        <w:rPr/>
      </w:pPr>
      <w:r>
        <w:rPr/>
      </w:r>
    </w:p>
    <w:p>
      <w:pPr>
        <w:pStyle w:val="Normal"/>
        <w:ind w:firstLine="225"/>
        <w:jc w:val="both"/>
        <w:rPr/>
      </w:pPr>
      <w:r>
        <w:rPr/>
        <w:t>При прокладке водоводов по застроенной территории ширину полосы по согласованию с органами санитарно-эпидемиологической службы допускается уменьшать.</w:t>
      </w:r>
    </w:p>
    <w:p>
      <w:pPr>
        <w:pStyle w:val="Normal"/>
        <w:ind w:firstLine="225"/>
        <w:jc w:val="both"/>
        <w:rPr/>
      </w:pPr>
      <w:r>
        <w:rPr/>
      </w:r>
    </w:p>
    <w:p>
      <w:pPr>
        <w:pStyle w:val="Normal"/>
        <w:ind w:firstLine="225"/>
        <w:jc w:val="both"/>
        <w:rPr/>
      </w:pPr>
      <w:r>
        <w:rPr/>
      </w:r>
    </w:p>
    <w:p>
      <w:pPr>
        <w:pStyle w:val="Heading"/>
        <w:jc w:val="center"/>
        <w:rPr/>
      </w:pPr>
      <w:r>
        <w:rPr/>
        <w:t>САНИТАРНЫЕ МЕРОПРИЯТИЯ НА ТЕРРИТОРИИ ЗОН</w:t>
      </w:r>
    </w:p>
    <w:p>
      <w:pPr>
        <w:pStyle w:val="Heading"/>
        <w:jc w:val="center"/>
        <w:rPr/>
      </w:pPr>
      <w:r>
        <w:rPr/>
      </w:r>
    </w:p>
    <w:p>
      <w:pPr>
        <w:pStyle w:val="Heading"/>
        <w:jc w:val="center"/>
        <w:rPr/>
      </w:pPr>
      <w:r>
        <w:rPr/>
        <w:t>Поверхностные источники водоснабжения</w:t>
      </w:r>
    </w:p>
    <w:p>
      <w:pPr>
        <w:pStyle w:val="Heading"/>
        <w:jc w:val="center"/>
        <w:rPr/>
      </w:pPr>
      <w:r>
        <w:rPr/>
      </w:r>
    </w:p>
    <w:p>
      <w:pPr>
        <w:pStyle w:val="Normal"/>
        <w:ind w:firstLine="270"/>
        <w:jc w:val="both"/>
        <w:rPr/>
      </w:pPr>
      <w:r>
        <w:rPr/>
      </w:r>
    </w:p>
    <w:p>
      <w:pPr>
        <w:pStyle w:val="Normal"/>
        <w:ind w:firstLine="225"/>
        <w:jc w:val="both"/>
        <w:rPr/>
      </w:pPr>
      <w:r>
        <w:rPr/>
        <w:t>10.21. Территория первого пояса зоны поверхностного источника водоснабжения должна быть спланирована, огорожена и озеленена, при этом ограждение следует предусматривать согласно п. 14.4.</w:t>
      </w:r>
    </w:p>
    <w:p>
      <w:pPr>
        <w:pStyle w:val="Normal"/>
        <w:ind w:firstLine="225"/>
        <w:jc w:val="both"/>
        <w:rPr/>
      </w:pPr>
      <w:r>
        <w:rPr/>
      </w:r>
    </w:p>
    <w:p>
      <w:pPr>
        <w:pStyle w:val="Normal"/>
        <w:ind w:firstLine="225"/>
        <w:jc w:val="both"/>
        <w:rPr/>
      </w:pPr>
      <w:r>
        <w:rPr/>
        <w:t>10.22. Границы акватории первого пояса зоны обозначаются предупредительными наземными знаками и буями. Над затопленными водоприемниками водозабора, расположенными в несудоходной части водотока или водоема, должны устанавливаться буи с освещением; при расположении их в судоходной части буи устанавливаются вне судового хода.</w:t>
      </w:r>
    </w:p>
    <w:p>
      <w:pPr>
        <w:pStyle w:val="Normal"/>
        <w:ind w:firstLine="225"/>
        <w:jc w:val="both"/>
        <w:rPr/>
      </w:pPr>
      <w:r>
        <w:rPr/>
      </w:r>
    </w:p>
    <w:p>
      <w:pPr>
        <w:pStyle w:val="Normal"/>
        <w:ind w:firstLine="225"/>
        <w:jc w:val="both"/>
        <w:rPr/>
      </w:pPr>
      <w:r>
        <w:rPr/>
        <w:t>10.23. Для территории первого пояса зоны должна предусматриваться сторожевая (тревожная) сигнализация.</w:t>
      </w:r>
    </w:p>
    <w:p>
      <w:pPr>
        <w:pStyle w:val="Normal"/>
        <w:ind w:firstLine="225"/>
        <w:jc w:val="both"/>
        <w:rPr/>
      </w:pPr>
      <w:r>
        <w:rPr/>
      </w:r>
    </w:p>
    <w:p>
      <w:pPr>
        <w:pStyle w:val="Normal"/>
        <w:ind w:firstLine="225"/>
        <w:jc w:val="both"/>
        <w:rPr/>
      </w:pPr>
      <w:r>
        <w:rPr/>
        <w:t xml:space="preserve">10.24. На территории первого пояса зоны: </w:t>
      </w:r>
    </w:p>
    <w:p>
      <w:pPr>
        <w:pStyle w:val="Normal"/>
        <w:ind w:firstLine="225"/>
        <w:jc w:val="both"/>
        <w:rPr/>
      </w:pPr>
      <w:r>
        <w:rPr/>
      </w:r>
    </w:p>
    <w:p>
      <w:pPr>
        <w:pStyle w:val="Normal"/>
        <w:ind w:firstLine="225"/>
        <w:jc w:val="both"/>
        <w:rPr/>
      </w:pPr>
      <w:r>
        <w:rPr/>
        <w:t>а) запрещаются:</w:t>
      </w:r>
    </w:p>
    <w:p>
      <w:pPr>
        <w:pStyle w:val="Normal"/>
        <w:ind w:firstLine="225"/>
        <w:jc w:val="both"/>
        <w:rPr/>
      </w:pPr>
      <w:r>
        <w:rPr/>
      </w:r>
    </w:p>
    <w:p>
      <w:pPr>
        <w:pStyle w:val="Normal"/>
        <w:ind w:firstLine="225"/>
        <w:jc w:val="both"/>
        <w:rPr/>
      </w:pPr>
      <w:r>
        <w:rPr/>
        <w:t>все виды строительства, за исключением реконструкции или расширения основных водопроводных сооружений (подсобные здания, непосредственно не связанные с подачей и обработкой воды, должны быть размещены за пределами первого пояса зоны);</w:t>
      </w:r>
    </w:p>
    <w:p>
      <w:pPr>
        <w:pStyle w:val="Normal"/>
        <w:ind w:firstLine="225"/>
        <w:jc w:val="both"/>
        <w:rPr/>
      </w:pPr>
      <w:r>
        <w:rPr/>
      </w:r>
    </w:p>
    <w:p>
      <w:pPr>
        <w:pStyle w:val="Normal"/>
        <w:ind w:firstLine="225"/>
        <w:jc w:val="both"/>
        <w:rPr/>
      </w:pPr>
      <w:r>
        <w:rPr/>
        <w:t>размещение жилых и общественных зданий, проживание людей, в том числе работающих на водопроводе;</w:t>
      </w:r>
    </w:p>
    <w:p>
      <w:pPr>
        <w:pStyle w:val="Normal"/>
        <w:ind w:firstLine="225"/>
        <w:jc w:val="both"/>
        <w:rPr/>
      </w:pPr>
      <w:r>
        <w:rPr/>
      </w:r>
    </w:p>
    <w:p>
      <w:pPr>
        <w:pStyle w:val="Normal"/>
        <w:ind w:firstLine="225"/>
        <w:jc w:val="both"/>
        <w:rPr/>
      </w:pPr>
      <w:r>
        <w:rPr/>
        <w:t>прокладка трубопроводов различного назначения, за исключением трубопроводов, обслуживающих водопроводные сооружения;</w:t>
      </w:r>
    </w:p>
    <w:p>
      <w:pPr>
        <w:pStyle w:val="Normal"/>
        <w:ind w:firstLine="225"/>
        <w:jc w:val="both"/>
        <w:rPr/>
      </w:pPr>
      <w:r>
        <w:rPr/>
      </w:r>
    </w:p>
    <w:p>
      <w:pPr>
        <w:pStyle w:val="Normal"/>
        <w:ind w:firstLine="225"/>
        <w:jc w:val="both"/>
        <w:rPr/>
      </w:pPr>
      <w:r>
        <w:rPr/>
        <w:t>выпуск в поверхностные источники сточных вод, купание, водопой и выпас скота, стирка белья, рыбная ловля, применение для растений ядохимикатов и удобрений;</w:t>
      </w:r>
    </w:p>
    <w:p>
      <w:pPr>
        <w:pStyle w:val="Normal"/>
        <w:ind w:firstLine="225"/>
        <w:jc w:val="both"/>
        <w:rPr/>
      </w:pPr>
      <w:r>
        <w:rPr/>
      </w:r>
    </w:p>
    <w:p>
      <w:pPr>
        <w:pStyle w:val="Normal"/>
        <w:ind w:firstLine="225"/>
        <w:jc w:val="both"/>
        <w:rPr/>
      </w:pPr>
      <w:r>
        <w:rPr/>
        <w:t>б) здания должны быть канализованы с отведением сточных вод в ближайшую систему бытовой или производственной канализации или на местные очистные сооружения, расположенные за пределами первого пояса зоны с учетом санитарного режима во втором поясе. При отсутствии канализации должны устраиваться водонепроницаемые выгребы, расположенные в местах, исключающих загрязнение территории первого пояса при вывозе нечистот;</w:t>
      </w:r>
    </w:p>
    <w:p>
      <w:pPr>
        <w:pStyle w:val="Normal"/>
        <w:ind w:firstLine="225"/>
        <w:jc w:val="both"/>
        <w:rPr/>
      </w:pPr>
      <w:r>
        <w:rPr/>
      </w:r>
    </w:p>
    <w:p>
      <w:pPr>
        <w:pStyle w:val="Normal"/>
        <w:ind w:firstLine="225"/>
        <w:jc w:val="both"/>
        <w:rPr/>
      </w:pPr>
      <w:r>
        <w:rPr/>
        <w:t>в) должно быть обеспечено отведение поверхностных вод за пределы первого пояса;</w:t>
      </w:r>
    </w:p>
    <w:p>
      <w:pPr>
        <w:pStyle w:val="Normal"/>
        <w:ind w:firstLine="225"/>
        <w:jc w:val="both"/>
        <w:rPr/>
      </w:pPr>
      <w:r>
        <w:rPr/>
      </w:r>
    </w:p>
    <w:p>
      <w:pPr>
        <w:pStyle w:val="Normal"/>
        <w:ind w:firstLine="225"/>
        <w:jc w:val="both"/>
        <w:rPr/>
      </w:pPr>
      <w:r>
        <w:rPr/>
        <w:t>г) допускаются только рубки ухода за лесом и санитарные рубки леса.</w:t>
      </w:r>
    </w:p>
    <w:p>
      <w:pPr>
        <w:pStyle w:val="Normal"/>
        <w:ind w:firstLine="225"/>
        <w:jc w:val="both"/>
        <w:rPr/>
      </w:pPr>
      <w:r>
        <w:rPr/>
      </w:r>
    </w:p>
    <w:p>
      <w:pPr>
        <w:pStyle w:val="Normal"/>
        <w:ind w:firstLine="225"/>
        <w:jc w:val="both"/>
        <w:rPr/>
      </w:pPr>
      <w:r>
        <w:rPr/>
        <w:t>10.25. На территории второго пояса зоны поверхностного источника водоснабжения надлежит:</w:t>
      </w:r>
    </w:p>
    <w:p>
      <w:pPr>
        <w:pStyle w:val="Normal"/>
        <w:ind w:firstLine="225"/>
        <w:jc w:val="both"/>
        <w:rPr/>
      </w:pPr>
      <w:r>
        <w:rPr/>
      </w:r>
    </w:p>
    <w:p>
      <w:pPr>
        <w:pStyle w:val="Normal"/>
        <w:ind w:firstLine="225"/>
        <w:jc w:val="both"/>
        <w:rPr/>
      </w:pPr>
      <w:r>
        <w:rPr/>
        <w:t>а) осуществлять регулирование отведения территорий для населенных пунктов, лечебно-профилактических и оздоровительных учреждений, промышленных и сельскохозяйственных объектов, а также возможных изменений технологии промышленных предприятий, связанных с повышением степени опасности загрязнения источников водоснабжения сточными водами;</w:t>
      </w:r>
    </w:p>
    <w:p>
      <w:pPr>
        <w:pStyle w:val="Normal"/>
        <w:ind w:firstLine="225"/>
        <w:jc w:val="both"/>
        <w:rPr/>
      </w:pPr>
      <w:r>
        <w:rPr/>
      </w:r>
    </w:p>
    <w:p>
      <w:pPr>
        <w:pStyle w:val="Normal"/>
        <w:ind w:firstLine="225"/>
        <w:jc w:val="both"/>
        <w:rPr/>
      </w:pPr>
      <w:r>
        <w:rPr/>
        <w:t>б) благоустраивать промышленные, сельскохозяйственные и другие предприятия, населенные пункты и отдельные здания, предусматривать организованное водоснабжение, канализование, устройство водонепроницаемых выгребов, организацию отвода загрязненных поверхностных сточных вод и др.;</w:t>
      </w:r>
    </w:p>
    <w:p>
      <w:pPr>
        <w:pStyle w:val="Normal"/>
        <w:ind w:firstLine="225"/>
        <w:jc w:val="both"/>
        <w:rPr/>
      </w:pPr>
      <w:r>
        <w:rPr/>
      </w:r>
    </w:p>
    <w:p>
      <w:pPr>
        <w:pStyle w:val="Normal"/>
        <w:ind w:firstLine="225"/>
        <w:jc w:val="both"/>
        <w:rPr/>
      </w:pPr>
      <w:r>
        <w:rPr/>
        <w:t>в) принимать степень очистки бытовых, производственных и дождевых сточных вод, сбрасываемых в водотоки и водоемы, отвечающую требованиям «Основ водного законодательства СССР и союзных республик» и «Правил охраны поверхностных вод от загрязнения сточными водами»;</w:t>
      </w:r>
    </w:p>
    <w:p>
      <w:pPr>
        <w:pStyle w:val="Normal"/>
        <w:ind w:firstLine="225"/>
        <w:jc w:val="both"/>
        <w:rPr/>
      </w:pPr>
      <w:r>
        <w:rPr/>
      </w:r>
    </w:p>
    <w:p>
      <w:pPr>
        <w:pStyle w:val="Normal"/>
        <w:ind w:firstLine="225"/>
        <w:jc w:val="both"/>
        <w:rPr/>
      </w:pPr>
      <w:r>
        <w:rPr/>
        <w:t>г) производить только рубки ухода за лесом и санитарные рубки леса.</w:t>
      </w:r>
    </w:p>
    <w:p>
      <w:pPr>
        <w:pStyle w:val="Normal"/>
        <w:ind w:firstLine="225"/>
        <w:jc w:val="both"/>
        <w:rPr/>
      </w:pPr>
      <w:r>
        <w:rPr/>
      </w:r>
    </w:p>
    <w:p>
      <w:pPr>
        <w:pStyle w:val="Normal"/>
        <w:ind w:firstLine="225"/>
        <w:jc w:val="both"/>
        <w:rPr/>
      </w:pPr>
      <w:r>
        <w:rPr/>
        <w:t>10.26. Во втором поясе зоны поверхностного источника водоснабжения запрещается:</w:t>
      </w:r>
    </w:p>
    <w:p>
      <w:pPr>
        <w:pStyle w:val="Normal"/>
        <w:ind w:firstLine="225"/>
        <w:jc w:val="both"/>
        <w:rPr/>
      </w:pPr>
      <w:r>
        <w:rPr/>
      </w:r>
    </w:p>
    <w:p>
      <w:pPr>
        <w:pStyle w:val="Normal"/>
        <w:ind w:firstLine="225"/>
        <w:jc w:val="both"/>
        <w:rPr/>
      </w:pPr>
      <w:r>
        <w:rPr/>
        <w:t>а) загрязнение территорий нечистотами, мусором, навозом, промышленными отходами и др.;</w:t>
      </w:r>
    </w:p>
    <w:p>
      <w:pPr>
        <w:pStyle w:val="Normal"/>
        <w:ind w:firstLine="225"/>
        <w:jc w:val="both"/>
        <w:rPr/>
      </w:pPr>
      <w:r>
        <w:rPr/>
      </w:r>
    </w:p>
    <w:p>
      <w:pPr>
        <w:pStyle w:val="Normal"/>
        <w:ind w:firstLine="225"/>
        <w:jc w:val="both"/>
        <w:rPr/>
      </w:pPr>
      <w:r>
        <w:rPr/>
        <w:t>б)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pPr>
        <w:pStyle w:val="Normal"/>
        <w:ind w:firstLine="225"/>
        <w:jc w:val="both"/>
        <w:rPr/>
      </w:pPr>
      <w:r>
        <w:rPr/>
      </w:r>
    </w:p>
    <w:p>
      <w:pPr>
        <w:pStyle w:val="Normal"/>
        <w:ind w:firstLine="225"/>
        <w:jc w:val="both"/>
        <w:rPr/>
      </w:pPr>
      <w:r>
        <w:rPr/>
        <w:t xml:space="preserve">в) размещение кладбищ, скотомогильников, полей ассенизации, полей фильтрации, земледельческих полей орошения, навозохранилищ, силосных траншей, животноводческих и птицеводческих предприятий и других объектов, которые могут вызвать микробные загрязнения источников водоснабжения; </w:t>
      </w:r>
    </w:p>
    <w:p>
      <w:pPr>
        <w:pStyle w:val="Normal"/>
        <w:ind w:firstLine="225"/>
        <w:jc w:val="both"/>
        <w:rPr/>
      </w:pPr>
      <w:r>
        <w:rPr/>
      </w:r>
    </w:p>
    <w:p>
      <w:pPr>
        <w:pStyle w:val="Normal"/>
        <w:ind w:firstLine="225"/>
        <w:jc w:val="both"/>
        <w:rPr/>
      </w:pPr>
      <w:r>
        <w:rPr/>
        <w:t xml:space="preserve">г) применение удобрений и ядохимикатов. </w:t>
      </w:r>
    </w:p>
    <w:p>
      <w:pPr>
        <w:pStyle w:val="Normal"/>
        <w:ind w:firstLine="225"/>
        <w:jc w:val="both"/>
        <w:rPr/>
      </w:pPr>
      <w:r>
        <w:rPr/>
      </w:r>
    </w:p>
    <w:p>
      <w:pPr>
        <w:pStyle w:val="Normal"/>
        <w:ind w:firstLine="225"/>
        <w:jc w:val="both"/>
        <w:rPr/>
      </w:pPr>
      <w:r>
        <w:rPr/>
        <w:t>10.27. В пределах второго пояса зоны поверхностного источника водоснабжения в дополнение к требованиям пп. 10.25 и 10.26:</w:t>
      </w:r>
    </w:p>
    <w:p>
      <w:pPr>
        <w:pStyle w:val="Normal"/>
        <w:ind w:firstLine="225"/>
        <w:jc w:val="both"/>
        <w:rPr/>
      </w:pPr>
      <w:r>
        <w:rPr/>
      </w:r>
    </w:p>
    <w:p>
      <w:pPr>
        <w:pStyle w:val="Normal"/>
        <w:ind w:firstLine="225"/>
        <w:jc w:val="both"/>
        <w:rPr/>
      </w:pPr>
      <w:r>
        <w:rPr/>
        <w:t>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pPr>
        <w:pStyle w:val="Normal"/>
        <w:ind w:firstLine="225"/>
        <w:jc w:val="both"/>
        <w:rPr/>
      </w:pPr>
      <w:r>
        <w:rPr/>
      </w:r>
    </w:p>
    <w:p>
      <w:pPr>
        <w:pStyle w:val="Normal"/>
        <w:ind w:firstLine="225"/>
        <w:jc w:val="both"/>
        <w:rPr/>
      </w:pPr>
      <w:r>
        <w:rPr/>
        <w:t>следует устанавливать места переправ, мостов и пристаней;</w:t>
      </w:r>
    </w:p>
    <w:p>
      <w:pPr>
        <w:pStyle w:val="Normal"/>
        <w:ind w:firstLine="225"/>
        <w:jc w:val="both"/>
        <w:rPr/>
      </w:pPr>
      <w:r>
        <w:rPr/>
      </w:r>
    </w:p>
    <w:p>
      <w:pPr>
        <w:pStyle w:val="Normal"/>
        <w:ind w:firstLine="225"/>
        <w:jc w:val="both"/>
        <w:rPr/>
      </w:pPr>
      <w:r>
        <w:rPr/>
        <w:t>надлежит при наличии судоходства оборудовать суда специальными устройствами для 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 -  оборудовать приемниками для сбора нечистот;</w:t>
      </w:r>
    </w:p>
    <w:p>
      <w:pPr>
        <w:pStyle w:val="Normal"/>
        <w:ind w:firstLine="225"/>
        <w:jc w:val="both"/>
        <w:rPr/>
      </w:pPr>
      <w:r>
        <w:rPr/>
      </w:r>
    </w:p>
    <w:p>
      <w:pPr>
        <w:pStyle w:val="Normal"/>
        <w:ind w:firstLine="225"/>
        <w:jc w:val="both"/>
        <w:rPr/>
      </w:pPr>
      <w:r>
        <w:rPr/>
        <w:t>запрещаются добыча песка и гравия из водотока или водоема, а также дноуглубительные работы;</w:t>
      </w:r>
    </w:p>
    <w:p>
      <w:pPr>
        <w:pStyle w:val="Normal"/>
        <w:ind w:firstLine="225"/>
        <w:jc w:val="both"/>
        <w:rPr/>
      </w:pPr>
      <w:r>
        <w:rPr/>
      </w:r>
    </w:p>
    <w:p>
      <w:pPr>
        <w:pStyle w:val="Normal"/>
        <w:ind w:firstLine="225"/>
        <w:jc w:val="both"/>
        <w:rPr/>
      </w:pPr>
      <w:r>
        <w:rPr/>
        <w:t>запрещается в прибрежной полосе шириной не менее 300 м расположение пастбищ.</w:t>
      </w:r>
    </w:p>
    <w:p>
      <w:pPr>
        <w:pStyle w:val="Normal"/>
        <w:ind w:firstLine="225"/>
        <w:jc w:val="both"/>
        <w:rPr/>
      </w:pPr>
      <w:r>
        <w:rPr/>
      </w:r>
    </w:p>
    <w:p>
      <w:pPr>
        <w:pStyle w:val="Normal"/>
        <w:ind w:firstLine="225"/>
        <w:jc w:val="both"/>
        <w:rPr/>
      </w:pPr>
      <w:r>
        <w:rPr/>
        <w:t>10.28. На территории третьего пояса зоны поверхностного источника водоснабжения должны предусматриваться санитарные мероприятия, указанные в п. 10.25.</w:t>
      </w:r>
    </w:p>
    <w:p>
      <w:pPr>
        <w:pStyle w:val="Normal"/>
        <w:ind w:firstLine="225"/>
        <w:jc w:val="both"/>
        <w:rPr/>
      </w:pPr>
      <w:r>
        <w:rPr/>
      </w:r>
    </w:p>
    <w:p>
      <w:pPr>
        <w:pStyle w:val="Normal"/>
        <w:ind w:firstLine="225"/>
        <w:jc w:val="both"/>
        <w:rPr/>
      </w:pPr>
      <w:r>
        <w:rPr/>
        <w:t>10.29. В лесах, расположенных на территории третьего пояса зоны, разрешаются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(лесосырьевых баз), а также лесосечного фонда долгосрочного пользования.</w:t>
      </w:r>
    </w:p>
    <w:p>
      <w:pPr>
        <w:pStyle w:val="Normal"/>
        <w:ind w:firstLine="225"/>
        <w:jc w:val="both"/>
        <w:rPr/>
      </w:pPr>
      <w:r>
        <w:rPr/>
      </w:r>
    </w:p>
    <w:p>
      <w:pPr>
        <w:pStyle w:val="Normal"/>
        <w:ind w:firstLine="225"/>
        <w:jc w:val="both"/>
        <w:rPr/>
      </w:pPr>
      <w:r>
        <w:rPr/>
        <w:t>10.30. При использовании каналов и водохранилищ в качестве источников водоснабжения должны предусматриваться периодическая очистка их от отложений на дне и удаление водной растительности.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pPr>
        <w:pStyle w:val="Normal"/>
        <w:ind w:firstLine="225"/>
        <w:jc w:val="both"/>
        <w:rPr/>
      </w:pPr>
      <w:r>
        <w:rPr/>
      </w:r>
    </w:p>
    <w:p>
      <w:pPr>
        <w:pStyle w:val="Normal"/>
        <w:ind w:firstLine="225"/>
        <w:jc w:val="both"/>
        <w:rPr/>
      </w:pPr>
      <w:r>
        <w:rPr/>
      </w:r>
    </w:p>
    <w:p>
      <w:pPr>
        <w:pStyle w:val="Heading"/>
        <w:jc w:val="center"/>
        <w:rPr/>
      </w:pPr>
      <w:r>
        <w:rPr/>
        <w:t>Подземные источники водоснабжения</w:t>
      </w:r>
    </w:p>
    <w:p>
      <w:pPr>
        <w:pStyle w:val="Heading"/>
        <w:jc w:val="center"/>
        <w:rPr/>
      </w:pPr>
      <w:r>
        <w:rPr/>
      </w:r>
    </w:p>
    <w:p>
      <w:pPr>
        <w:pStyle w:val="Normal"/>
        <w:ind w:firstLine="270"/>
        <w:jc w:val="both"/>
        <w:rPr/>
      </w:pPr>
      <w:r>
        <w:rPr/>
      </w:r>
    </w:p>
    <w:p>
      <w:pPr>
        <w:pStyle w:val="Normal"/>
        <w:ind w:firstLine="225"/>
        <w:jc w:val="both"/>
        <w:rPr/>
      </w:pPr>
      <w:r>
        <w:rPr/>
        <w:t>10.31. На территории первого пояса зоны подземного источника водоснабжения должны предусматриваться санитарные мероприятия, указанные в пп. 10.21, 10.23 и 10.24.</w:t>
      </w:r>
    </w:p>
    <w:p>
      <w:pPr>
        <w:pStyle w:val="Normal"/>
        <w:ind w:firstLine="225"/>
        <w:jc w:val="both"/>
        <w:rPr/>
      </w:pPr>
      <w:r>
        <w:rPr/>
      </w:r>
    </w:p>
    <w:p>
      <w:pPr>
        <w:pStyle w:val="Normal"/>
        <w:ind w:firstLine="225"/>
        <w:jc w:val="both"/>
        <w:rPr/>
      </w:pPr>
      <w:r>
        <w:rPr/>
      </w:r>
    </w:p>
    <w:p>
      <w:pPr>
        <w:pStyle w:val="Normal"/>
        <w:ind w:firstLine="225"/>
        <w:jc w:val="both"/>
        <w:rPr/>
      </w:pPr>
      <w:r>
        <w:rPr/>
        <w:t>Примечание. На водозаборах подземных вод объектов сельского хозяйства сторожевую сигнализацию допускается не предусматривать.</w:t>
      </w:r>
    </w:p>
    <w:p>
      <w:pPr>
        <w:pStyle w:val="Normal"/>
        <w:ind w:firstLine="225"/>
        <w:jc w:val="both"/>
        <w:rPr/>
      </w:pPr>
      <w:r>
        <w:rPr/>
      </w:r>
    </w:p>
    <w:p>
      <w:pPr>
        <w:pStyle w:val="Normal"/>
        <w:ind w:firstLine="225"/>
        <w:jc w:val="both"/>
        <w:rPr/>
      </w:pPr>
      <w:r>
        <w:rPr/>
      </w:r>
    </w:p>
    <w:p>
      <w:pPr>
        <w:pStyle w:val="Normal"/>
        <w:ind w:firstLine="225"/>
        <w:jc w:val="both"/>
        <w:rPr/>
      </w:pPr>
      <w:r>
        <w:rPr/>
        <w:t>10.32. На территории второго пояса зоны подземных источников водоснабжения должны предусматриваться санитарные мероприятия, указанные в пп. 10.25, а, б, г и 10.26.</w:t>
      </w:r>
    </w:p>
    <w:p>
      <w:pPr>
        <w:pStyle w:val="Normal"/>
        <w:ind w:firstLine="225"/>
        <w:jc w:val="both"/>
        <w:rPr/>
      </w:pPr>
      <w:r>
        <w:rPr/>
      </w:r>
    </w:p>
    <w:p>
      <w:pPr>
        <w:pStyle w:val="Normal"/>
        <w:ind w:firstLine="225"/>
        <w:jc w:val="both"/>
        <w:rPr/>
      </w:pPr>
      <w:r>
        <w:rPr/>
        <w:t>10.33. В санитарные мероприятия, проводимые во втором поясе зоны, кроме указанных в п. 10.32, следует включать:</w:t>
      </w:r>
    </w:p>
    <w:p>
      <w:pPr>
        <w:pStyle w:val="Normal"/>
        <w:ind w:firstLine="225"/>
        <w:jc w:val="both"/>
        <w:rPr/>
      </w:pPr>
      <w:r>
        <w:rPr/>
      </w:r>
    </w:p>
    <w:p>
      <w:pPr>
        <w:pStyle w:val="Normal"/>
        <w:ind w:firstLine="225"/>
        <w:jc w:val="both"/>
        <w:rPr/>
      </w:pPr>
      <w:r>
        <w:rPr/>
        <w:t xml:space="preserve">выявление, тампонаж или восстановление всех старых, бездействующих, дефектных или неправильно эксплуатируемых скважин и шахтных колодцев, создающих опасность загрязнения используемого водоносного горизонта; </w:t>
      </w:r>
    </w:p>
    <w:p>
      <w:pPr>
        <w:pStyle w:val="Normal"/>
        <w:ind w:firstLine="225"/>
        <w:jc w:val="both"/>
        <w:rPr/>
      </w:pPr>
      <w:r>
        <w:rPr/>
      </w:r>
    </w:p>
    <w:p>
      <w:pPr>
        <w:pStyle w:val="Normal"/>
        <w:ind w:firstLine="225"/>
        <w:jc w:val="both"/>
        <w:rPr/>
      </w:pPr>
      <w:r>
        <w:rPr/>
        <w:t xml:space="preserve">регулирование бурения новых скважин; </w:t>
      </w:r>
    </w:p>
    <w:p>
      <w:pPr>
        <w:pStyle w:val="Normal"/>
        <w:ind w:firstLine="225"/>
        <w:jc w:val="both"/>
        <w:rPr/>
      </w:pPr>
      <w:r>
        <w:rPr/>
      </w:r>
    </w:p>
    <w:p>
      <w:pPr>
        <w:pStyle w:val="Normal"/>
        <w:ind w:firstLine="225"/>
        <w:jc w:val="both"/>
        <w:rPr/>
      </w:pPr>
      <w:r>
        <w:rPr/>
        <w:t>запрещение закачки отработавших вод в подземные пласты, подземного складирования твердых отходов и разработки недр земли, а также ликвидацию поглощающих скважин и шахтных колодцев, которые могут загрязнить водоносные пласты.</w:t>
      </w:r>
    </w:p>
    <w:p>
      <w:pPr>
        <w:pStyle w:val="Normal"/>
        <w:ind w:firstLine="225"/>
        <w:jc w:val="both"/>
        <w:rPr/>
      </w:pPr>
      <w:r>
        <w:rPr/>
      </w:r>
    </w:p>
    <w:p>
      <w:pPr>
        <w:pStyle w:val="Normal"/>
        <w:ind w:firstLine="225"/>
        <w:jc w:val="both"/>
        <w:rPr/>
      </w:pPr>
      <w:r>
        <w:rPr/>
        <w:t>10.34. На территории третьего пояса зоны подземного источника водоснабжения следует предусматривать санитарные мероприятия, указанные в пп. 10.25, а; 10.26, б и 10.33.</w:t>
      </w:r>
    </w:p>
    <w:p>
      <w:pPr>
        <w:pStyle w:val="Normal"/>
        <w:ind w:firstLine="225"/>
        <w:jc w:val="both"/>
        <w:rPr/>
      </w:pPr>
      <w:r>
        <w:rPr/>
      </w:r>
    </w:p>
    <w:p>
      <w:pPr>
        <w:pStyle w:val="Normal"/>
        <w:ind w:firstLine="225"/>
        <w:jc w:val="both"/>
        <w:rPr/>
      </w:pPr>
      <w:r>
        <w:rPr/>
        <w:t>Примечание. При использовании защищенных подземных вод и по согласованию с органами санитарно-эпидемиологической службы допускается в пределах третьего пояса зоны размещение объектов, указанных в п. 10.26, б.</w:t>
      </w:r>
    </w:p>
    <w:p>
      <w:pPr>
        <w:pStyle w:val="Normal"/>
        <w:ind w:firstLine="225"/>
        <w:jc w:val="both"/>
        <w:rPr/>
      </w:pPr>
      <w:r>
        <w:rPr/>
      </w:r>
    </w:p>
    <w:p>
      <w:pPr>
        <w:pStyle w:val="Normal"/>
        <w:ind w:firstLine="225"/>
        <w:jc w:val="both"/>
        <w:rPr/>
      </w:pPr>
      <w:r>
        <w:rPr/>
        <w:t>10.35. Санитарные мероприятия во всех поясах зоны подрусловых водозаборов и участков поверхностного источника, питающего инфильтрационный водозабор или используемого для искусственного пополнения запасов подземных вод, должны приниматься такими же, как для поверхностных источников водоснабжения.</w:t>
      </w:r>
    </w:p>
    <w:p>
      <w:pPr>
        <w:pStyle w:val="Normal"/>
        <w:ind w:firstLine="225"/>
        <w:jc w:val="both"/>
        <w:rPr/>
      </w:pPr>
      <w:r>
        <w:rPr/>
      </w:r>
    </w:p>
    <w:p>
      <w:pPr>
        <w:pStyle w:val="Normal"/>
        <w:ind w:firstLine="225"/>
        <w:jc w:val="both"/>
        <w:rPr/>
      </w:pPr>
      <w:r>
        <w:rPr/>
      </w:r>
    </w:p>
    <w:p>
      <w:pPr>
        <w:pStyle w:val="Heading"/>
        <w:jc w:val="center"/>
        <w:rPr/>
      </w:pPr>
      <w:r>
        <w:rPr/>
        <w:t>Площадки водопроводных сооружений</w:t>
      </w:r>
    </w:p>
    <w:p>
      <w:pPr>
        <w:pStyle w:val="Heading"/>
        <w:jc w:val="center"/>
        <w:rPr/>
      </w:pPr>
      <w:r>
        <w:rPr/>
      </w:r>
    </w:p>
    <w:p>
      <w:pPr>
        <w:pStyle w:val="Normal"/>
        <w:ind w:firstLine="270"/>
        <w:jc w:val="both"/>
        <w:rPr/>
      </w:pPr>
      <w:r>
        <w:rPr/>
      </w:r>
    </w:p>
    <w:p>
      <w:pPr>
        <w:pStyle w:val="Normal"/>
        <w:ind w:firstLine="225"/>
        <w:jc w:val="both"/>
        <w:rPr/>
      </w:pPr>
      <w:r>
        <w:rPr/>
        <w:t>10.36. На территории первого пояса зоны площадки водопроводных сооружений должны предусматриваться санитарные мероприятия, указанные в пп. 10.21, 10.24, сторожевая охрана и технические средства охраны согласно п. 14.5.</w:t>
      </w:r>
    </w:p>
    <w:p>
      <w:pPr>
        <w:pStyle w:val="Normal"/>
        <w:ind w:firstLine="225"/>
        <w:jc w:val="both"/>
        <w:rPr/>
      </w:pPr>
      <w:r>
        <w:rPr/>
      </w:r>
    </w:p>
    <w:p>
      <w:pPr>
        <w:pStyle w:val="Normal"/>
        <w:ind w:firstLine="225"/>
        <w:jc w:val="both"/>
        <w:rPr/>
      </w:pPr>
      <w:r>
        <w:rPr/>
        <w:t>10.37. В пределах санитарно-защитной полосы площадок водопроводных сооружений должны предусматриваться санитарные мероприятия, предусмотренные п. 10.32.</w:t>
      </w:r>
    </w:p>
    <w:p>
      <w:pPr>
        <w:pStyle w:val="Normal"/>
        <w:ind w:firstLine="225"/>
        <w:jc w:val="both"/>
        <w:rPr/>
      </w:pPr>
      <w:r>
        <w:rPr/>
      </w:r>
    </w:p>
    <w:p>
      <w:pPr>
        <w:pStyle w:val="Normal"/>
        <w:ind w:firstLine="225"/>
        <w:jc w:val="both"/>
        <w:rPr/>
      </w:pPr>
      <w:r>
        <w:rPr/>
      </w:r>
    </w:p>
    <w:p>
      <w:pPr>
        <w:pStyle w:val="Heading"/>
        <w:jc w:val="center"/>
        <w:rPr/>
      </w:pPr>
      <w:r>
        <w:rPr/>
        <w:t>Водоводы</w:t>
      </w:r>
    </w:p>
    <w:p>
      <w:pPr>
        <w:pStyle w:val="Heading"/>
        <w:jc w:val="center"/>
        <w:rPr/>
      </w:pPr>
      <w:r>
        <w:rPr/>
      </w:r>
    </w:p>
    <w:p>
      <w:pPr>
        <w:pStyle w:val="Normal"/>
        <w:ind w:firstLine="270"/>
        <w:jc w:val="both"/>
        <w:rPr/>
      </w:pPr>
      <w:r>
        <w:rPr/>
      </w:r>
    </w:p>
    <w:p>
      <w:pPr>
        <w:pStyle w:val="Normal"/>
        <w:ind w:firstLine="225"/>
        <w:jc w:val="both"/>
        <w:rPr/>
      </w:pPr>
      <w:r>
        <w:rPr/>
        <w:t>10.38. В пределах санитарно-защитной полосы водоводов должны отсутствовать источники загрязнения почвы и грунтовых вод (уборные, помойные ямы, навозохранилища, приемники мусора и др.).</w:t>
      </w:r>
    </w:p>
    <w:p>
      <w:pPr>
        <w:pStyle w:val="Normal"/>
        <w:ind w:firstLine="225"/>
        <w:jc w:val="both"/>
        <w:rPr/>
      </w:pPr>
      <w:r>
        <w:rPr/>
      </w:r>
    </w:p>
    <w:p>
      <w:pPr>
        <w:pStyle w:val="Normal"/>
        <w:ind w:firstLine="225"/>
        <w:jc w:val="both"/>
        <w:rPr/>
      </w:pPr>
      <w:r>
        <w:rPr/>
        <w:t>На участках водоводов, где полоса граничит с указанными загрязнителями, следует применять пластмассовые или стальные трубы.</w:t>
      </w:r>
    </w:p>
    <w:p>
      <w:pPr>
        <w:pStyle w:val="Normal"/>
        <w:ind w:firstLine="225"/>
        <w:jc w:val="both"/>
        <w:rPr/>
      </w:pPr>
      <w:r>
        <w:rPr/>
      </w:r>
    </w:p>
    <w:p>
      <w:pPr>
        <w:pStyle w:val="Normal"/>
        <w:ind w:firstLine="225"/>
        <w:jc w:val="both"/>
        <w:rPr/>
      </w:pPr>
      <w:r>
        <w:rPr/>
        <w:t>10.39. Запрещается прокладка водоводов по территории свалок, полей ассенизации, полей фильтрации, земледельческих полей орошения, кладбищ, скотомогильников, а также по территории промышленных и сельскохозяйственных предприятий.</w:t>
      </w:r>
    </w:p>
    <w:p>
      <w:pPr>
        <w:pStyle w:val="Normal"/>
        <w:ind w:firstLine="225"/>
        <w:jc w:val="both"/>
        <w:rPr/>
      </w:pPr>
      <w:r>
        <w:rPr/>
      </w:r>
    </w:p>
    <w:p>
      <w:pPr>
        <w:pStyle w:val="Heading"/>
        <w:jc w:val="center"/>
        <w:rPr/>
      </w:pPr>
      <w:r>
        <w:rPr/>
      </w:r>
    </w:p>
    <w:p>
      <w:pPr>
        <w:pStyle w:val="Heading"/>
        <w:jc w:val="center"/>
        <w:rPr/>
      </w:pPr>
      <w:r>
        <w:rPr/>
        <w:t>11. ОХЛАЖДАЮЩИЕ СИСТЕМЫ</w:t>
      </w:r>
    </w:p>
    <w:p>
      <w:pPr>
        <w:pStyle w:val="Heading"/>
        <w:jc w:val="center"/>
        <w:rPr/>
      </w:pPr>
      <w:r>
        <w:rPr/>
        <w:t>ОБОРОТНОГО ВОДОСНАБЖЕНИЯ</w:t>
      </w:r>
    </w:p>
    <w:p>
      <w:pPr>
        <w:pStyle w:val="Heading"/>
        <w:jc w:val="center"/>
        <w:rPr/>
      </w:pPr>
      <w:r>
        <w:rPr/>
      </w:r>
    </w:p>
    <w:p>
      <w:pPr>
        <w:pStyle w:val="Heading"/>
        <w:jc w:val="center"/>
        <w:rPr/>
      </w:pPr>
      <w:r>
        <w:rPr/>
        <w:t>Общие указания</w:t>
      </w:r>
    </w:p>
    <w:p>
      <w:pPr>
        <w:pStyle w:val="Heading"/>
        <w:jc w:val="center"/>
        <w:rPr/>
      </w:pPr>
      <w:r>
        <w:rPr/>
      </w:r>
    </w:p>
    <w:p>
      <w:pPr>
        <w:pStyle w:val="Normal"/>
        <w:ind w:firstLine="270"/>
        <w:jc w:val="both"/>
        <w:rPr/>
      </w:pPr>
      <w:r>
        <w:rPr/>
      </w:r>
    </w:p>
    <w:p>
      <w:pPr>
        <w:pStyle w:val="Normal"/>
        <w:ind w:firstLine="225"/>
        <w:jc w:val="both"/>
        <w:rPr/>
      </w:pPr>
      <w:r>
        <w:rPr/>
        <w:t>11.1. Схема водоснабжения должна приниматься с оборотом воды, общим для всего промышленного предприятия, или в виде замкнутых циклов для отдельных производств, цехов или установок.</w:t>
      </w:r>
    </w:p>
    <w:p>
      <w:pPr>
        <w:pStyle w:val="Normal"/>
        <w:ind w:firstLine="225"/>
        <w:jc w:val="both"/>
        <w:rPr/>
      </w:pPr>
      <w:r>
        <w:rPr/>
      </w:r>
    </w:p>
    <w:p>
      <w:pPr>
        <w:pStyle w:val="Normal"/>
        <w:ind w:firstLine="225"/>
        <w:jc w:val="both"/>
        <w:rPr/>
      </w:pPr>
      <w:r>
        <w:rPr/>
        <w:t>Количество охлаждающих систем оборотного водоснабжения на предприятии надлежит устанавливать с учетом технологии производства, требований, предъявляемых к качеству, температуре, давлению воды, размещения потребителей воды на генплане и очередности строительства.</w:t>
      </w:r>
    </w:p>
    <w:p>
      <w:pPr>
        <w:pStyle w:val="Normal"/>
        <w:ind w:firstLine="225"/>
        <w:jc w:val="both"/>
        <w:rPr/>
      </w:pPr>
      <w:r>
        <w:rPr/>
      </w:r>
    </w:p>
    <w:p>
      <w:pPr>
        <w:pStyle w:val="Normal"/>
        <w:ind w:firstLine="225"/>
        <w:jc w:val="both"/>
        <w:rPr/>
      </w:pPr>
      <w:r>
        <w:rPr/>
        <w:t>Для уменьшения диаметра и протяженности труб водопроводных сетей надлежит применять на промышленном предприятии раздельные системы оборотного водоснабжения по отдельным производствам, цехам или установкам с максимально возможным приближением их к потребителям воды.</w:t>
      </w:r>
    </w:p>
    <w:p>
      <w:pPr>
        <w:pStyle w:val="Normal"/>
        <w:ind w:firstLine="225"/>
        <w:jc w:val="both"/>
        <w:rPr/>
      </w:pPr>
      <w:r>
        <w:rPr/>
      </w:r>
    </w:p>
    <w:p>
      <w:pPr>
        <w:pStyle w:val="Normal"/>
        <w:ind w:firstLine="225"/>
        <w:jc w:val="both"/>
        <w:rPr/>
      </w:pPr>
      <w:r>
        <w:rPr/>
        <w:t>11.2. При проектировании охлаждающих систем оборотного водоснабжения должна учитываться возможность использования низкопотенциального тепла подогретой воды.</w:t>
      </w:r>
    </w:p>
    <w:p>
      <w:pPr>
        <w:pStyle w:val="Normal"/>
        <w:ind w:firstLine="225"/>
        <w:jc w:val="both"/>
        <w:rPr/>
      </w:pPr>
      <w:r>
        <w:rPr/>
      </w:r>
    </w:p>
    <w:p>
      <w:pPr>
        <w:pStyle w:val="Normal"/>
        <w:ind w:firstLine="225"/>
        <w:jc w:val="both"/>
        <w:rPr/>
      </w:pPr>
      <w:r>
        <w:rPr/>
        <w:t>11.3. Систему оборотного водоснабжения надлежит проектировать с отводом воды от технологических установок без разрыва струи с напором, достаточным для подачи воды на охладители, за исключением случаев, когда разрыв струи обусловлен конструкцией установок.</w:t>
      </w:r>
    </w:p>
    <w:p>
      <w:pPr>
        <w:pStyle w:val="Normal"/>
        <w:ind w:firstLine="225"/>
        <w:jc w:val="both"/>
        <w:rPr/>
      </w:pPr>
      <w:r>
        <w:rPr/>
      </w:r>
    </w:p>
    <w:p>
      <w:pPr>
        <w:pStyle w:val="Normal"/>
        <w:ind w:firstLine="225"/>
        <w:jc w:val="both"/>
        <w:rPr/>
      </w:pPr>
      <w:r>
        <w:rPr/>
        <w:t>11.4. В системах оборотного водоснабжения следует использовать природные и сточные воды при соответствующей очистке и обработке. Использование очищенных сточных вод должно согласовываться с органами санитарно-эпидемиологической службы.</w:t>
      </w:r>
    </w:p>
    <w:p>
      <w:pPr>
        <w:pStyle w:val="Normal"/>
        <w:ind w:firstLine="225"/>
        <w:jc w:val="both"/>
        <w:rPr/>
      </w:pPr>
      <w:r>
        <w:rPr/>
      </w:r>
    </w:p>
    <w:p>
      <w:pPr>
        <w:pStyle w:val="Normal"/>
        <w:ind w:firstLine="225"/>
        <w:jc w:val="both"/>
        <w:rPr/>
      </w:pPr>
      <w:r>
        <w:rPr/>
        <w:t>11.5. При проектировании сооружений оборотного водоснабжения следует учитывать требования разделов 7, 12 и 13.</w:t>
      </w:r>
    </w:p>
    <w:p>
      <w:pPr>
        <w:pStyle w:val="Normal"/>
        <w:ind w:firstLine="225"/>
        <w:jc w:val="both"/>
        <w:rPr/>
      </w:pPr>
      <w:r>
        <w:rPr/>
      </w:r>
    </w:p>
    <w:p>
      <w:pPr>
        <w:pStyle w:val="Normal"/>
        <w:ind w:firstLine="225"/>
        <w:jc w:val="both"/>
        <w:rPr/>
      </w:pPr>
      <w:r>
        <w:rPr/>
        <w:t>11.6. Оборотная вода не должна вызывать коррозии труб, оборудования и теплообменных аппаратов, биологических обрастаний, выпадения взвесей и солевых отложений на поверхностях теплообмена.</w:t>
      </w:r>
    </w:p>
    <w:p>
      <w:pPr>
        <w:pStyle w:val="Normal"/>
        <w:ind w:firstLine="225"/>
        <w:jc w:val="both"/>
        <w:rPr/>
      </w:pPr>
      <w:r>
        <w:rPr/>
      </w:r>
    </w:p>
    <w:p>
      <w:pPr>
        <w:pStyle w:val="Normal"/>
        <w:ind w:firstLine="225"/>
        <w:jc w:val="both"/>
        <w:rPr/>
      </w:pPr>
      <w:r>
        <w:rPr/>
        <w:t xml:space="preserve">Для обеспечения указанных требований надлежит предусматривать соответствующую очистку и обработку добавочной и оборотной воды. </w:t>
      </w:r>
    </w:p>
    <w:p>
      <w:pPr>
        <w:pStyle w:val="Normal"/>
        <w:ind w:firstLine="225"/>
        <w:jc w:val="both"/>
        <w:rPr/>
      </w:pPr>
      <w:r>
        <w:rPr/>
      </w:r>
    </w:p>
    <w:p>
      <w:pPr>
        <w:pStyle w:val="Normal"/>
        <w:ind w:firstLine="225"/>
        <w:jc w:val="both"/>
        <w:rPr/>
      </w:pPr>
      <w:r>
        <w:rPr/>
        <w:t>11.7. Выбор состава и размеров сооружений и оборудования для очистки, обработки и охлаждения воды надлежит производить из условий максимальной нагрузки на эти сооружения.</w:t>
      </w:r>
    </w:p>
    <w:p>
      <w:pPr>
        <w:pStyle w:val="Normal"/>
        <w:ind w:firstLine="225"/>
        <w:jc w:val="both"/>
        <w:rPr/>
      </w:pPr>
      <w:r>
        <w:rPr/>
      </w:r>
    </w:p>
    <w:p>
      <w:pPr>
        <w:pStyle w:val="Normal"/>
        <w:ind w:firstLine="225"/>
        <w:jc w:val="both"/>
        <w:rPr/>
      </w:pPr>
      <w:r>
        <w:rPr/>
      </w:r>
    </w:p>
    <w:p>
      <w:pPr>
        <w:pStyle w:val="Heading"/>
        <w:jc w:val="center"/>
        <w:rPr/>
      </w:pPr>
      <w:r>
        <w:rPr/>
        <w:t>БАЛАНС ВОДЫ В СИСТЕМАХ</w:t>
      </w:r>
    </w:p>
    <w:p>
      <w:pPr>
        <w:pStyle w:val="Heading"/>
        <w:jc w:val="center"/>
        <w:rPr/>
      </w:pPr>
      <w:r>
        <w:rPr/>
      </w:r>
    </w:p>
    <w:p>
      <w:pPr>
        <w:pStyle w:val="Normal"/>
        <w:ind w:firstLine="270"/>
        <w:jc w:val="both"/>
        <w:rPr/>
      </w:pPr>
      <w:r>
        <w:rPr/>
      </w:r>
    </w:p>
    <w:p>
      <w:pPr>
        <w:pStyle w:val="Normal"/>
        <w:ind w:firstLine="225"/>
        <w:jc w:val="both"/>
        <w:rPr/>
      </w:pPr>
      <w:r>
        <w:rPr/>
        <w:t>11.8. Для систем оборотного водоснабжения должен составляться баланс воды, учитывающий потери, необходимые сбросы и добавления воды в систему для компенсации убыли из нее.</w:t>
      </w:r>
    </w:p>
    <w:p>
      <w:pPr>
        <w:pStyle w:val="Normal"/>
        <w:ind w:firstLine="225"/>
        <w:jc w:val="both"/>
        <w:rPr/>
      </w:pPr>
      <w:r>
        <w:rPr/>
      </w:r>
    </w:p>
    <w:p>
      <w:pPr>
        <w:pStyle w:val="Normal"/>
        <w:ind w:firstLine="225"/>
        <w:jc w:val="both"/>
        <w:rPr/>
      </w:pPr>
      <w:r>
        <w:rPr/>
        <w:t>11.9. При составлении баланса в состав общей убыли воды из системы необходимо включать:</w:t>
      </w:r>
    </w:p>
    <w:p>
      <w:pPr>
        <w:pStyle w:val="Normal"/>
        <w:ind w:firstLine="225"/>
        <w:jc w:val="both"/>
        <w:rPr/>
      </w:pPr>
      <w:r>
        <w:rPr/>
      </w:r>
    </w:p>
    <w:p>
      <w:pPr>
        <w:pStyle w:val="Normal"/>
        <w:ind w:firstLine="225"/>
        <w:jc w:val="both"/>
        <w:rPr/>
      </w:pPr>
      <w:r>
        <w:rPr/>
        <w:t>а) безвозвратное потребление (отбор воды из системы на технологические нужды);</w:t>
      </w:r>
    </w:p>
    <w:p>
      <w:pPr>
        <w:pStyle w:val="Normal"/>
        <w:ind w:firstLine="225"/>
        <w:jc w:val="both"/>
        <w:rPr/>
      </w:pPr>
      <w:r>
        <w:rPr/>
      </w:r>
    </w:p>
    <w:p>
      <w:pPr>
        <w:pStyle w:val="Normal"/>
        <w:ind w:firstLine="225"/>
        <w:jc w:val="both"/>
        <w:rPr/>
      </w:pPr>
      <w:r>
        <w:rPr/>
        <w:t>б) потери воды на испарение при охлаждении q(исп), куб.м/ч, определяемые по формуле</w:t>
      </w:r>
    </w:p>
    <w:p>
      <w:pPr>
        <w:pStyle w:val="Normal"/>
        <w:ind w:firstLine="450"/>
        <w:jc w:val="both"/>
        <w:rPr/>
      </w:pPr>
      <w:r>
        <w:rPr/>
      </w:r>
    </w:p>
    <w:tbl>
      <w:tblPr>
        <w:tblW w:w="4260" w:type="dxa"/>
        <w:jc w:val="start"/>
        <w:tblInd w:w="165" w:type="dxa"/>
        <w:tblBorders/>
        <w:tblCellMar>
          <w:top w:w="0" w:type="dxa"/>
          <w:start w:w="15" w:type="dxa"/>
          <w:bottom w:w="0" w:type="dxa"/>
          <w:end w:w="15" w:type="dxa"/>
        </w:tblCellMar>
      </w:tblPr>
      <w:tblGrid>
        <w:gridCol w:w="1950"/>
        <w:gridCol w:w="2310"/>
      </w:tblGrid>
      <w:tr>
        <w:trPr/>
        <w:tc>
          <w:tcPr>
            <w:tcW w:w="1950" w:type="dxa"/>
            <w:tcBorders/>
            <w:shd w:fill="auto" w:val="clear"/>
          </w:tcPr>
          <w:p>
            <w:pPr>
              <w:pStyle w:val="Normal"/>
              <w:rPr/>
            </w:pPr>
            <w:r>
              <w:rPr>
                <w:vanish/>
              </w:rPr>
              <w:t>#G0</w:t>
            </w:r>
            <w:r>
              <w:rPr/>
              <w:t xml:space="preserve">  </w:t>
            </w:r>
          </w:p>
          <w:p>
            <w:pPr>
              <w:pStyle w:val="Normal"/>
              <w:rPr/>
            </w:pPr>
            <w:r>
              <w:rPr/>
              <w:drawing>
                <wp:inline distT="0" distB="0" distL="0" distR="0">
                  <wp:extent cx="1129030" cy="264795"/>
                  <wp:effectExtent l="0" t="0" r="0" b="0"/>
                  <wp:docPr id="158" name="Изображение1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Изображение158" descr="" title=""/>
                          <pic:cNvPicPr>
                            <a:picLocks noChangeAspect="1" noChangeArrowheads="1"/>
                          </pic:cNvPicPr>
                        </pic:nvPicPr>
                        <pic:blipFill>
                          <a:blip r:embed="rId159"/>
                          <a:stretch>
                            <a:fillRect/>
                          </a:stretch>
                        </pic:blipFill>
                        <pic:spPr bwMode="auto">
                          <a:xfrm>
                            <a:off x="0" y="0"/>
                            <a:ext cx="1129030" cy="264795"/>
                          </a:xfrm>
                          <a:prstGeom prst="rect">
                            <a:avLst/>
                          </a:prstGeom>
                        </pic:spPr>
                      </pic:pic>
                    </a:graphicData>
                  </a:graphic>
                </wp:inline>
              </w:drawing>
            </w:r>
          </w:p>
        </w:tc>
        <w:tc>
          <w:tcPr>
            <w:tcW w:w="2310" w:type="dxa"/>
            <w:tcBorders/>
            <w:shd w:fill="auto" w:val="clear"/>
          </w:tcPr>
          <w:p>
            <w:pPr>
              <w:pStyle w:val="Normal"/>
              <w:snapToGrid w:val="false"/>
              <w:rPr/>
            </w:pPr>
            <w:r>
              <w:rPr/>
            </w:r>
          </w:p>
          <w:p>
            <w:pPr>
              <w:pStyle w:val="Normal"/>
              <w:rPr/>
            </w:pPr>
            <w:r>
              <w:rPr/>
              <w:t xml:space="preserve">                                </w:t>
            </w:r>
            <w:r>
              <w:rPr/>
              <w:t>(34)</w:t>
            </w:r>
          </w:p>
          <w:p>
            <w:pPr>
              <w:pStyle w:val="Normal"/>
              <w:rPr/>
            </w:pPr>
            <w:r>
              <w:rPr/>
            </w:r>
          </w:p>
        </w:tc>
      </w:tr>
    </w:tbl>
    <w:p>
      <w:pPr>
        <w:pStyle w:val="Normal"/>
        <w:jc w:val="both"/>
        <w:rPr/>
      </w:pPr>
      <w:r>
        <w:rPr/>
      </w:r>
    </w:p>
    <w:p>
      <w:pPr>
        <w:pStyle w:val="Normal"/>
        <w:jc w:val="both"/>
        <w:rPr/>
      </w:pPr>
      <w:r>
        <w:rPr/>
        <w:tab/>
        <w:tab/>
        <w:tab/>
        <w:t xml:space="preserve">     </w:t>
        <w:tab/>
      </w:r>
    </w:p>
    <w:tbl>
      <w:tblPr>
        <w:tblW w:w="8490" w:type="dxa"/>
        <w:jc w:val="start"/>
        <w:tblInd w:w="165" w:type="dxa"/>
        <w:tblBorders/>
        <w:tblCellMar>
          <w:top w:w="0" w:type="dxa"/>
          <w:start w:w="15" w:type="dxa"/>
          <w:bottom w:w="0" w:type="dxa"/>
          <w:end w:w="15" w:type="dxa"/>
        </w:tblCellMar>
      </w:tblPr>
      <w:tblGrid>
        <w:gridCol w:w="450"/>
        <w:gridCol w:w="1245"/>
        <w:gridCol w:w="2250"/>
        <w:gridCol w:w="480"/>
        <w:gridCol w:w="2070"/>
        <w:gridCol w:w="480"/>
        <w:gridCol w:w="720"/>
        <w:gridCol w:w="750"/>
        <w:gridCol w:w="45"/>
      </w:tblGrid>
      <w:tr>
        <w:trPr/>
        <w:tc>
          <w:tcPr>
            <w:tcW w:w="450" w:type="dxa"/>
            <w:tcBorders/>
            <w:shd w:fill="auto" w:val="clear"/>
          </w:tcPr>
          <w:p>
            <w:pPr>
              <w:pStyle w:val="Normal"/>
              <w:rPr/>
            </w:pPr>
            <w:r>
              <w:rPr>
                <w:vanish/>
              </w:rPr>
              <w:t>#G0</w:t>
            </w:r>
            <w:r>
              <w:rPr/>
              <w:t xml:space="preserve">       где </w:t>
            </w:r>
          </w:p>
          <w:p>
            <w:pPr>
              <w:pStyle w:val="Normal"/>
              <w:rPr/>
            </w:pPr>
            <w:r>
              <w:rPr/>
            </w:r>
          </w:p>
        </w:tc>
        <w:tc>
          <w:tcPr>
            <w:tcW w:w="1245" w:type="dxa"/>
            <w:tcBorders/>
            <w:shd w:fill="auto" w:val="clear"/>
          </w:tcPr>
          <w:p>
            <w:pPr>
              <w:pStyle w:val="Normal"/>
              <w:rPr/>
            </w:pPr>
            <w:r>
              <w:rPr/>
              <w:t xml:space="preserve">  </w:t>
            </w:r>
          </w:p>
          <w:p>
            <w:pPr>
              <w:pStyle w:val="Normal"/>
              <w:rPr/>
            </w:pPr>
            <w:r>
              <w:rPr/>
              <w:drawing>
                <wp:inline distT="0" distB="0" distL="0" distR="0">
                  <wp:extent cx="645160" cy="184150"/>
                  <wp:effectExtent l="0" t="0" r="0" b="0"/>
                  <wp:docPr id="159" name="Изображение1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Изображение159" descr="" title=""/>
                          <pic:cNvPicPr>
                            <a:picLocks noChangeAspect="1" noChangeArrowheads="1"/>
                          </pic:cNvPicPr>
                        </pic:nvPicPr>
                        <pic:blipFill>
                          <a:blip r:embed="rId160"/>
                          <a:stretch>
                            <a:fillRect/>
                          </a:stretch>
                        </pic:blipFill>
                        <pic:spPr bwMode="auto">
                          <a:xfrm>
                            <a:off x="0" y="0"/>
                            <a:ext cx="645160" cy="184150"/>
                          </a:xfrm>
                          <a:prstGeom prst="rect">
                            <a:avLst/>
                          </a:prstGeom>
                        </pic:spPr>
                      </pic:pic>
                    </a:graphicData>
                  </a:graphic>
                </wp:inline>
              </w:drawing>
            </w:r>
          </w:p>
        </w:tc>
        <w:tc>
          <w:tcPr>
            <w:tcW w:w="6795" w:type="dxa"/>
            <w:gridSpan w:val="7"/>
            <w:tcBorders/>
            <w:shd w:fill="auto" w:val="clear"/>
          </w:tcPr>
          <w:p>
            <w:pPr>
              <w:pStyle w:val="Normal"/>
              <w:rPr/>
            </w:pPr>
            <w:r>
              <w:rPr/>
              <w:t xml:space="preserve">  </w:t>
            </w:r>
          </w:p>
          <w:p>
            <w:pPr>
              <w:pStyle w:val="Normal"/>
              <w:jc w:val="both"/>
              <w:rPr/>
            </w:pPr>
            <w:r>
              <w:rPr/>
              <w:t xml:space="preserve">- перепад температуры воды в градусах, определяемый как разность температур воды,   поступающей на охладитель (пруд, брызгальный </w:t>
            </w:r>
          </w:p>
          <w:p>
            <w:pPr>
              <w:pStyle w:val="Normal"/>
              <w:jc w:val="both"/>
              <w:rPr/>
            </w:pPr>
            <w:r>
              <w:rPr/>
            </w:r>
          </w:p>
        </w:tc>
      </w:tr>
      <w:tr>
        <w:trPr/>
        <w:tc>
          <w:tcPr>
            <w:tcW w:w="450" w:type="dxa"/>
            <w:tcBorders/>
            <w:shd w:fill="auto" w:val="clear"/>
          </w:tcPr>
          <w:p>
            <w:pPr>
              <w:pStyle w:val="Normal"/>
              <w:rPr/>
            </w:pPr>
            <w:r>
              <w:rPr/>
              <w:t xml:space="preserve">  </w:t>
            </w:r>
          </w:p>
          <w:p>
            <w:pPr>
              <w:pStyle w:val="Normal"/>
              <w:rPr/>
            </w:pPr>
            <w:r>
              <w:rPr/>
            </w:r>
          </w:p>
        </w:tc>
        <w:tc>
          <w:tcPr>
            <w:tcW w:w="1245" w:type="dxa"/>
            <w:tcBorders/>
            <w:shd w:fill="auto" w:val="clear"/>
          </w:tcPr>
          <w:p>
            <w:pPr>
              <w:pStyle w:val="Normal"/>
              <w:rPr/>
            </w:pPr>
            <w:r>
              <w:rPr/>
              <w:t xml:space="preserve">  </w:t>
            </w:r>
          </w:p>
          <w:p>
            <w:pPr>
              <w:pStyle w:val="Normal"/>
              <w:rPr/>
            </w:pPr>
            <w:r>
              <w:rPr/>
            </w:r>
          </w:p>
        </w:tc>
        <w:tc>
          <w:tcPr>
            <w:tcW w:w="2250" w:type="dxa"/>
            <w:tcBorders/>
            <w:shd w:fill="auto" w:val="clear"/>
          </w:tcPr>
          <w:p>
            <w:pPr>
              <w:pStyle w:val="Normal"/>
              <w:snapToGrid w:val="false"/>
              <w:jc w:val="both"/>
              <w:rPr/>
            </w:pPr>
            <w:r>
              <w:rPr/>
            </w:r>
          </w:p>
          <w:p>
            <w:pPr>
              <w:pStyle w:val="Normal"/>
              <w:jc w:val="both"/>
              <w:rPr/>
            </w:pPr>
            <w:r>
              <w:rPr/>
              <w:t>бассейн или градирню),</w:t>
            </w:r>
          </w:p>
          <w:p>
            <w:pPr>
              <w:pStyle w:val="Normal"/>
              <w:jc w:val="both"/>
              <w:rPr/>
            </w:pPr>
            <w:r>
              <w:rPr/>
            </w:r>
          </w:p>
        </w:tc>
        <w:tc>
          <w:tcPr>
            <w:tcW w:w="480" w:type="dxa"/>
            <w:tcBorders/>
            <w:shd w:fill="auto" w:val="clear"/>
          </w:tcPr>
          <w:p>
            <w:pPr>
              <w:pStyle w:val="Normal"/>
              <w:snapToGrid w:val="false"/>
              <w:ind w:firstLine="135"/>
              <w:rPr/>
            </w:pPr>
            <w:r>
              <w:rPr/>
            </w:r>
          </w:p>
          <w:p>
            <w:pPr>
              <w:pStyle w:val="Normal"/>
              <w:ind w:firstLine="135"/>
              <w:rPr/>
            </w:pPr>
            <w:r>
              <w:rPr/>
              <w:drawing>
                <wp:inline distT="0" distB="0" distL="0" distR="0">
                  <wp:extent cx="114935" cy="184150"/>
                  <wp:effectExtent l="0" t="0" r="0" b="0"/>
                  <wp:docPr id="160" name="Изображение1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Изображение160" descr="" title=""/>
                          <pic:cNvPicPr>
                            <a:picLocks noChangeAspect="1" noChangeArrowheads="1"/>
                          </pic:cNvPicPr>
                        </pic:nvPicPr>
                        <pic:blipFill>
                          <a:blip r:embed="rId161"/>
                          <a:stretch>
                            <a:fillRect/>
                          </a:stretch>
                        </pic:blipFill>
                        <pic:spPr bwMode="auto">
                          <a:xfrm>
                            <a:off x="0" y="0"/>
                            <a:ext cx="114935" cy="184150"/>
                          </a:xfrm>
                          <a:prstGeom prst="rect">
                            <a:avLst/>
                          </a:prstGeom>
                        </pic:spPr>
                      </pic:pic>
                    </a:graphicData>
                  </a:graphic>
                </wp:inline>
              </w:drawing>
            </w:r>
          </w:p>
          <w:p>
            <w:pPr>
              <w:pStyle w:val="Normal"/>
              <w:ind w:firstLine="135"/>
              <w:rPr/>
            </w:pPr>
            <w:r>
              <w:rPr/>
            </w:r>
          </w:p>
        </w:tc>
        <w:tc>
          <w:tcPr>
            <w:tcW w:w="2070" w:type="dxa"/>
            <w:tcBorders/>
            <w:shd w:fill="auto" w:val="clear"/>
          </w:tcPr>
          <w:p>
            <w:pPr>
              <w:pStyle w:val="Normal"/>
              <w:rPr/>
            </w:pPr>
            <w:r>
              <w:rPr/>
              <w:t xml:space="preserve"> </w:t>
            </w:r>
          </w:p>
          <w:p>
            <w:pPr>
              <w:pStyle w:val="Normal"/>
              <w:rPr/>
            </w:pPr>
            <w:r>
              <w:rPr/>
              <w:t xml:space="preserve">и охлажденной воды  </w:t>
            </w:r>
          </w:p>
          <w:p>
            <w:pPr>
              <w:pStyle w:val="Normal"/>
              <w:rPr/>
            </w:pPr>
            <w:r>
              <w:rPr/>
            </w:r>
          </w:p>
        </w:tc>
        <w:tc>
          <w:tcPr>
            <w:tcW w:w="480" w:type="dxa"/>
            <w:tcBorders/>
            <w:shd w:fill="auto" w:val="clear"/>
          </w:tcPr>
          <w:p>
            <w:pPr>
              <w:pStyle w:val="Normal"/>
              <w:rPr/>
            </w:pPr>
            <w:r>
              <w:rPr/>
              <w:t xml:space="preserve">     </w:t>
            </w:r>
          </w:p>
          <w:p>
            <w:pPr>
              <w:pStyle w:val="Normal"/>
              <w:rPr/>
            </w:pPr>
            <w:r>
              <w:rPr/>
              <w:drawing>
                <wp:inline distT="0" distB="0" distL="0" distR="0">
                  <wp:extent cx="127000" cy="184150"/>
                  <wp:effectExtent l="0" t="0" r="0" b="0"/>
                  <wp:docPr id="161" name="Изображение1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Изображение161" descr="" title=""/>
                          <pic:cNvPicPr>
                            <a:picLocks noChangeAspect="1" noChangeArrowheads="1"/>
                          </pic:cNvPicPr>
                        </pic:nvPicPr>
                        <pic:blipFill>
                          <a:blip r:embed="rId162"/>
                          <a:stretch>
                            <a:fillRect/>
                          </a:stretch>
                        </pic:blipFill>
                        <pic:spPr bwMode="auto">
                          <a:xfrm>
                            <a:off x="0" y="0"/>
                            <a:ext cx="127000" cy="184150"/>
                          </a:xfrm>
                          <a:prstGeom prst="rect">
                            <a:avLst/>
                          </a:prstGeom>
                        </pic:spPr>
                      </pic:pic>
                    </a:graphicData>
                  </a:graphic>
                </wp:inline>
              </w:drawing>
            </w:r>
            <w:r>
              <w:rPr/>
              <w:t xml:space="preserve">  </w:t>
            </w:r>
          </w:p>
          <w:p>
            <w:pPr>
              <w:pStyle w:val="Normal"/>
              <w:rPr/>
            </w:pPr>
            <w:r>
              <w:rPr/>
            </w:r>
          </w:p>
        </w:tc>
        <w:tc>
          <w:tcPr>
            <w:tcW w:w="720" w:type="dxa"/>
            <w:tcBorders/>
            <w:shd w:fill="auto" w:val="clear"/>
          </w:tcPr>
          <w:p>
            <w:pPr>
              <w:pStyle w:val="Normal"/>
              <w:snapToGrid w:val="false"/>
              <w:rPr/>
            </w:pPr>
            <w:r>
              <w:rPr/>
            </w:r>
          </w:p>
          <w:p>
            <w:pPr>
              <w:pStyle w:val="Normal"/>
              <w:rPr/>
            </w:pPr>
            <w:r>
              <w:rPr/>
              <w:t xml:space="preserve"> </w:t>
            </w:r>
            <w:r>
              <w:rPr/>
              <w:t xml:space="preserve">;  </w:t>
            </w:r>
          </w:p>
          <w:p>
            <w:pPr>
              <w:pStyle w:val="Normal"/>
              <w:rPr/>
            </w:pPr>
            <w:r>
              <w:rPr/>
            </w:r>
          </w:p>
        </w:tc>
        <w:tc>
          <w:tcPr>
            <w:tcW w:w="795" w:type="dxa"/>
            <w:gridSpan w:val="2"/>
            <w:tcBorders/>
            <w:shd w:fill="auto" w:val="clear"/>
            <w:tcMar>
              <w:start w:w="0" w:type="dxa"/>
              <w:end w:w="0" w:type="dxa"/>
            </w:tcMar>
          </w:tcPr>
          <w:p>
            <w:pPr>
              <w:pStyle w:val="Normal"/>
              <w:snapToGrid w:val="false"/>
              <w:rPr/>
            </w:pPr>
            <w:r>
              <w:rPr/>
            </w:r>
          </w:p>
        </w:tc>
      </w:tr>
      <w:tr>
        <w:trPr/>
        <w:tc>
          <w:tcPr>
            <w:tcW w:w="450" w:type="dxa"/>
            <w:tcBorders/>
            <w:shd w:fill="auto" w:val="clear"/>
          </w:tcPr>
          <w:p>
            <w:pPr>
              <w:pStyle w:val="Normal"/>
              <w:rPr/>
            </w:pPr>
            <w:r>
              <w:rPr/>
              <w:t xml:space="preserve">  </w:t>
            </w:r>
          </w:p>
          <w:p>
            <w:pPr>
              <w:pStyle w:val="Normal"/>
              <w:rPr/>
            </w:pPr>
            <w:r>
              <w:rPr/>
            </w:r>
          </w:p>
        </w:tc>
        <w:tc>
          <w:tcPr>
            <w:tcW w:w="1245" w:type="dxa"/>
            <w:tcBorders/>
            <w:shd w:fill="auto" w:val="clear"/>
          </w:tcPr>
          <w:p>
            <w:pPr>
              <w:pStyle w:val="Normal"/>
              <w:rPr/>
            </w:pPr>
            <w:r>
              <w:rPr/>
              <w:t xml:space="preserve">  </w:t>
            </w:r>
          </w:p>
          <w:p>
            <w:pPr>
              <w:pStyle w:val="Normal"/>
              <w:rPr/>
            </w:pPr>
            <w:r>
              <w:rPr/>
              <w:drawing>
                <wp:inline distT="0" distB="0" distL="0" distR="0">
                  <wp:extent cx="230505" cy="184150"/>
                  <wp:effectExtent l="0" t="0" r="0" b="0"/>
                  <wp:docPr id="162" name="Изображение1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Изображение162" descr="" title=""/>
                          <pic:cNvPicPr>
                            <a:picLocks noChangeAspect="1" noChangeArrowheads="1"/>
                          </pic:cNvPicPr>
                        </pic:nvPicPr>
                        <pic:blipFill>
                          <a:blip r:embed="rId163"/>
                          <a:stretch>
                            <a:fillRect/>
                          </a:stretch>
                        </pic:blipFill>
                        <pic:spPr bwMode="auto">
                          <a:xfrm>
                            <a:off x="0" y="0"/>
                            <a:ext cx="230505" cy="184150"/>
                          </a:xfrm>
                          <a:prstGeom prst="rect">
                            <a:avLst/>
                          </a:prstGeom>
                        </pic:spPr>
                      </pic:pic>
                    </a:graphicData>
                  </a:graphic>
                </wp:inline>
              </w:drawing>
            </w:r>
          </w:p>
        </w:tc>
        <w:tc>
          <w:tcPr>
            <w:tcW w:w="6750" w:type="dxa"/>
            <w:gridSpan w:val="6"/>
            <w:tcBorders/>
            <w:shd w:fill="auto" w:val="clear"/>
          </w:tcPr>
          <w:p>
            <w:pPr>
              <w:pStyle w:val="Normal"/>
              <w:rPr/>
            </w:pPr>
            <w:r>
              <w:rPr/>
              <w:t xml:space="preserve">  </w:t>
            </w:r>
          </w:p>
          <w:p>
            <w:pPr>
              <w:pStyle w:val="Normal"/>
              <w:jc w:val="both"/>
              <w:rPr/>
            </w:pPr>
            <w:r>
              <w:rPr/>
              <w:t xml:space="preserve">- расход оборотной воды, куб.м/ч; </w:t>
            </w:r>
          </w:p>
          <w:p>
            <w:pPr>
              <w:pStyle w:val="Normal"/>
              <w:jc w:val="both"/>
              <w:rPr/>
            </w:pPr>
            <w:r>
              <w:rPr/>
            </w:r>
          </w:p>
        </w:tc>
        <w:tc>
          <w:tcPr>
            <w:tcW w:w="45" w:type="dxa"/>
            <w:tcBorders/>
            <w:shd w:fill="auto" w:val="clear"/>
            <w:tcMar>
              <w:start w:w="0" w:type="dxa"/>
              <w:end w:w="0" w:type="dxa"/>
            </w:tcMar>
          </w:tcPr>
          <w:p>
            <w:pPr>
              <w:pStyle w:val="Normal"/>
              <w:snapToGrid w:val="false"/>
              <w:rPr/>
            </w:pPr>
            <w:r>
              <w:rPr/>
            </w:r>
          </w:p>
        </w:tc>
      </w:tr>
      <w:tr>
        <w:trPr/>
        <w:tc>
          <w:tcPr>
            <w:tcW w:w="450" w:type="dxa"/>
            <w:tcBorders/>
            <w:shd w:fill="auto" w:val="clear"/>
          </w:tcPr>
          <w:p>
            <w:pPr>
              <w:pStyle w:val="Normal"/>
              <w:rPr/>
            </w:pPr>
            <w:r>
              <w:rPr/>
              <w:t xml:space="preserve">  </w:t>
            </w:r>
          </w:p>
          <w:p>
            <w:pPr>
              <w:pStyle w:val="Normal"/>
              <w:rPr/>
            </w:pPr>
            <w:r>
              <w:rPr/>
            </w:r>
          </w:p>
        </w:tc>
        <w:tc>
          <w:tcPr>
            <w:tcW w:w="1245" w:type="dxa"/>
            <w:tcBorders/>
            <w:shd w:fill="auto" w:val="clear"/>
          </w:tcPr>
          <w:p>
            <w:pPr>
              <w:pStyle w:val="Normal"/>
              <w:rPr/>
            </w:pPr>
            <w:r>
              <w:rPr/>
              <w:t xml:space="preserve">  </w:t>
            </w:r>
          </w:p>
          <w:p>
            <w:pPr>
              <w:pStyle w:val="Normal"/>
              <w:rPr/>
            </w:pPr>
            <w:r>
              <w:rPr/>
              <w:drawing>
                <wp:inline distT="0" distB="0" distL="0" distR="0">
                  <wp:extent cx="264795" cy="184150"/>
                  <wp:effectExtent l="0" t="0" r="0" b="0"/>
                  <wp:docPr id="163" name="Изображение1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Изображение163" descr="" title=""/>
                          <pic:cNvPicPr>
                            <a:picLocks noChangeAspect="1" noChangeArrowheads="1"/>
                          </pic:cNvPicPr>
                        </pic:nvPicPr>
                        <pic:blipFill>
                          <a:blip r:embed="rId164"/>
                          <a:stretch>
                            <a:fillRect/>
                          </a:stretch>
                        </pic:blipFill>
                        <pic:spPr bwMode="auto">
                          <a:xfrm>
                            <a:off x="0" y="0"/>
                            <a:ext cx="264795" cy="184150"/>
                          </a:xfrm>
                          <a:prstGeom prst="rect">
                            <a:avLst/>
                          </a:prstGeom>
                        </pic:spPr>
                      </pic:pic>
                    </a:graphicData>
                  </a:graphic>
                </wp:inline>
              </w:drawing>
            </w:r>
          </w:p>
        </w:tc>
        <w:tc>
          <w:tcPr>
            <w:tcW w:w="6750" w:type="dxa"/>
            <w:gridSpan w:val="6"/>
            <w:tcBorders/>
            <w:shd w:fill="auto" w:val="clear"/>
          </w:tcPr>
          <w:p>
            <w:pPr>
              <w:pStyle w:val="Normal"/>
              <w:rPr/>
            </w:pPr>
            <w:r>
              <w:rPr/>
              <w:t xml:space="preserve">  </w:t>
            </w:r>
          </w:p>
          <w:p>
            <w:pPr>
              <w:pStyle w:val="Normal"/>
              <w:jc w:val="both"/>
              <w:rPr/>
            </w:pPr>
            <w:r>
              <w:rPr/>
              <w:t>- коэффициент, учитывающий долю теплоотдачи испарением в общей теплоотдаче, принимаемый для брызгальных бассейнов и градирен в зависимости от температуры воздуха (по сухому термометру) по табл. 36, а для водохранилищ (прудов)-охладителей - в зависимости от естественной температуры в водотоке по табл. 37.</w:t>
            </w:r>
          </w:p>
          <w:p>
            <w:pPr>
              <w:pStyle w:val="Normal"/>
              <w:jc w:val="both"/>
              <w:rPr/>
            </w:pPr>
            <w:r>
              <w:rPr/>
            </w:r>
          </w:p>
        </w:tc>
        <w:tc>
          <w:tcPr>
            <w:tcW w:w="45" w:type="dxa"/>
            <w:tcBorders/>
            <w:shd w:fill="auto" w:val="clear"/>
            <w:tcMar>
              <w:start w:w="0" w:type="dxa"/>
              <w:end w:w="0" w:type="dxa"/>
            </w:tcMar>
          </w:tcPr>
          <w:p>
            <w:pPr>
              <w:pStyle w:val="Normal"/>
              <w:snapToGrid w:val="false"/>
              <w:rPr/>
            </w:pPr>
            <w:r>
              <w:rPr/>
            </w:r>
          </w:p>
        </w:tc>
      </w:tr>
    </w:tbl>
    <w:p>
      <w:pPr>
        <w:pStyle w:val="Normal"/>
        <w:jc w:val="both"/>
        <w:rPr/>
      </w:pPr>
      <w:r>
        <w:rPr/>
        <w:tab/>
        <w:tab/>
      </w:r>
    </w:p>
    <w:p>
      <w:pPr>
        <w:pStyle w:val="Normal"/>
        <w:ind w:firstLine="90"/>
        <w:jc w:val="both"/>
        <w:rPr/>
      </w:pPr>
      <w:r>
        <w:rPr/>
      </w:r>
    </w:p>
    <w:p>
      <w:pPr>
        <w:pStyle w:val="Normal"/>
        <w:ind w:firstLine="90"/>
        <w:jc w:val="both"/>
        <w:rPr/>
      </w:pPr>
      <w:r>
        <w:rPr/>
      </w:r>
    </w:p>
    <w:p>
      <w:pPr>
        <w:pStyle w:val="Normal"/>
        <w:jc w:val="end"/>
        <w:rPr/>
      </w:pPr>
      <w:r>
        <w:rPr/>
        <w:t xml:space="preserve">Таблица 36 </w:t>
      </w:r>
    </w:p>
    <w:p>
      <w:pPr>
        <w:pStyle w:val="Normal"/>
        <w:ind w:firstLine="270"/>
        <w:jc w:val="both"/>
        <w:rPr/>
      </w:pPr>
      <w:r>
        <w:rPr/>
      </w:r>
    </w:p>
    <w:p>
      <w:pPr>
        <w:pStyle w:val="Normal"/>
        <w:ind w:firstLine="90"/>
        <w:jc w:val="both"/>
        <w:rPr/>
      </w:pPr>
      <w:r>
        <w:rPr/>
      </w:r>
    </w:p>
    <w:tbl>
      <w:tblPr>
        <w:tblW w:w="6305" w:type="dxa"/>
        <w:jc w:val="start"/>
        <w:tblInd w:w="45" w:type="dxa"/>
        <w:tblBorders>
          <w:top w:val="single" w:sz="2" w:space="0" w:color="000000"/>
          <w:start w:val="single" w:sz="2" w:space="0" w:color="000000"/>
          <w:bottom w:val="single" w:sz="2" w:space="0" w:color="000000"/>
          <w:insideH w:val="single" w:sz="2" w:space="0" w:color="000000"/>
        </w:tblBorders>
        <w:tblCellMar>
          <w:top w:w="0" w:type="dxa"/>
          <w:start w:w="42" w:type="dxa"/>
          <w:bottom w:w="0" w:type="dxa"/>
          <w:end w:w="45" w:type="dxa"/>
        </w:tblCellMar>
      </w:tblPr>
      <w:tblGrid>
        <w:gridCol w:w="2550"/>
        <w:gridCol w:w="750"/>
        <w:gridCol w:w="750"/>
        <w:gridCol w:w="750"/>
        <w:gridCol w:w="750"/>
        <w:gridCol w:w="755"/>
      </w:tblGrid>
      <w:tr>
        <w:trPr/>
        <w:tc>
          <w:tcPr>
            <w:tcW w:w="255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both"/>
              <w:rPr/>
            </w:pPr>
            <w:r>
              <w:rPr>
                <w:vanish/>
              </w:rPr>
              <w:t>#G0</w:t>
            </w:r>
            <w:r>
              <w:rPr/>
              <w:t xml:space="preserve">Температура воздуха, град. С </w:t>
            </w:r>
          </w:p>
          <w:p>
            <w:pPr>
              <w:pStyle w:val="Normal"/>
              <w:jc w:val="both"/>
              <w:rPr/>
            </w:pPr>
            <w:r>
              <w:rPr/>
            </w:r>
          </w:p>
        </w:tc>
        <w:tc>
          <w:tcPr>
            <w:tcW w:w="75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0 </w:t>
            </w:r>
          </w:p>
          <w:p>
            <w:pPr>
              <w:pStyle w:val="Normal"/>
              <w:jc w:val="center"/>
              <w:rPr/>
            </w:pPr>
            <w:r>
              <w:rPr/>
            </w:r>
          </w:p>
        </w:tc>
        <w:tc>
          <w:tcPr>
            <w:tcW w:w="75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10 </w:t>
            </w:r>
          </w:p>
          <w:p>
            <w:pPr>
              <w:pStyle w:val="Normal"/>
              <w:rPr/>
            </w:pPr>
            <w:r>
              <w:rPr/>
            </w:r>
          </w:p>
        </w:tc>
        <w:tc>
          <w:tcPr>
            <w:tcW w:w="75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20 </w:t>
            </w:r>
          </w:p>
          <w:p>
            <w:pPr>
              <w:pStyle w:val="Normal"/>
              <w:rPr/>
            </w:pPr>
            <w:r>
              <w:rPr/>
            </w:r>
          </w:p>
        </w:tc>
        <w:tc>
          <w:tcPr>
            <w:tcW w:w="75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30 </w:t>
            </w:r>
          </w:p>
          <w:p>
            <w:pPr>
              <w:pStyle w:val="Normal"/>
              <w:rPr/>
            </w:pPr>
            <w:r>
              <w:rPr/>
            </w:r>
          </w:p>
        </w:tc>
        <w:tc>
          <w:tcPr>
            <w:tcW w:w="75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40 </w:t>
            </w:r>
          </w:p>
          <w:p>
            <w:pPr>
              <w:pStyle w:val="Normal"/>
              <w:rPr/>
            </w:pPr>
            <w:r>
              <w:rPr/>
            </w:r>
          </w:p>
        </w:tc>
      </w:tr>
      <w:tr>
        <w:trPr/>
        <w:tc>
          <w:tcPr>
            <w:tcW w:w="2550" w:type="dxa"/>
            <w:tcBorders>
              <w:start w:val="single" w:sz="2" w:space="0" w:color="000000"/>
              <w:bottom w:val="single" w:sz="2" w:space="0" w:color="000000"/>
              <w:insideH w:val="single" w:sz="2" w:space="0" w:color="000000"/>
            </w:tcBorders>
            <w:shd w:fill="auto" w:val="clear"/>
            <w:tcMar>
              <w:start w:w="42" w:type="dxa"/>
            </w:tcMar>
          </w:tcPr>
          <w:p>
            <w:pPr>
              <w:pStyle w:val="Normal"/>
              <w:ind w:firstLine="90"/>
              <w:jc w:val="both"/>
              <w:rPr/>
            </w:pPr>
            <w:r>
              <w:rPr/>
              <w:t xml:space="preserve">Значения коэффициента </w:t>
            </w:r>
          </w:p>
          <w:p>
            <w:pPr>
              <w:pStyle w:val="Normal"/>
              <w:ind w:firstLine="90"/>
              <w:jc w:val="both"/>
              <w:rPr/>
            </w:pPr>
            <w:r>
              <w:rPr/>
              <w:drawing>
                <wp:inline distT="0" distB="0" distL="0" distR="0">
                  <wp:extent cx="264795" cy="184150"/>
                  <wp:effectExtent l="0" t="0" r="0" b="0"/>
                  <wp:docPr id="164" name="Изображение1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Изображение164" descr="" title=""/>
                          <pic:cNvPicPr>
                            <a:picLocks noChangeAspect="1" noChangeArrowheads="1"/>
                          </pic:cNvPicPr>
                        </pic:nvPicPr>
                        <pic:blipFill>
                          <a:blip r:embed="rId165"/>
                          <a:stretch>
                            <a:fillRect/>
                          </a:stretch>
                        </pic:blipFill>
                        <pic:spPr bwMode="auto">
                          <a:xfrm>
                            <a:off x="0" y="0"/>
                            <a:ext cx="264795" cy="184150"/>
                          </a:xfrm>
                          <a:prstGeom prst="rect">
                            <a:avLst/>
                          </a:prstGeom>
                        </pic:spPr>
                      </pic:pic>
                    </a:graphicData>
                  </a:graphic>
                </wp:inline>
              </w:drawing>
            </w:r>
            <w:r>
              <w:rPr/>
              <w:t xml:space="preserve">для градирен и брызгальных бассейнов </w:t>
            </w:r>
          </w:p>
          <w:p>
            <w:pPr>
              <w:pStyle w:val="Normal"/>
              <w:ind w:firstLine="90"/>
              <w:jc w:val="both"/>
              <w:rPr/>
            </w:pPr>
            <w:r>
              <w:rPr/>
            </w:r>
          </w:p>
        </w:tc>
        <w:tc>
          <w:tcPr>
            <w:tcW w:w="750"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0,001 </w:t>
            </w:r>
          </w:p>
          <w:p>
            <w:pPr>
              <w:pStyle w:val="Normal"/>
              <w:jc w:val="center"/>
              <w:rPr/>
            </w:pPr>
            <w:r>
              <w:rPr/>
            </w:r>
          </w:p>
        </w:tc>
        <w:tc>
          <w:tcPr>
            <w:tcW w:w="75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0,0012 </w:t>
            </w:r>
          </w:p>
          <w:p>
            <w:pPr>
              <w:pStyle w:val="Normal"/>
              <w:rPr/>
            </w:pPr>
            <w:r>
              <w:rPr/>
            </w:r>
          </w:p>
        </w:tc>
        <w:tc>
          <w:tcPr>
            <w:tcW w:w="75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0,0014 </w:t>
            </w:r>
          </w:p>
          <w:p>
            <w:pPr>
              <w:pStyle w:val="Normal"/>
              <w:rPr/>
            </w:pPr>
            <w:r>
              <w:rPr/>
            </w:r>
          </w:p>
        </w:tc>
        <w:tc>
          <w:tcPr>
            <w:tcW w:w="75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0,0015 </w:t>
            </w:r>
          </w:p>
          <w:p>
            <w:pPr>
              <w:pStyle w:val="Normal"/>
              <w:rPr/>
            </w:pPr>
            <w:r>
              <w:rPr/>
            </w:r>
          </w:p>
        </w:tc>
        <w:tc>
          <w:tcPr>
            <w:tcW w:w="75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0,0016 </w:t>
            </w:r>
          </w:p>
          <w:p>
            <w:pPr>
              <w:pStyle w:val="Normal"/>
              <w:rPr/>
            </w:pPr>
            <w:r>
              <w:rPr/>
            </w:r>
          </w:p>
        </w:tc>
      </w:tr>
    </w:tbl>
    <w:p>
      <w:pPr>
        <w:pStyle w:val="Normal"/>
        <w:ind w:firstLine="270"/>
        <w:jc w:val="both"/>
        <w:rPr/>
      </w:pPr>
      <w:r>
        <w:rPr/>
      </w:r>
    </w:p>
    <w:p>
      <w:pPr>
        <w:pStyle w:val="Normal"/>
        <w:ind w:firstLine="270"/>
        <w:jc w:val="both"/>
        <w:rPr/>
      </w:pPr>
      <w:r>
        <w:rPr/>
      </w:r>
    </w:p>
    <w:p>
      <w:pPr>
        <w:pStyle w:val="Normal"/>
        <w:jc w:val="end"/>
        <w:rPr/>
      </w:pPr>
      <w:r>
        <w:rPr/>
        <w:t xml:space="preserve">Таблица 37 </w:t>
      </w:r>
    </w:p>
    <w:p>
      <w:pPr>
        <w:pStyle w:val="Normal"/>
        <w:ind w:firstLine="270"/>
        <w:jc w:val="both"/>
        <w:rPr/>
      </w:pPr>
      <w:r>
        <w:rPr/>
      </w:r>
    </w:p>
    <w:p>
      <w:pPr>
        <w:pStyle w:val="Normal"/>
        <w:ind w:firstLine="270"/>
        <w:jc w:val="both"/>
        <w:rPr/>
      </w:pPr>
      <w:r>
        <w:rPr/>
      </w:r>
    </w:p>
    <w:tbl>
      <w:tblPr>
        <w:tblW w:w="6275" w:type="dxa"/>
        <w:jc w:val="start"/>
        <w:tblInd w:w="45" w:type="dxa"/>
        <w:tblBorders>
          <w:top w:val="single" w:sz="2" w:space="0" w:color="000000"/>
          <w:start w:val="single" w:sz="2" w:space="0" w:color="000000"/>
          <w:bottom w:val="single" w:sz="2" w:space="0" w:color="000000"/>
          <w:insideH w:val="single" w:sz="2" w:space="0" w:color="000000"/>
        </w:tblBorders>
        <w:tblCellMar>
          <w:top w:w="0" w:type="dxa"/>
          <w:start w:w="42" w:type="dxa"/>
          <w:bottom w:w="0" w:type="dxa"/>
          <w:end w:w="45" w:type="dxa"/>
        </w:tblCellMar>
      </w:tblPr>
      <w:tblGrid>
        <w:gridCol w:w="2970"/>
        <w:gridCol w:w="660"/>
        <w:gridCol w:w="660"/>
        <w:gridCol w:w="660"/>
        <w:gridCol w:w="660"/>
        <w:gridCol w:w="665"/>
      </w:tblGrid>
      <w:tr>
        <w:trPr/>
        <w:tc>
          <w:tcPr>
            <w:tcW w:w="297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both"/>
              <w:rPr/>
            </w:pPr>
            <w:r>
              <w:rPr>
                <w:vanish/>
              </w:rPr>
              <w:t>#G0</w:t>
            </w:r>
            <w:r>
              <w:rPr/>
              <w:t>Температура воды, град.С, в реке или канале, впадающих в водохранилище (пруд)</w:t>
            </w:r>
          </w:p>
          <w:p>
            <w:pPr>
              <w:pStyle w:val="Normal"/>
              <w:jc w:val="both"/>
              <w:rPr/>
            </w:pPr>
            <w:r>
              <w:rPr/>
            </w:r>
          </w:p>
        </w:tc>
        <w:tc>
          <w:tcPr>
            <w:tcW w:w="66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0 </w:t>
            </w:r>
          </w:p>
          <w:p>
            <w:pPr>
              <w:pStyle w:val="Normal"/>
              <w:jc w:val="center"/>
              <w:rPr/>
            </w:pPr>
            <w:r>
              <w:rPr/>
            </w:r>
          </w:p>
        </w:tc>
        <w:tc>
          <w:tcPr>
            <w:tcW w:w="66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10 </w:t>
            </w:r>
          </w:p>
          <w:p>
            <w:pPr>
              <w:pStyle w:val="Normal"/>
              <w:rPr/>
            </w:pPr>
            <w:r>
              <w:rPr/>
            </w:r>
          </w:p>
        </w:tc>
        <w:tc>
          <w:tcPr>
            <w:tcW w:w="66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20 </w:t>
            </w:r>
          </w:p>
          <w:p>
            <w:pPr>
              <w:pStyle w:val="Normal"/>
              <w:rPr/>
            </w:pPr>
            <w:r>
              <w:rPr/>
            </w:r>
          </w:p>
        </w:tc>
        <w:tc>
          <w:tcPr>
            <w:tcW w:w="66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30 </w:t>
            </w:r>
          </w:p>
          <w:p>
            <w:pPr>
              <w:pStyle w:val="Normal"/>
              <w:rPr/>
            </w:pPr>
            <w:r>
              <w:rPr/>
            </w:r>
          </w:p>
        </w:tc>
        <w:tc>
          <w:tcPr>
            <w:tcW w:w="66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40 </w:t>
            </w:r>
          </w:p>
          <w:p>
            <w:pPr>
              <w:pStyle w:val="Normal"/>
              <w:rPr/>
            </w:pPr>
            <w:r>
              <w:rPr/>
            </w:r>
          </w:p>
        </w:tc>
      </w:tr>
      <w:tr>
        <w:trPr/>
        <w:tc>
          <w:tcPr>
            <w:tcW w:w="2970" w:type="dxa"/>
            <w:tcBorders>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Значения коэффициента </w:t>
            </w:r>
          </w:p>
          <w:p>
            <w:pPr>
              <w:pStyle w:val="Normal"/>
              <w:jc w:val="both"/>
              <w:rPr/>
            </w:pPr>
            <w:r>
              <w:rPr/>
              <w:drawing>
                <wp:inline distT="0" distB="0" distL="0" distR="0">
                  <wp:extent cx="264795" cy="184150"/>
                  <wp:effectExtent l="0" t="0" r="0" b="0"/>
                  <wp:docPr id="165" name="Изображение1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Изображение165" descr="" title=""/>
                          <pic:cNvPicPr>
                            <a:picLocks noChangeAspect="1" noChangeArrowheads="1"/>
                          </pic:cNvPicPr>
                        </pic:nvPicPr>
                        <pic:blipFill>
                          <a:blip r:embed="rId166"/>
                          <a:stretch>
                            <a:fillRect/>
                          </a:stretch>
                        </pic:blipFill>
                        <pic:spPr bwMode="auto">
                          <a:xfrm>
                            <a:off x="0" y="0"/>
                            <a:ext cx="264795" cy="184150"/>
                          </a:xfrm>
                          <a:prstGeom prst="rect">
                            <a:avLst/>
                          </a:prstGeom>
                        </pic:spPr>
                      </pic:pic>
                    </a:graphicData>
                  </a:graphic>
                </wp:inline>
              </w:drawing>
            </w:r>
            <w:r>
              <w:rPr/>
              <w:t xml:space="preserve">для водохранилищ (прудов) - охладителей </w:t>
            </w:r>
          </w:p>
          <w:p>
            <w:pPr>
              <w:pStyle w:val="Normal"/>
              <w:jc w:val="both"/>
              <w:rPr/>
            </w:pPr>
            <w:r>
              <w:rPr/>
            </w:r>
          </w:p>
        </w:tc>
        <w:tc>
          <w:tcPr>
            <w:tcW w:w="660"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0,0007 </w:t>
            </w:r>
          </w:p>
          <w:p>
            <w:pPr>
              <w:pStyle w:val="Normal"/>
              <w:jc w:val="center"/>
              <w:rPr/>
            </w:pPr>
            <w:r>
              <w:rPr/>
            </w:r>
          </w:p>
        </w:tc>
        <w:tc>
          <w:tcPr>
            <w:tcW w:w="66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0,0009 </w:t>
            </w:r>
          </w:p>
          <w:p>
            <w:pPr>
              <w:pStyle w:val="Normal"/>
              <w:rPr/>
            </w:pPr>
            <w:r>
              <w:rPr/>
            </w:r>
          </w:p>
        </w:tc>
        <w:tc>
          <w:tcPr>
            <w:tcW w:w="66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0,0011 </w:t>
            </w:r>
          </w:p>
          <w:p>
            <w:pPr>
              <w:pStyle w:val="Normal"/>
              <w:rPr/>
            </w:pPr>
            <w:r>
              <w:rPr/>
            </w:r>
          </w:p>
        </w:tc>
        <w:tc>
          <w:tcPr>
            <w:tcW w:w="66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0,0013 </w:t>
            </w:r>
          </w:p>
          <w:p>
            <w:pPr>
              <w:pStyle w:val="Normal"/>
              <w:rPr/>
            </w:pPr>
            <w:r>
              <w:rPr/>
            </w:r>
          </w:p>
        </w:tc>
        <w:tc>
          <w:tcPr>
            <w:tcW w:w="66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0,0015 </w:t>
            </w:r>
          </w:p>
          <w:p>
            <w:pPr>
              <w:pStyle w:val="Normal"/>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Примечания: 1. Для промежуточных значений температур значение определяется интерполяцией.</w:t>
      </w:r>
    </w:p>
    <w:p>
      <w:pPr>
        <w:pStyle w:val="Normal"/>
        <w:ind w:firstLine="225"/>
        <w:jc w:val="both"/>
        <w:rPr/>
      </w:pPr>
      <w:r>
        <w:rPr/>
      </w:r>
    </w:p>
    <w:p>
      <w:pPr>
        <w:pStyle w:val="Normal"/>
        <w:ind w:firstLine="225"/>
        <w:jc w:val="both"/>
        <w:rPr/>
      </w:pPr>
      <w:r>
        <w:rPr/>
        <w:t>2. Потери воды на естественное испарение в водохранилищах (прудах)- охладителях следует определять по нормам для расчета водохранилищ.</w:t>
      </w:r>
    </w:p>
    <w:p>
      <w:pPr>
        <w:pStyle w:val="Normal"/>
        <w:ind w:firstLine="225"/>
        <w:jc w:val="both"/>
        <w:rPr/>
      </w:pPr>
      <w:r>
        <w:rPr/>
      </w:r>
    </w:p>
    <w:p>
      <w:pPr>
        <w:pStyle w:val="Normal"/>
        <w:jc w:val="end"/>
        <w:rPr/>
      </w:pPr>
      <w:r>
        <w:rPr/>
      </w:r>
    </w:p>
    <w:p>
      <w:pPr>
        <w:pStyle w:val="Normal"/>
        <w:jc w:val="end"/>
        <w:rPr/>
      </w:pPr>
      <w:r>
        <w:rPr/>
        <w:t xml:space="preserve">Таблица 38 </w:t>
      </w:r>
    </w:p>
    <w:p>
      <w:pPr>
        <w:pStyle w:val="Normal"/>
        <w:ind w:firstLine="270"/>
        <w:jc w:val="both"/>
        <w:rPr/>
      </w:pPr>
      <w:r>
        <w:rPr/>
      </w:r>
    </w:p>
    <w:p>
      <w:pPr>
        <w:pStyle w:val="Normal"/>
        <w:ind w:firstLine="270"/>
        <w:jc w:val="both"/>
        <w:rPr/>
      </w:pPr>
      <w:r>
        <w:rPr/>
      </w:r>
    </w:p>
    <w:tbl>
      <w:tblPr>
        <w:tblW w:w="6245" w:type="dxa"/>
        <w:jc w:val="start"/>
        <w:tblInd w:w="45" w:type="dxa"/>
        <w:tblBorders>
          <w:top w:val="single" w:sz="2" w:space="0" w:color="000000"/>
          <w:start w:val="single" w:sz="2" w:space="0" w:color="000000"/>
          <w:bottom w:val="single" w:sz="2" w:space="0" w:color="000000"/>
          <w:insideH w:val="single" w:sz="2" w:space="0" w:color="000000"/>
        </w:tblBorders>
        <w:tblCellMar>
          <w:top w:w="0" w:type="dxa"/>
          <w:start w:w="42" w:type="dxa"/>
          <w:bottom w:w="0" w:type="dxa"/>
          <w:end w:w="45" w:type="dxa"/>
        </w:tblCellMar>
      </w:tblPr>
      <w:tblGrid>
        <w:gridCol w:w="3975"/>
        <w:gridCol w:w="2270"/>
      </w:tblGrid>
      <w:tr>
        <w:trPr/>
        <w:tc>
          <w:tcPr>
            <w:tcW w:w="3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vanish/>
              </w:rPr>
            </w:pPr>
            <w:r>
              <w:rPr>
                <w:vanish/>
              </w:rPr>
              <w:t>#G0</w:t>
            </w:r>
          </w:p>
          <w:p>
            <w:pPr>
              <w:pStyle w:val="Normal"/>
              <w:jc w:val="center"/>
              <w:rPr/>
            </w:pPr>
            <w:r>
              <w:rPr/>
              <w:t xml:space="preserve">Охладитель </w:t>
            </w:r>
          </w:p>
          <w:p>
            <w:pPr>
              <w:pStyle w:val="Normal"/>
              <w:jc w:val="center"/>
              <w:rPr/>
            </w:pPr>
            <w:r>
              <w:rPr/>
            </w:r>
          </w:p>
        </w:tc>
        <w:tc>
          <w:tcPr>
            <w:tcW w:w="227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Потери воды Р(2)  вследствие уноса ветром, % расхода охлаждаемой воды </w:t>
            </w:r>
          </w:p>
          <w:p>
            <w:pPr>
              <w:pStyle w:val="Normal"/>
              <w:rPr/>
            </w:pPr>
            <w:r>
              <w:rPr/>
            </w:r>
          </w:p>
        </w:tc>
      </w:tr>
      <w:tr>
        <w:trPr/>
        <w:tc>
          <w:tcPr>
            <w:tcW w:w="3975" w:type="dxa"/>
            <w:tcBorders>
              <w:start w:val="single" w:sz="2" w:space="0" w:color="000000"/>
            </w:tcBorders>
            <w:shd w:fill="auto" w:val="clear"/>
            <w:tcMar>
              <w:start w:w="42" w:type="dxa"/>
            </w:tcMar>
          </w:tcPr>
          <w:p>
            <w:pPr>
              <w:pStyle w:val="Normal"/>
              <w:jc w:val="both"/>
              <w:rPr/>
            </w:pPr>
            <w:r>
              <w:rPr/>
              <w:t xml:space="preserve">Вентиляторные градирни с водоуловительными устройствами: </w:t>
            </w:r>
          </w:p>
          <w:p>
            <w:pPr>
              <w:pStyle w:val="Normal"/>
              <w:ind w:firstLine="225"/>
              <w:jc w:val="both"/>
              <w:rPr/>
            </w:pPr>
            <w:r>
              <w:rPr/>
              <w:t xml:space="preserve">при отсутствии в оборотной воде токсичных веществ </w:t>
            </w:r>
          </w:p>
          <w:p>
            <w:pPr>
              <w:pStyle w:val="Normal"/>
              <w:ind w:firstLine="225"/>
              <w:jc w:val="both"/>
              <w:rPr/>
            </w:pPr>
            <w:r>
              <w:rPr/>
            </w:r>
          </w:p>
        </w:tc>
        <w:tc>
          <w:tcPr>
            <w:tcW w:w="2270" w:type="dxa"/>
            <w:tcBorders>
              <w:start w:val="single" w:sz="2" w:space="0" w:color="000000"/>
              <w:end w:val="single" w:sz="2" w:space="0" w:color="000000"/>
              <w:insideV w:val="single" w:sz="2" w:space="0" w:color="000000"/>
            </w:tcBorders>
            <w:shd w:fill="auto" w:val="clear"/>
            <w:tcMar>
              <w:start w:w="42" w:type="dxa"/>
            </w:tcMar>
          </w:tcPr>
          <w:p>
            <w:pPr>
              <w:pStyle w:val="Normal"/>
              <w:snapToGrid w:val="false"/>
              <w:jc w:val="center"/>
              <w:rPr/>
            </w:pPr>
            <w:r>
              <w:rPr/>
            </w:r>
          </w:p>
          <w:p>
            <w:pPr>
              <w:pStyle w:val="Normal"/>
              <w:jc w:val="center"/>
              <w:rPr/>
            </w:pPr>
            <w:r>
              <w:rPr/>
            </w:r>
          </w:p>
          <w:p>
            <w:pPr>
              <w:pStyle w:val="Normal"/>
              <w:jc w:val="center"/>
              <w:rPr/>
            </w:pPr>
            <w:r>
              <w:rPr/>
              <w:t xml:space="preserve">0,1-0,2 </w:t>
            </w:r>
          </w:p>
          <w:p>
            <w:pPr>
              <w:pStyle w:val="Normal"/>
              <w:jc w:val="center"/>
              <w:rPr/>
            </w:pPr>
            <w:r>
              <w:rPr/>
            </w:r>
          </w:p>
        </w:tc>
      </w:tr>
      <w:tr>
        <w:trPr/>
        <w:tc>
          <w:tcPr>
            <w:tcW w:w="3975" w:type="dxa"/>
            <w:tcBorders>
              <w:start w:val="single" w:sz="2" w:space="0" w:color="000000"/>
            </w:tcBorders>
            <w:shd w:fill="auto" w:val="clear"/>
            <w:tcMar>
              <w:start w:w="42" w:type="dxa"/>
            </w:tcMar>
          </w:tcPr>
          <w:p>
            <w:pPr>
              <w:pStyle w:val="Normal"/>
              <w:ind w:firstLine="225"/>
              <w:jc w:val="both"/>
              <w:rPr/>
            </w:pPr>
            <w:r>
              <w:rPr/>
              <w:t xml:space="preserve">при наличии токсичных веществ </w:t>
            </w:r>
          </w:p>
          <w:p>
            <w:pPr>
              <w:pStyle w:val="Normal"/>
              <w:ind w:firstLine="225"/>
              <w:jc w:val="both"/>
              <w:rPr/>
            </w:pPr>
            <w:r>
              <w:rPr/>
            </w:r>
          </w:p>
        </w:tc>
        <w:tc>
          <w:tcPr>
            <w:tcW w:w="2270" w:type="dxa"/>
            <w:tcBorders>
              <w:start w:val="single" w:sz="2" w:space="0" w:color="000000"/>
              <w:end w:val="single" w:sz="2" w:space="0" w:color="000000"/>
              <w:insideV w:val="single" w:sz="2" w:space="0" w:color="000000"/>
            </w:tcBorders>
            <w:shd w:fill="auto" w:val="clear"/>
            <w:tcMar>
              <w:start w:w="42" w:type="dxa"/>
            </w:tcMar>
          </w:tcPr>
          <w:p>
            <w:pPr>
              <w:pStyle w:val="Normal"/>
              <w:jc w:val="center"/>
              <w:rPr/>
            </w:pPr>
            <w:r>
              <w:rPr/>
              <w:t xml:space="preserve">0,05 </w:t>
            </w:r>
          </w:p>
          <w:p>
            <w:pPr>
              <w:pStyle w:val="Normal"/>
              <w:jc w:val="center"/>
              <w:rPr/>
            </w:pPr>
            <w:r>
              <w:rPr/>
            </w:r>
          </w:p>
        </w:tc>
      </w:tr>
      <w:tr>
        <w:trPr/>
        <w:tc>
          <w:tcPr>
            <w:tcW w:w="3975" w:type="dxa"/>
            <w:tcBorders>
              <w:start w:val="single" w:sz="2" w:space="0" w:color="000000"/>
            </w:tcBorders>
            <w:shd w:fill="auto" w:val="clear"/>
            <w:tcMar>
              <w:start w:w="42" w:type="dxa"/>
            </w:tcMar>
          </w:tcPr>
          <w:p>
            <w:pPr>
              <w:pStyle w:val="Normal"/>
              <w:jc w:val="both"/>
              <w:rPr/>
            </w:pPr>
            <w:r>
              <w:rPr/>
              <w:t xml:space="preserve">Башенные градирни без водоуловительных устройств и оросительные теплообменные аппараты </w:t>
            </w:r>
          </w:p>
          <w:p>
            <w:pPr>
              <w:pStyle w:val="Normal"/>
              <w:jc w:val="both"/>
              <w:rPr/>
            </w:pPr>
            <w:r>
              <w:rPr/>
            </w:r>
          </w:p>
        </w:tc>
        <w:tc>
          <w:tcPr>
            <w:tcW w:w="2270" w:type="dxa"/>
            <w:tcBorders>
              <w:start w:val="single" w:sz="2" w:space="0" w:color="000000"/>
              <w:end w:val="single" w:sz="2" w:space="0" w:color="000000"/>
              <w:insideV w:val="single" w:sz="2" w:space="0" w:color="000000"/>
            </w:tcBorders>
            <w:shd w:fill="auto" w:val="clear"/>
            <w:tcMar>
              <w:start w:w="42" w:type="dxa"/>
            </w:tcMar>
          </w:tcPr>
          <w:p>
            <w:pPr>
              <w:pStyle w:val="Normal"/>
              <w:jc w:val="center"/>
              <w:rPr/>
            </w:pPr>
            <w:r>
              <w:rPr/>
              <w:t xml:space="preserve">0,5-1 </w:t>
            </w:r>
          </w:p>
          <w:p>
            <w:pPr>
              <w:pStyle w:val="Normal"/>
              <w:jc w:val="center"/>
              <w:rPr/>
            </w:pPr>
            <w:r>
              <w:rPr/>
            </w:r>
          </w:p>
        </w:tc>
      </w:tr>
      <w:tr>
        <w:trPr/>
        <w:tc>
          <w:tcPr>
            <w:tcW w:w="3975" w:type="dxa"/>
            <w:tcBorders>
              <w:start w:val="single" w:sz="2" w:space="0" w:color="000000"/>
            </w:tcBorders>
            <w:shd w:fill="auto" w:val="clear"/>
            <w:tcMar>
              <w:start w:w="42" w:type="dxa"/>
            </w:tcMar>
          </w:tcPr>
          <w:p>
            <w:pPr>
              <w:pStyle w:val="Normal"/>
              <w:jc w:val="both"/>
              <w:rPr/>
            </w:pPr>
            <w:r>
              <w:rPr/>
              <w:t xml:space="preserve">Башенные градирни с водоуловительными устройствами </w:t>
            </w:r>
          </w:p>
          <w:p>
            <w:pPr>
              <w:pStyle w:val="Normal"/>
              <w:jc w:val="both"/>
              <w:rPr/>
            </w:pPr>
            <w:r>
              <w:rPr/>
            </w:r>
          </w:p>
        </w:tc>
        <w:tc>
          <w:tcPr>
            <w:tcW w:w="2270" w:type="dxa"/>
            <w:tcBorders>
              <w:start w:val="single" w:sz="2" w:space="0" w:color="000000"/>
              <w:end w:val="single" w:sz="2" w:space="0" w:color="000000"/>
              <w:insideV w:val="single" w:sz="2" w:space="0" w:color="000000"/>
            </w:tcBorders>
            <w:shd w:fill="auto" w:val="clear"/>
            <w:tcMar>
              <w:start w:w="42" w:type="dxa"/>
            </w:tcMar>
          </w:tcPr>
          <w:p>
            <w:pPr>
              <w:pStyle w:val="Normal"/>
              <w:jc w:val="center"/>
              <w:rPr/>
            </w:pPr>
            <w:r>
              <w:rPr/>
              <w:t xml:space="preserve">0,01-0,05 </w:t>
            </w:r>
          </w:p>
          <w:p>
            <w:pPr>
              <w:pStyle w:val="Normal"/>
              <w:jc w:val="center"/>
              <w:rPr/>
            </w:pPr>
            <w:r>
              <w:rPr/>
            </w:r>
          </w:p>
        </w:tc>
      </w:tr>
      <w:tr>
        <w:trPr/>
        <w:tc>
          <w:tcPr>
            <w:tcW w:w="3975" w:type="dxa"/>
            <w:tcBorders>
              <w:start w:val="single" w:sz="2" w:space="0" w:color="000000"/>
            </w:tcBorders>
            <w:shd w:fill="auto" w:val="clear"/>
            <w:tcMar>
              <w:start w:w="42" w:type="dxa"/>
            </w:tcMar>
          </w:tcPr>
          <w:p>
            <w:pPr>
              <w:pStyle w:val="Normal"/>
              <w:jc w:val="both"/>
              <w:rPr/>
            </w:pPr>
            <w:r>
              <w:rPr/>
              <w:t xml:space="preserve">Открытые и брызгальные градирни </w:t>
            </w:r>
          </w:p>
          <w:p>
            <w:pPr>
              <w:pStyle w:val="Normal"/>
              <w:jc w:val="both"/>
              <w:rPr/>
            </w:pPr>
            <w:r>
              <w:rPr/>
            </w:r>
          </w:p>
        </w:tc>
        <w:tc>
          <w:tcPr>
            <w:tcW w:w="2270" w:type="dxa"/>
            <w:tcBorders>
              <w:start w:val="single" w:sz="2" w:space="0" w:color="000000"/>
              <w:end w:val="single" w:sz="2" w:space="0" w:color="000000"/>
              <w:insideV w:val="single" w:sz="2" w:space="0" w:color="000000"/>
            </w:tcBorders>
            <w:shd w:fill="auto" w:val="clear"/>
            <w:tcMar>
              <w:start w:w="42" w:type="dxa"/>
            </w:tcMar>
          </w:tcPr>
          <w:p>
            <w:pPr>
              <w:pStyle w:val="Normal"/>
              <w:jc w:val="center"/>
              <w:rPr/>
            </w:pPr>
            <w:r>
              <w:rPr/>
              <w:t xml:space="preserve">1-1,5 </w:t>
            </w:r>
          </w:p>
          <w:p>
            <w:pPr>
              <w:pStyle w:val="Normal"/>
              <w:jc w:val="center"/>
              <w:rPr/>
            </w:pPr>
            <w:r>
              <w:rPr/>
            </w:r>
          </w:p>
        </w:tc>
      </w:tr>
      <w:tr>
        <w:trPr/>
        <w:tc>
          <w:tcPr>
            <w:tcW w:w="3975" w:type="dxa"/>
            <w:tcBorders>
              <w:start w:val="single" w:sz="2" w:space="0" w:color="000000"/>
            </w:tcBorders>
            <w:shd w:fill="auto" w:val="clear"/>
            <w:tcMar>
              <w:start w:w="42" w:type="dxa"/>
            </w:tcMar>
          </w:tcPr>
          <w:p>
            <w:pPr>
              <w:pStyle w:val="Normal"/>
              <w:jc w:val="both"/>
              <w:rPr/>
            </w:pPr>
            <w:r>
              <w:rPr/>
              <w:t xml:space="preserve">Брызгальные бассейны производительностью, куб.м/ч:   </w:t>
            </w:r>
          </w:p>
          <w:p>
            <w:pPr>
              <w:pStyle w:val="Normal"/>
              <w:jc w:val="both"/>
              <w:rPr/>
            </w:pPr>
            <w:r>
              <w:rPr/>
            </w:r>
          </w:p>
        </w:tc>
        <w:tc>
          <w:tcPr>
            <w:tcW w:w="2270" w:type="dxa"/>
            <w:tcBorders>
              <w:start w:val="single" w:sz="2" w:space="0" w:color="000000"/>
              <w:end w:val="single" w:sz="2" w:space="0" w:color="000000"/>
              <w:insideV w:val="single" w:sz="2" w:space="0" w:color="000000"/>
            </w:tcBorders>
            <w:shd w:fill="auto" w:val="clear"/>
            <w:tcMar>
              <w:start w:w="42" w:type="dxa"/>
            </w:tcMar>
          </w:tcPr>
          <w:p>
            <w:pPr>
              <w:pStyle w:val="Normal"/>
              <w:snapToGrid w:val="false"/>
              <w:jc w:val="center"/>
              <w:rPr/>
            </w:pPr>
            <w:r>
              <w:rPr/>
            </w:r>
          </w:p>
          <w:p>
            <w:pPr>
              <w:pStyle w:val="Normal"/>
              <w:jc w:val="center"/>
              <w:rPr/>
            </w:pPr>
            <w:r>
              <w:rPr/>
            </w:r>
          </w:p>
          <w:p>
            <w:pPr>
              <w:pStyle w:val="Normal"/>
              <w:jc w:val="center"/>
              <w:rPr/>
            </w:pPr>
            <w:r>
              <w:rPr/>
            </w:r>
          </w:p>
        </w:tc>
      </w:tr>
      <w:tr>
        <w:trPr/>
        <w:tc>
          <w:tcPr>
            <w:tcW w:w="3975" w:type="dxa"/>
            <w:tcBorders>
              <w:start w:val="single" w:sz="2" w:space="0" w:color="000000"/>
            </w:tcBorders>
            <w:shd w:fill="auto" w:val="clear"/>
            <w:tcMar>
              <w:start w:w="42" w:type="dxa"/>
            </w:tcMar>
          </w:tcPr>
          <w:p>
            <w:pPr>
              <w:pStyle w:val="Normal"/>
              <w:ind w:firstLine="225"/>
              <w:jc w:val="both"/>
              <w:rPr/>
            </w:pPr>
            <w:r>
              <w:rPr/>
              <w:t xml:space="preserve">до  500 </w:t>
            </w:r>
          </w:p>
          <w:p>
            <w:pPr>
              <w:pStyle w:val="Normal"/>
              <w:ind w:firstLine="225"/>
              <w:jc w:val="both"/>
              <w:rPr/>
            </w:pPr>
            <w:r>
              <w:rPr/>
            </w:r>
          </w:p>
        </w:tc>
        <w:tc>
          <w:tcPr>
            <w:tcW w:w="2270" w:type="dxa"/>
            <w:tcBorders>
              <w:start w:val="single" w:sz="2" w:space="0" w:color="000000"/>
              <w:end w:val="single" w:sz="2" w:space="0" w:color="000000"/>
              <w:insideV w:val="single" w:sz="2" w:space="0" w:color="000000"/>
            </w:tcBorders>
            <w:shd w:fill="auto" w:val="clear"/>
            <w:tcMar>
              <w:start w:w="42" w:type="dxa"/>
            </w:tcMar>
          </w:tcPr>
          <w:p>
            <w:pPr>
              <w:pStyle w:val="Normal"/>
              <w:jc w:val="center"/>
              <w:rPr/>
            </w:pPr>
            <w:r>
              <w:rPr/>
              <w:t xml:space="preserve">2-3  </w:t>
            </w:r>
          </w:p>
          <w:p>
            <w:pPr>
              <w:pStyle w:val="Normal"/>
              <w:jc w:val="center"/>
              <w:rPr/>
            </w:pPr>
            <w:r>
              <w:rPr/>
            </w:r>
          </w:p>
        </w:tc>
      </w:tr>
      <w:tr>
        <w:trPr/>
        <w:tc>
          <w:tcPr>
            <w:tcW w:w="3975" w:type="dxa"/>
            <w:tcBorders>
              <w:start w:val="single" w:sz="2" w:space="0" w:color="000000"/>
            </w:tcBorders>
            <w:shd w:fill="auto" w:val="clear"/>
            <w:tcMar>
              <w:start w:w="42" w:type="dxa"/>
            </w:tcMar>
          </w:tcPr>
          <w:p>
            <w:pPr>
              <w:pStyle w:val="Normal"/>
              <w:ind w:firstLine="225"/>
              <w:jc w:val="both"/>
              <w:rPr/>
            </w:pPr>
            <w:r>
              <w:rPr/>
              <w:t xml:space="preserve">св. 500 до 5000 </w:t>
            </w:r>
          </w:p>
          <w:p>
            <w:pPr>
              <w:pStyle w:val="Normal"/>
              <w:ind w:firstLine="225"/>
              <w:jc w:val="both"/>
              <w:rPr/>
            </w:pPr>
            <w:r>
              <w:rPr/>
            </w:r>
          </w:p>
        </w:tc>
        <w:tc>
          <w:tcPr>
            <w:tcW w:w="2270" w:type="dxa"/>
            <w:tcBorders>
              <w:start w:val="single" w:sz="2" w:space="0" w:color="000000"/>
              <w:end w:val="single" w:sz="2" w:space="0" w:color="000000"/>
              <w:insideV w:val="single" w:sz="2" w:space="0" w:color="000000"/>
            </w:tcBorders>
            <w:shd w:fill="auto" w:val="clear"/>
            <w:tcMar>
              <w:start w:w="42" w:type="dxa"/>
            </w:tcMar>
          </w:tcPr>
          <w:p>
            <w:pPr>
              <w:pStyle w:val="Normal"/>
              <w:jc w:val="center"/>
              <w:rPr/>
            </w:pPr>
            <w:r>
              <w:rPr/>
              <w:t xml:space="preserve">1,5-2 </w:t>
            </w:r>
          </w:p>
          <w:p>
            <w:pPr>
              <w:pStyle w:val="Normal"/>
              <w:jc w:val="center"/>
              <w:rPr/>
            </w:pPr>
            <w:r>
              <w:rPr/>
            </w:r>
          </w:p>
        </w:tc>
      </w:tr>
      <w:tr>
        <w:trPr/>
        <w:tc>
          <w:tcPr>
            <w:tcW w:w="3975" w:type="dxa"/>
            <w:tcBorders>
              <w:start w:val="single" w:sz="2" w:space="0" w:color="000000"/>
              <w:bottom w:val="single" w:sz="2" w:space="0" w:color="000000"/>
              <w:insideH w:val="single" w:sz="2" w:space="0" w:color="000000"/>
            </w:tcBorders>
            <w:shd w:fill="auto" w:val="clear"/>
            <w:tcMar>
              <w:start w:w="42" w:type="dxa"/>
            </w:tcMar>
          </w:tcPr>
          <w:p>
            <w:pPr>
              <w:pStyle w:val="Normal"/>
              <w:ind w:firstLine="270"/>
              <w:jc w:val="both"/>
              <w:rPr/>
            </w:pPr>
            <w:r>
              <w:rPr/>
              <w:t xml:space="preserve">«  5000 </w:t>
            </w:r>
          </w:p>
          <w:p>
            <w:pPr>
              <w:pStyle w:val="Normal"/>
              <w:ind w:firstLine="270"/>
              <w:jc w:val="both"/>
              <w:rPr/>
            </w:pPr>
            <w:r>
              <w:rPr/>
            </w:r>
          </w:p>
        </w:tc>
        <w:tc>
          <w:tcPr>
            <w:tcW w:w="227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jc w:val="center"/>
              <w:rPr/>
            </w:pPr>
            <w:r>
              <w:rPr/>
              <w:t xml:space="preserve">0,75-1 </w:t>
            </w:r>
          </w:p>
          <w:p>
            <w:pPr>
              <w:pStyle w:val="Normal"/>
              <w:jc w:val="center"/>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Примечание. Меньшие значения потерь надлежит принимать для охладителей большей производительности, а также для расчетов обработки охлаждающей воды в целях предотвращения карбонатных отложений.</w:t>
      </w:r>
    </w:p>
    <w:p>
      <w:pPr>
        <w:pStyle w:val="Normal"/>
        <w:ind w:firstLine="225"/>
        <w:jc w:val="both"/>
        <w:rPr/>
      </w:pPr>
      <w:r>
        <w:rPr/>
      </w:r>
    </w:p>
    <w:p>
      <w:pPr>
        <w:pStyle w:val="Normal"/>
        <w:ind w:firstLine="225"/>
        <w:jc w:val="both"/>
        <w:rPr/>
      </w:pPr>
      <w:r>
        <w:rPr/>
      </w:r>
    </w:p>
    <w:p>
      <w:pPr>
        <w:pStyle w:val="Normal"/>
        <w:ind w:firstLine="225"/>
        <w:jc w:val="both"/>
        <w:rPr/>
      </w:pPr>
      <w:r>
        <w:rPr/>
        <w:t>При охлаждении продукта в теплообменных аппаратах оросительного типа потери воды на испарение, вычисленные по формуле, следует увеличивать вдвое;</w:t>
      </w:r>
    </w:p>
    <w:p>
      <w:pPr>
        <w:pStyle w:val="Normal"/>
        <w:ind w:firstLine="225"/>
        <w:jc w:val="both"/>
        <w:rPr/>
      </w:pPr>
      <w:r>
        <w:rPr/>
      </w:r>
    </w:p>
    <w:p>
      <w:pPr>
        <w:pStyle w:val="Normal"/>
        <w:ind w:firstLine="225"/>
        <w:jc w:val="both"/>
        <w:rPr/>
      </w:pPr>
      <w:r>
        <w:rPr/>
        <w:t>в) потери воды в брызгальных бассейнах, градирнях и оросительных теплообменных аппаратах вследствие уноса ветром Р2, принимаемые по табл. 38;</w:t>
      </w:r>
    </w:p>
    <w:p>
      <w:pPr>
        <w:pStyle w:val="Normal"/>
        <w:ind w:firstLine="225"/>
        <w:jc w:val="both"/>
        <w:rPr/>
      </w:pPr>
      <w:r>
        <w:rPr/>
      </w:r>
    </w:p>
    <w:p>
      <w:pPr>
        <w:pStyle w:val="Normal"/>
        <w:ind w:firstLine="225"/>
        <w:jc w:val="both"/>
        <w:rPr/>
      </w:pPr>
      <w:r>
        <w:rPr/>
        <w:t>г) потери воды на очистных сооружениях, определяемые расчетами с учетом указаний разд. 6;</w:t>
      </w:r>
    </w:p>
    <w:p>
      <w:pPr>
        <w:pStyle w:val="Normal"/>
        <w:ind w:firstLine="225"/>
        <w:jc w:val="both"/>
        <w:rPr/>
      </w:pPr>
      <w:r>
        <w:rPr/>
      </w:r>
    </w:p>
    <w:p>
      <w:pPr>
        <w:pStyle w:val="Normal"/>
        <w:ind w:firstLine="225"/>
        <w:jc w:val="both"/>
        <w:rPr/>
      </w:pPr>
      <w:r>
        <w:rPr/>
        <w:t>д) потери воды на фильтрацию из водохранилищ (прудов)- охладителей при водопроницаемых основаниях и фильтрующих ограждающих дамбах, определяемые расчетом на основании данных гидрогеологических изысканий. Потери воды на фильтрацию из брызгальных бассейнов и водосборных резервуаров градирен в расчетах не учитываются;</w:t>
      </w:r>
    </w:p>
    <w:p>
      <w:pPr>
        <w:pStyle w:val="Normal"/>
        <w:ind w:firstLine="225"/>
        <w:jc w:val="both"/>
        <w:rPr/>
      </w:pPr>
      <w:r>
        <w:rPr/>
      </w:r>
    </w:p>
    <w:p>
      <w:pPr>
        <w:pStyle w:val="Normal"/>
        <w:ind w:firstLine="225"/>
        <w:jc w:val="both"/>
        <w:rPr/>
      </w:pPr>
      <w:r>
        <w:rPr/>
        <w:t>е) сброс воды из системы (продувка), определяемый в зависимости от качества оборотной и добавочной воды, а также способа ее обработки.</w:t>
      </w:r>
    </w:p>
    <w:p>
      <w:pPr>
        <w:pStyle w:val="Normal"/>
        <w:ind w:firstLine="225"/>
        <w:jc w:val="both"/>
        <w:rPr/>
      </w:pPr>
      <w:r>
        <w:rPr/>
      </w:r>
    </w:p>
    <w:p>
      <w:pPr>
        <w:pStyle w:val="Normal"/>
        <w:ind w:firstLine="225"/>
        <w:jc w:val="both"/>
        <w:rPr/>
      </w:pPr>
      <w:r>
        <w:rPr/>
      </w:r>
    </w:p>
    <w:p>
      <w:pPr>
        <w:pStyle w:val="Heading"/>
        <w:jc w:val="center"/>
        <w:rPr/>
      </w:pPr>
      <w:r>
        <w:rPr/>
        <w:t>ПРЕДОТВРАЩЕНИЕ МЕХАНИЧЕСКИХ ОТЛОЖЕНИЙ</w:t>
      </w:r>
    </w:p>
    <w:p>
      <w:pPr>
        <w:pStyle w:val="Heading"/>
        <w:jc w:val="center"/>
        <w:rPr/>
      </w:pPr>
      <w:r>
        <w:rPr/>
      </w:r>
    </w:p>
    <w:p>
      <w:pPr>
        <w:pStyle w:val="Normal"/>
        <w:ind w:firstLine="270"/>
        <w:jc w:val="both"/>
        <w:rPr/>
      </w:pPr>
      <w:r>
        <w:rPr/>
      </w:r>
    </w:p>
    <w:p>
      <w:pPr>
        <w:pStyle w:val="Normal"/>
        <w:ind w:firstLine="225"/>
        <w:jc w:val="both"/>
        <w:rPr/>
      </w:pPr>
      <w:r>
        <w:rPr/>
        <w:t>11.10. Возможность и интенсивность образования механических отложений в резервуарах градирен и в теплообменных аппаратах надлежит определять на основе опыта эксплуатации систем оборотного водоснабжения, расположенных в данном районе, работающих на воде данного источника, или исходя из данных о концентрации, гранулометрическом составе (гидравлической крупности) механических загрязнений воды и воздуха.</w:t>
      </w:r>
    </w:p>
    <w:p>
      <w:pPr>
        <w:pStyle w:val="Normal"/>
        <w:ind w:firstLine="225"/>
        <w:jc w:val="both"/>
        <w:rPr/>
      </w:pPr>
      <w:r>
        <w:rPr/>
      </w:r>
    </w:p>
    <w:p>
      <w:pPr>
        <w:pStyle w:val="Normal"/>
        <w:ind w:firstLine="225"/>
        <w:jc w:val="both"/>
        <w:rPr/>
      </w:pPr>
      <w:r>
        <w:rPr/>
        <w:t>Для предотвращения и удаления механических отложений в теплообменных аппаратах следует предусматривать периодическую гидроимпульсную или гидропневматическую очистку их в процессе работы, а также частичное осветление оборотной воды.</w:t>
      </w:r>
    </w:p>
    <w:p>
      <w:pPr>
        <w:pStyle w:val="Normal"/>
        <w:ind w:firstLine="225"/>
        <w:jc w:val="both"/>
        <w:rPr/>
      </w:pPr>
      <w:r>
        <w:rPr/>
      </w:r>
    </w:p>
    <w:p>
      <w:pPr>
        <w:pStyle w:val="Normal"/>
        <w:ind w:firstLine="225"/>
        <w:jc w:val="both"/>
        <w:rPr/>
      </w:pPr>
      <w:r>
        <w:rPr/>
        <w:t>11.11. Вода поверхностных источников, используемая в качестве добавочной в системе оборотного водоснабжения, должна подвергаться осветлению в соответствии с разд. 6.</w:t>
      </w:r>
    </w:p>
    <w:p>
      <w:pPr>
        <w:pStyle w:val="Normal"/>
        <w:ind w:firstLine="225"/>
        <w:jc w:val="both"/>
        <w:rPr/>
      </w:pPr>
      <w:r>
        <w:rPr/>
      </w:r>
    </w:p>
    <w:p>
      <w:pPr>
        <w:pStyle w:val="Normal"/>
        <w:ind w:firstLine="225"/>
        <w:jc w:val="both"/>
        <w:rPr/>
      </w:pPr>
      <w:r>
        <w:rPr/>
      </w:r>
    </w:p>
    <w:p>
      <w:pPr>
        <w:pStyle w:val="Heading"/>
        <w:jc w:val="center"/>
        <w:rPr/>
      </w:pPr>
      <w:r>
        <w:rPr/>
        <w:t>БОРЬБА С ЦВЕТЕНИЕМ ВОДЫ</w:t>
      </w:r>
    </w:p>
    <w:p>
      <w:pPr>
        <w:pStyle w:val="Heading"/>
        <w:jc w:val="center"/>
        <w:rPr/>
      </w:pPr>
      <w:r>
        <w:rPr/>
        <w:t>И БИОЛОГИЧЕСКИМ ОБРАСТАНИЕМ</w:t>
      </w:r>
    </w:p>
    <w:p>
      <w:pPr>
        <w:pStyle w:val="Heading"/>
        <w:jc w:val="center"/>
        <w:rPr/>
      </w:pPr>
      <w:r>
        <w:rPr/>
      </w:r>
    </w:p>
    <w:p>
      <w:pPr>
        <w:pStyle w:val="Normal"/>
        <w:ind w:firstLine="270"/>
        <w:jc w:val="both"/>
        <w:rPr/>
      </w:pPr>
      <w:r>
        <w:rPr/>
      </w:r>
    </w:p>
    <w:p>
      <w:pPr>
        <w:pStyle w:val="Normal"/>
        <w:ind w:firstLine="225"/>
        <w:jc w:val="both"/>
        <w:rPr/>
      </w:pPr>
      <w:r>
        <w:rPr/>
        <w:t xml:space="preserve">11.12. Борьба с цветением воды в водохранилищах и прудах-охладителях должна предусматриваться согласно указаниям рекомендуемого прил. 11 путем разбрызгивания раствора медного купороса по поверхности воды. </w:t>
      </w:r>
    </w:p>
    <w:p>
      <w:pPr>
        <w:pStyle w:val="Normal"/>
        <w:ind w:firstLine="225"/>
        <w:jc w:val="both"/>
        <w:rPr/>
      </w:pPr>
      <w:r>
        <w:rPr/>
      </w:r>
    </w:p>
    <w:p>
      <w:pPr>
        <w:pStyle w:val="Normal"/>
        <w:ind w:firstLine="225"/>
        <w:jc w:val="both"/>
        <w:rPr/>
      </w:pPr>
      <w:r>
        <w:rPr/>
        <w:t>Применение медного купороса надлежит в каждом случае согласовывать с органами санитарно-эпидемиологической службы и охраны рыбных запасов.</w:t>
      </w:r>
    </w:p>
    <w:p>
      <w:pPr>
        <w:pStyle w:val="Normal"/>
        <w:ind w:firstLine="225"/>
        <w:jc w:val="both"/>
        <w:rPr/>
      </w:pPr>
      <w:r>
        <w:rPr/>
      </w:r>
    </w:p>
    <w:p>
      <w:pPr>
        <w:pStyle w:val="Normal"/>
        <w:ind w:firstLine="225"/>
        <w:jc w:val="both"/>
        <w:rPr/>
      </w:pPr>
      <w:r>
        <w:rPr/>
        <w:t>11.13. Для предупреждения развития бактериальных биологических обрастаний в теплообменных аппаратах и трубопроводах надлежит применять хлорирование оборотной воды согласно рекомендуемому прил. 11. Дозу хлора следует определять по опыту эксплуатации систем водоснабжения на воде данного источника или исходя из хлоропоглощаемости добавочной воды.</w:t>
      </w:r>
    </w:p>
    <w:p>
      <w:pPr>
        <w:pStyle w:val="Normal"/>
        <w:ind w:firstLine="225"/>
        <w:jc w:val="both"/>
        <w:rPr/>
      </w:pPr>
      <w:r>
        <w:rPr/>
      </w:r>
    </w:p>
    <w:p>
      <w:pPr>
        <w:pStyle w:val="Normal"/>
        <w:ind w:firstLine="225"/>
        <w:jc w:val="both"/>
        <w:rPr/>
      </w:pPr>
      <w:r>
        <w:rPr/>
        <w:t>11.14. Хлораторные установки для обработки охлаждающей воды и расходные склады надлежит проектировать согласно разд. 6.</w:t>
      </w:r>
    </w:p>
    <w:p>
      <w:pPr>
        <w:pStyle w:val="Normal"/>
        <w:ind w:firstLine="225"/>
        <w:jc w:val="both"/>
        <w:rPr/>
      </w:pPr>
      <w:r>
        <w:rPr/>
      </w:r>
    </w:p>
    <w:p>
      <w:pPr>
        <w:pStyle w:val="Normal"/>
        <w:ind w:firstLine="225"/>
        <w:jc w:val="both"/>
        <w:rPr/>
      </w:pPr>
      <w:r>
        <w:rPr/>
        <w:t>Резервные хлораторы предусматривать не следует. Подачу хлорной воды от хлораторов надлежит производить в приемную камеру охлажденной воды.</w:t>
      </w:r>
    </w:p>
    <w:p>
      <w:pPr>
        <w:pStyle w:val="Normal"/>
        <w:ind w:firstLine="225"/>
        <w:jc w:val="both"/>
        <w:rPr/>
      </w:pPr>
      <w:r>
        <w:rPr/>
      </w:r>
    </w:p>
    <w:p>
      <w:pPr>
        <w:pStyle w:val="Normal"/>
        <w:ind w:firstLine="225"/>
        <w:jc w:val="both"/>
        <w:rPr/>
      </w:pPr>
      <w:r>
        <w:rPr/>
        <w:t>При высокой хлоропоглощаемости воды и большой протяженности трубопроводов системы оборотного водоснабжения допускается рассредоточенный ввод хлорной воды в нескольких точках системы.</w:t>
      </w:r>
    </w:p>
    <w:p>
      <w:pPr>
        <w:pStyle w:val="Normal"/>
        <w:ind w:firstLine="225"/>
        <w:jc w:val="both"/>
        <w:rPr/>
      </w:pPr>
      <w:r>
        <w:rPr/>
      </w:r>
    </w:p>
    <w:p>
      <w:pPr>
        <w:pStyle w:val="Normal"/>
        <w:ind w:firstLine="225"/>
        <w:jc w:val="both"/>
        <w:rPr/>
      </w:pPr>
      <w:r>
        <w:rPr/>
        <w:t>11.15. В целях предупреждения обрастания водорослями градирен, брызгальных бассейнов и оросительных теплообменных аппаратов должна применяться периодическая обработка охлаждающей воды раствором медного купороса согласно рекомендуемому прил. 11. Концентрацию раствора медного купороса в растворном баке надлежит принимать 2-4 %.</w:t>
      </w:r>
    </w:p>
    <w:p>
      <w:pPr>
        <w:pStyle w:val="Normal"/>
        <w:ind w:firstLine="225"/>
        <w:jc w:val="both"/>
        <w:rPr/>
      </w:pPr>
      <w:r>
        <w:rPr/>
      </w:r>
    </w:p>
    <w:p>
      <w:pPr>
        <w:pStyle w:val="Normal"/>
        <w:ind w:firstLine="225"/>
        <w:jc w:val="both"/>
        <w:rPr/>
      </w:pPr>
      <w:r>
        <w:rPr/>
        <w:t>11.16. Для предупреждения биологического обрастания градирен, брызгальных бассейнов и оросительных холодильников надлежит применять дополнительно периодическое хлорирование воды перед сооружениями согласно рекомендуемому прил. 11. Дополнительную обработку воды хлором надлежит производить одновременно или после обработки ее раствором медного купороса.</w:t>
      </w:r>
    </w:p>
    <w:p>
      <w:pPr>
        <w:pStyle w:val="Normal"/>
        <w:ind w:firstLine="225"/>
        <w:jc w:val="both"/>
        <w:rPr/>
      </w:pPr>
      <w:r>
        <w:rPr/>
      </w:r>
    </w:p>
    <w:p>
      <w:pPr>
        <w:pStyle w:val="Normal"/>
        <w:ind w:firstLine="225"/>
        <w:jc w:val="both"/>
        <w:rPr/>
      </w:pPr>
      <w:r>
        <w:rPr/>
        <w:t>11.17. Баки, лотки, трубопроводы, оборудование и запорная арматура, соприкасающиеся с раствором медного купороса, должны приниматься из коррозионно-стойких материалов.</w:t>
      </w:r>
    </w:p>
    <w:p>
      <w:pPr>
        <w:pStyle w:val="Normal"/>
        <w:ind w:firstLine="225"/>
        <w:jc w:val="both"/>
        <w:rPr/>
      </w:pPr>
      <w:r>
        <w:rPr/>
      </w:r>
    </w:p>
    <w:p>
      <w:pPr>
        <w:pStyle w:val="Normal"/>
        <w:ind w:firstLine="225"/>
        <w:jc w:val="both"/>
        <w:rPr/>
      </w:pPr>
      <w:r>
        <w:rPr/>
      </w:r>
    </w:p>
    <w:p>
      <w:pPr>
        <w:pStyle w:val="Heading"/>
        <w:jc w:val="center"/>
        <w:rPr/>
      </w:pPr>
      <w:r>
        <w:rPr/>
        <w:t>ПРЕДОТВРАЩЕНИЕ</w:t>
      </w:r>
    </w:p>
    <w:p>
      <w:pPr>
        <w:pStyle w:val="Heading"/>
        <w:jc w:val="center"/>
        <w:rPr/>
      </w:pPr>
      <w:r>
        <w:rPr/>
        <w:t>КАРБОНАТНЫХ ОТЛОЖЕНИЙ</w:t>
      </w:r>
    </w:p>
    <w:p>
      <w:pPr>
        <w:pStyle w:val="Heading"/>
        <w:jc w:val="center"/>
        <w:rPr/>
      </w:pPr>
      <w:r>
        <w:rPr/>
      </w:r>
    </w:p>
    <w:p>
      <w:pPr>
        <w:pStyle w:val="Normal"/>
        <w:ind w:firstLine="270"/>
        <w:jc w:val="both"/>
        <w:rPr/>
      </w:pPr>
      <w:r>
        <w:rPr/>
      </w:r>
    </w:p>
    <w:p>
      <w:pPr>
        <w:pStyle w:val="Normal"/>
        <w:ind w:firstLine="225"/>
        <w:jc w:val="both"/>
        <w:rPr/>
      </w:pPr>
      <w:r>
        <w:rPr/>
        <w:t>11.18. Указания подраздела распространяются на проектирование систем оборотного водоснабжения для охлаждения теплообменных аппаратов, машин и агрегатов, в которых не происходит кипения охлаждающей воды у поверхности теплообмена и нагревание воды не превышает 60 град.С при использовании пресных вод источников и очищенных сточных вод.</w:t>
      </w:r>
    </w:p>
    <w:p>
      <w:pPr>
        <w:pStyle w:val="Normal"/>
        <w:ind w:firstLine="225"/>
        <w:jc w:val="both"/>
        <w:rPr/>
      </w:pPr>
      <w:r>
        <w:rPr/>
      </w:r>
    </w:p>
    <w:p>
      <w:pPr>
        <w:pStyle w:val="Normal"/>
        <w:ind w:firstLine="225"/>
        <w:jc w:val="both"/>
        <w:rPr/>
      </w:pPr>
      <w:r>
        <w:rPr/>
      </w:r>
    </w:p>
    <w:p>
      <w:pPr>
        <w:pStyle w:val="Normal"/>
        <w:ind w:firstLine="225"/>
        <w:jc w:val="both"/>
        <w:rPr/>
      </w:pPr>
      <w:r>
        <w:rPr/>
        <w:t>Примечание. При специальных требованиях к охлаждающей воде, нагреве воды св. 60 °С и местном кипении ее у поверхностей теплообмена надлежит принимать умягчение добавочной воды на ионообменных фильтрах (натрий-катионирование или водород-катионирование с "голодной" регенерацией); допускается применение известкования с последующим подкислением или фосфатированием.</w:t>
      </w:r>
    </w:p>
    <w:p>
      <w:pPr>
        <w:pStyle w:val="Normal"/>
        <w:ind w:firstLine="225"/>
        <w:jc w:val="both"/>
        <w:rPr/>
      </w:pPr>
      <w:r>
        <w:rPr/>
      </w:r>
    </w:p>
    <w:p>
      <w:pPr>
        <w:pStyle w:val="Normal"/>
        <w:ind w:firstLine="225"/>
        <w:jc w:val="both"/>
        <w:rPr/>
      </w:pPr>
      <w:r>
        <w:rPr/>
      </w:r>
    </w:p>
    <w:p>
      <w:pPr>
        <w:pStyle w:val="Normal"/>
        <w:ind w:firstLine="225"/>
        <w:jc w:val="both"/>
        <w:rPr/>
      </w:pPr>
      <w:r>
        <w:rPr/>
        <w:t xml:space="preserve">11.19. Обработку воды для предотвращения карбонатных отложений следует предусматривать  </w:t>
      </w:r>
    </w:p>
    <w:tbl>
      <w:tblPr>
        <w:tblW w:w="8730" w:type="dxa"/>
        <w:jc w:val="start"/>
        <w:tblInd w:w="30" w:type="dxa"/>
        <w:tblBorders/>
        <w:tblCellMar>
          <w:top w:w="0" w:type="dxa"/>
          <w:start w:w="15" w:type="dxa"/>
          <w:bottom w:w="0" w:type="dxa"/>
          <w:end w:w="15" w:type="dxa"/>
        </w:tblCellMar>
      </w:tblPr>
      <w:tblGrid>
        <w:gridCol w:w="450"/>
        <w:gridCol w:w="3675"/>
        <w:gridCol w:w="3555"/>
        <w:gridCol w:w="600"/>
        <w:gridCol w:w="450"/>
      </w:tblGrid>
      <w:tr>
        <w:trPr/>
        <w:tc>
          <w:tcPr>
            <w:tcW w:w="450" w:type="dxa"/>
            <w:tcBorders/>
            <w:shd w:fill="auto" w:val="clear"/>
          </w:tcPr>
          <w:p>
            <w:pPr>
              <w:pStyle w:val="Normal"/>
              <w:rPr/>
            </w:pPr>
            <w:r>
              <w:rPr>
                <w:vanish/>
              </w:rPr>
              <w:t>#G0</w:t>
            </w:r>
            <w:r>
              <w:rPr/>
              <w:t xml:space="preserve"> при </w:t>
            </w:r>
          </w:p>
          <w:p>
            <w:pPr>
              <w:pStyle w:val="Normal"/>
              <w:rPr/>
            </w:pPr>
            <w:r>
              <w:rPr/>
            </w:r>
          </w:p>
        </w:tc>
        <w:tc>
          <w:tcPr>
            <w:tcW w:w="3675" w:type="dxa"/>
            <w:tcBorders/>
            <w:shd w:fill="auto" w:val="clear"/>
          </w:tcPr>
          <w:p>
            <w:pPr>
              <w:pStyle w:val="Normal"/>
              <w:rPr/>
            </w:pPr>
            <w:r>
              <w:rPr/>
              <w:drawing>
                <wp:inline distT="0" distB="0" distL="0" distR="0">
                  <wp:extent cx="1751330" cy="207645"/>
                  <wp:effectExtent l="0" t="0" r="0" b="0"/>
                  <wp:docPr id="166" name="Изображение1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Изображение166" descr="" title=""/>
                          <pic:cNvPicPr>
                            <a:picLocks noChangeAspect="1" noChangeArrowheads="1"/>
                          </pic:cNvPicPr>
                        </pic:nvPicPr>
                        <pic:blipFill>
                          <a:blip r:embed="rId167"/>
                          <a:stretch>
                            <a:fillRect/>
                          </a:stretch>
                        </pic:blipFill>
                        <pic:spPr bwMode="auto">
                          <a:xfrm>
                            <a:off x="0" y="0"/>
                            <a:ext cx="1751330" cy="207645"/>
                          </a:xfrm>
                          <a:prstGeom prst="rect">
                            <a:avLst/>
                          </a:prstGeom>
                        </pic:spPr>
                      </pic:pic>
                    </a:graphicData>
                  </a:graphic>
                </wp:inline>
              </w:drawing>
            </w:r>
            <w:r>
              <w:rPr/>
              <w:t xml:space="preserve">            </w:t>
            </w:r>
          </w:p>
          <w:p>
            <w:pPr>
              <w:pStyle w:val="Normal"/>
              <w:rPr/>
            </w:pPr>
            <w:r>
              <w:rPr/>
            </w:r>
          </w:p>
        </w:tc>
        <w:tc>
          <w:tcPr>
            <w:tcW w:w="3555" w:type="dxa"/>
            <w:tcBorders/>
            <w:shd w:fill="auto" w:val="clear"/>
          </w:tcPr>
          <w:p>
            <w:pPr>
              <w:pStyle w:val="Normal"/>
              <w:rPr/>
            </w:pPr>
            <w:r>
              <w:rPr/>
              <w:t xml:space="preserve"> </w:t>
            </w:r>
            <w:r>
              <w:rPr/>
              <w:t>щелочность добавочной воды, мг-экв/л,</w:t>
            </w:r>
          </w:p>
          <w:p>
            <w:pPr>
              <w:pStyle w:val="Normal"/>
              <w:rPr/>
            </w:pPr>
            <w:r>
              <w:rPr/>
            </w:r>
          </w:p>
        </w:tc>
        <w:tc>
          <w:tcPr>
            <w:tcW w:w="600" w:type="dxa"/>
            <w:tcBorders/>
            <w:shd w:fill="auto" w:val="clear"/>
          </w:tcPr>
          <w:p>
            <w:pPr>
              <w:pStyle w:val="Normal"/>
              <w:rPr/>
            </w:pPr>
            <w:r>
              <w:rPr/>
              <w:drawing>
                <wp:inline distT="0" distB="0" distL="0" distR="0">
                  <wp:extent cx="195580" cy="207645"/>
                  <wp:effectExtent l="0" t="0" r="0" b="0"/>
                  <wp:docPr id="167" name="Изображение1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Изображение167" descr="" title=""/>
                          <pic:cNvPicPr>
                            <a:picLocks noChangeAspect="1" noChangeArrowheads="1"/>
                          </pic:cNvPicPr>
                        </pic:nvPicPr>
                        <pic:blipFill>
                          <a:blip r:embed="rId168"/>
                          <a:stretch>
                            <a:fillRect/>
                          </a:stretch>
                        </pic:blipFill>
                        <pic:spPr bwMode="auto">
                          <a:xfrm>
                            <a:off x="0" y="0"/>
                            <a:ext cx="195580" cy="207645"/>
                          </a:xfrm>
                          <a:prstGeom prst="rect">
                            <a:avLst/>
                          </a:prstGeom>
                        </pic:spPr>
                      </pic:pic>
                    </a:graphicData>
                  </a:graphic>
                </wp:inline>
              </w:drawing>
            </w:r>
            <w:r>
              <w:rPr/>
              <w:t xml:space="preserve">  </w:t>
            </w:r>
          </w:p>
          <w:p>
            <w:pPr>
              <w:pStyle w:val="Normal"/>
              <w:rPr/>
            </w:pPr>
            <w:r>
              <w:rPr/>
            </w:r>
          </w:p>
        </w:tc>
        <w:tc>
          <w:tcPr>
            <w:tcW w:w="450" w:type="dxa"/>
            <w:tcBorders/>
            <w:shd w:fill="auto" w:val="clear"/>
          </w:tcPr>
          <w:p>
            <w:pPr>
              <w:pStyle w:val="Normal"/>
              <w:rPr/>
            </w:pPr>
            <w:r>
              <w:rPr/>
              <w:t xml:space="preserve"> </w:t>
            </w:r>
            <w:r>
              <w:rPr/>
              <w:t>-</w:t>
            </w:r>
          </w:p>
          <w:p>
            <w:pPr>
              <w:pStyle w:val="Normal"/>
              <w:rPr/>
            </w:pPr>
            <w:r>
              <w:rPr/>
            </w:r>
          </w:p>
        </w:tc>
      </w:tr>
    </w:tbl>
    <w:p>
      <w:pPr>
        <w:pStyle w:val="Normal"/>
        <w:ind w:firstLine="45"/>
        <w:jc w:val="both"/>
        <w:rPr/>
      </w:pPr>
      <w:r>
        <w:rPr/>
        <w:t>коэффициент концентрирования (упаривания) солей, не выпадающих в осадок. При этом надлежит принимать следующие методы обработки воды: подкисление, рекарбонизацию, фосфатирование полифосфатами и комбинированную фосфатно-кислотную обработку. Допускается применение фосфорорганических соединений.</w:t>
      </w:r>
    </w:p>
    <w:p>
      <w:pPr>
        <w:pStyle w:val="Normal"/>
        <w:ind w:firstLine="45"/>
        <w:jc w:val="both"/>
        <w:rPr/>
      </w:pPr>
      <w:r>
        <w:rPr/>
      </w:r>
    </w:p>
    <w:p>
      <w:pPr>
        <w:pStyle w:val="Normal"/>
        <w:ind w:firstLine="225"/>
        <w:jc w:val="both"/>
        <w:rPr/>
      </w:pPr>
      <w:r>
        <w:rPr/>
        <w:t>11.20. Методы обработки воды для предотвращения карбонатных отложений надлежит принимать:</w:t>
      </w:r>
    </w:p>
    <w:p>
      <w:pPr>
        <w:pStyle w:val="Normal"/>
        <w:ind w:firstLine="225"/>
        <w:jc w:val="both"/>
        <w:rPr/>
      </w:pPr>
      <w:r>
        <w:rPr/>
      </w:r>
    </w:p>
    <w:p>
      <w:pPr>
        <w:pStyle w:val="Normal"/>
        <w:ind w:firstLine="225"/>
        <w:jc w:val="both"/>
        <w:rPr/>
      </w:pPr>
      <w:r>
        <w:rPr/>
        <w:t>подкисление  - при любых величинах щелочности и общей жесткости природных вод и коэффициентах упаривания воды в системах;</w:t>
      </w:r>
    </w:p>
    <w:p>
      <w:pPr>
        <w:pStyle w:val="Normal"/>
        <w:ind w:firstLine="225"/>
        <w:jc w:val="both"/>
        <w:rPr/>
      </w:pPr>
      <w:r>
        <w:rPr/>
      </w:r>
    </w:p>
    <w:p>
      <w:pPr>
        <w:pStyle w:val="Normal"/>
        <w:ind w:firstLine="225"/>
        <w:jc w:val="both"/>
        <w:rPr/>
      </w:pPr>
      <w:r>
        <w:rPr/>
        <w:t>фосфатирование -  при щелочности добавочной воды Щ(доб) до 5,5 мг-экв/л;</w:t>
      </w:r>
    </w:p>
    <w:p>
      <w:pPr>
        <w:pStyle w:val="Normal"/>
        <w:ind w:firstLine="225"/>
        <w:jc w:val="both"/>
        <w:rPr/>
      </w:pPr>
      <w:r>
        <w:rPr/>
      </w:r>
    </w:p>
    <w:p>
      <w:pPr>
        <w:pStyle w:val="Normal"/>
        <w:ind w:firstLine="225"/>
        <w:jc w:val="both"/>
        <w:rPr/>
      </w:pPr>
      <w:r>
        <w:rPr/>
        <w:t>комбинированную фосфатно-кислотную обработку воды - в случаях, когда фосфатирование не предотвращает карбонатных отложений или величина продувки экономически нецелесообразна;</w:t>
      </w:r>
    </w:p>
    <w:p>
      <w:pPr>
        <w:pStyle w:val="Normal"/>
        <w:ind w:firstLine="225"/>
        <w:jc w:val="both"/>
        <w:rPr/>
      </w:pPr>
      <w:r>
        <w:rPr/>
      </w:r>
    </w:p>
    <w:p>
      <w:pPr>
        <w:pStyle w:val="Normal"/>
        <w:ind w:firstLine="225"/>
        <w:jc w:val="both"/>
        <w:rPr/>
      </w:pPr>
      <w:r>
        <w:rPr/>
        <w:t>рекарбонизацию дымовыми газами или газообразной углекислотой - при щелочности добавочной воды до 3,5 мг-экв/л и коэффициентах упаривания, не превышающих 1,5.</w:t>
      </w:r>
    </w:p>
    <w:p>
      <w:pPr>
        <w:pStyle w:val="Normal"/>
        <w:ind w:firstLine="225"/>
        <w:jc w:val="both"/>
        <w:rPr/>
      </w:pPr>
      <w:r>
        <w:rPr/>
      </w:r>
    </w:p>
    <w:p>
      <w:pPr>
        <w:pStyle w:val="Normal"/>
        <w:ind w:firstLine="225"/>
        <w:jc w:val="both"/>
        <w:rPr/>
      </w:pPr>
      <w:r>
        <w:rPr/>
        <w:t>Дозы кислоты, углекислоты и фосфатных реагентов надлежит определять согласно рекомендуемому прил. 12.</w:t>
      </w:r>
    </w:p>
    <w:p>
      <w:pPr>
        <w:pStyle w:val="Normal"/>
        <w:ind w:firstLine="225"/>
        <w:jc w:val="both"/>
        <w:rPr/>
      </w:pPr>
      <w:r>
        <w:rPr/>
      </w:r>
    </w:p>
    <w:p>
      <w:pPr>
        <w:pStyle w:val="Normal"/>
        <w:ind w:firstLine="225"/>
        <w:jc w:val="both"/>
        <w:rPr/>
      </w:pPr>
      <w:r>
        <w:rPr/>
      </w:r>
    </w:p>
    <w:p>
      <w:pPr>
        <w:pStyle w:val="Heading"/>
        <w:jc w:val="center"/>
        <w:rPr/>
      </w:pPr>
      <w:r>
        <w:rPr/>
        <w:t>ПРЕДОТВРАЩЕНИЕ СУЛЬФАТНЫХ ОТЛОЖЕНИЙ</w:t>
      </w:r>
    </w:p>
    <w:p>
      <w:pPr>
        <w:pStyle w:val="Heading"/>
        <w:jc w:val="center"/>
        <w:rPr/>
      </w:pPr>
      <w:r>
        <w:rPr/>
      </w:r>
    </w:p>
    <w:p>
      <w:pPr>
        <w:pStyle w:val="Normal"/>
        <w:ind w:firstLine="270"/>
        <w:jc w:val="both"/>
        <w:rPr/>
      </w:pPr>
      <w:r>
        <w:rPr/>
      </w:r>
    </w:p>
    <w:p>
      <w:pPr>
        <w:pStyle w:val="Normal"/>
        <w:ind w:firstLine="225"/>
        <w:jc w:val="both"/>
        <w:rPr/>
      </w:pPr>
      <w:r>
        <w:rPr/>
        <w:t xml:space="preserve">11.21. Для предотвращения отложений сульфата кальция произведение активных концентраций </w:t>
      </w:r>
    </w:p>
    <w:tbl>
      <w:tblPr>
        <w:tblW w:w="8700" w:type="dxa"/>
        <w:jc w:val="start"/>
        <w:tblInd w:w="15" w:type="dxa"/>
        <w:tblBorders/>
        <w:tblCellMar>
          <w:top w:w="0" w:type="dxa"/>
          <w:start w:w="15" w:type="dxa"/>
          <w:bottom w:w="0" w:type="dxa"/>
          <w:end w:w="15" w:type="dxa"/>
        </w:tblCellMar>
      </w:tblPr>
      <w:tblGrid>
        <w:gridCol w:w="705"/>
        <w:gridCol w:w="1680"/>
        <w:gridCol w:w="6315"/>
      </w:tblGrid>
      <w:tr>
        <w:trPr/>
        <w:tc>
          <w:tcPr>
            <w:tcW w:w="705" w:type="dxa"/>
            <w:tcBorders/>
            <w:shd w:fill="auto" w:val="clear"/>
          </w:tcPr>
          <w:p>
            <w:pPr>
              <w:pStyle w:val="Normal"/>
              <w:rPr/>
            </w:pPr>
            <w:r>
              <w:rPr>
                <w:vanish/>
              </w:rPr>
              <w:t>#G0</w:t>
            </w:r>
            <w:r>
              <w:rPr/>
              <w:t xml:space="preserve">      ионов </w:t>
            </w:r>
          </w:p>
          <w:p>
            <w:pPr>
              <w:pStyle w:val="Normal"/>
              <w:rPr/>
            </w:pPr>
            <w:r>
              <w:rPr/>
            </w:r>
          </w:p>
        </w:tc>
        <w:tc>
          <w:tcPr>
            <w:tcW w:w="1680" w:type="dxa"/>
            <w:tcBorders/>
            <w:shd w:fill="auto" w:val="clear"/>
          </w:tcPr>
          <w:p>
            <w:pPr>
              <w:pStyle w:val="Normal"/>
              <w:rPr/>
            </w:pPr>
            <w:r>
              <w:rPr/>
              <w:t xml:space="preserve"> </w:t>
            </w:r>
          </w:p>
          <w:p>
            <w:pPr>
              <w:pStyle w:val="Normal"/>
              <w:rPr/>
            </w:pPr>
            <w:r>
              <w:rPr/>
              <w:drawing>
                <wp:inline distT="0" distB="0" distL="0" distR="0">
                  <wp:extent cx="771525" cy="207645"/>
                  <wp:effectExtent l="0" t="0" r="0" b="0"/>
                  <wp:docPr id="168" name="Изображение1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Изображение168" descr="" title=""/>
                          <pic:cNvPicPr>
                            <a:picLocks noChangeAspect="1" noChangeArrowheads="1"/>
                          </pic:cNvPicPr>
                        </pic:nvPicPr>
                        <pic:blipFill>
                          <a:blip r:embed="rId169"/>
                          <a:stretch>
                            <a:fillRect/>
                          </a:stretch>
                        </pic:blipFill>
                        <pic:spPr bwMode="auto">
                          <a:xfrm>
                            <a:off x="0" y="0"/>
                            <a:ext cx="771525" cy="207645"/>
                          </a:xfrm>
                          <a:prstGeom prst="rect">
                            <a:avLst/>
                          </a:prstGeom>
                        </pic:spPr>
                      </pic:pic>
                    </a:graphicData>
                  </a:graphic>
                </wp:inline>
              </w:drawing>
            </w:r>
            <w:r>
              <w:rPr/>
              <w:t xml:space="preserve"> </w:t>
            </w:r>
          </w:p>
          <w:p>
            <w:pPr>
              <w:pStyle w:val="Normal"/>
              <w:rPr/>
            </w:pPr>
            <w:r>
              <w:rPr/>
            </w:r>
          </w:p>
        </w:tc>
        <w:tc>
          <w:tcPr>
            <w:tcW w:w="6315" w:type="dxa"/>
            <w:tcBorders/>
            <w:shd w:fill="auto" w:val="clear"/>
          </w:tcPr>
          <w:p>
            <w:pPr>
              <w:pStyle w:val="Normal"/>
              <w:rPr/>
            </w:pPr>
            <w:r>
              <w:rPr/>
              <w:t xml:space="preserve">  </w:t>
            </w:r>
          </w:p>
          <w:p>
            <w:pPr>
              <w:pStyle w:val="Normal"/>
              <w:jc w:val="both"/>
              <w:rPr/>
            </w:pPr>
            <w:r>
              <w:rPr/>
              <w:t xml:space="preserve">в оборотной воде не должно превышать произведения растворимости </w:t>
            </w:r>
          </w:p>
          <w:p>
            <w:pPr>
              <w:pStyle w:val="Normal"/>
              <w:jc w:val="both"/>
              <w:rPr/>
            </w:pPr>
            <w:r>
              <w:rPr/>
            </w:r>
          </w:p>
        </w:tc>
      </w:tr>
    </w:tbl>
    <w:p>
      <w:pPr>
        <w:pStyle w:val="Normal"/>
        <w:ind w:firstLine="225"/>
        <w:jc w:val="both"/>
        <w:rPr/>
      </w:pPr>
      <w:r>
        <w:rPr/>
        <w:t>сульфата кальция  (рекомендуемое прил. 12).</w:t>
      </w:r>
    </w:p>
    <w:tbl>
      <w:tblPr>
        <w:tblW w:w="8775" w:type="dxa"/>
        <w:jc w:val="start"/>
        <w:tblInd w:w="165" w:type="dxa"/>
        <w:tblBorders/>
        <w:tblCellMar>
          <w:top w:w="0" w:type="dxa"/>
          <w:start w:w="15" w:type="dxa"/>
          <w:bottom w:w="0" w:type="dxa"/>
          <w:end w:w="15" w:type="dxa"/>
        </w:tblCellMar>
      </w:tblPr>
      <w:tblGrid>
        <w:gridCol w:w="7230"/>
        <w:gridCol w:w="1395"/>
        <w:gridCol w:w="150"/>
      </w:tblGrid>
      <w:tr>
        <w:trPr/>
        <w:tc>
          <w:tcPr>
            <w:tcW w:w="7230" w:type="dxa"/>
            <w:tcBorders/>
            <w:shd w:fill="auto" w:val="clear"/>
          </w:tcPr>
          <w:p>
            <w:pPr>
              <w:pStyle w:val="Normal"/>
              <w:jc w:val="both"/>
              <w:rPr>
                <w:vanish/>
              </w:rPr>
            </w:pPr>
            <w:r>
              <w:rPr>
                <w:vanish/>
              </w:rPr>
              <w:t>#G0</w:t>
            </w:r>
          </w:p>
          <w:p>
            <w:pPr>
              <w:pStyle w:val="Normal"/>
              <w:ind w:firstLine="225"/>
              <w:jc w:val="both"/>
              <w:rPr/>
            </w:pPr>
            <w:r>
              <w:rPr/>
              <w:t xml:space="preserve">11.22. Для поддержания величин произведения активных концентраций ионов </w:t>
            </w:r>
          </w:p>
          <w:p>
            <w:pPr>
              <w:pStyle w:val="Normal"/>
              <w:rPr/>
            </w:pPr>
            <w:r>
              <w:rPr/>
              <w:t xml:space="preserve">  </w:t>
            </w:r>
          </w:p>
          <w:p>
            <w:pPr>
              <w:pStyle w:val="Normal"/>
              <w:rPr/>
            </w:pPr>
            <w:r>
              <w:rPr/>
            </w:r>
          </w:p>
        </w:tc>
        <w:tc>
          <w:tcPr>
            <w:tcW w:w="1395" w:type="dxa"/>
            <w:tcBorders/>
            <w:shd w:fill="auto" w:val="clear"/>
          </w:tcPr>
          <w:p>
            <w:pPr>
              <w:pStyle w:val="Normal"/>
              <w:rPr/>
            </w:pPr>
            <w:r>
              <w:rPr/>
              <w:t xml:space="preserve">  </w:t>
            </w:r>
          </w:p>
          <w:p>
            <w:pPr>
              <w:pStyle w:val="Normal"/>
              <w:rPr/>
            </w:pPr>
            <w:r>
              <w:rPr/>
              <w:drawing>
                <wp:inline distT="0" distB="0" distL="0" distR="0">
                  <wp:extent cx="771525" cy="207645"/>
                  <wp:effectExtent l="0" t="0" r="0" b="0"/>
                  <wp:docPr id="169" name="Изображение1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Изображение169" descr="" title=""/>
                          <pic:cNvPicPr>
                            <a:picLocks noChangeAspect="1" noChangeArrowheads="1"/>
                          </pic:cNvPicPr>
                        </pic:nvPicPr>
                        <pic:blipFill>
                          <a:blip r:embed="rId170"/>
                          <a:stretch>
                            <a:fillRect/>
                          </a:stretch>
                        </pic:blipFill>
                        <pic:spPr bwMode="auto">
                          <a:xfrm>
                            <a:off x="0" y="0"/>
                            <a:ext cx="771525" cy="207645"/>
                          </a:xfrm>
                          <a:prstGeom prst="rect">
                            <a:avLst/>
                          </a:prstGeom>
                        </pic:spPr>
                      </pic:pic>
                    </a:graphicData>
                  </a:graphic>
                </wp:inline>
              </w:drawing>
            </w:r>
          </w:p>
        </w:tc>
        <w:tc>
          <w:tcPr>
            <w:tcW w:w="150" w:type="dxa"/>
            <w:tcBorders/>
            <w:shd w:fill="auto" w:val="clear"/>
          </w:tcPr>
          <w:p>
            <w:pPr>
              <w:pStyle w:val="Normal"/>
              <w:rPr/>
            </w:pPr>
            <w:r>
              <w:rPr/>
              <w:t xml:space="preserve">  </w:t>
            </w:r>
          </w:p>
          <w:p>
            <w:pPr>
              <w:pStyle w:val="Normal"/>
              <w:rPr/>
            </w:pPr>
            <w:r>
              <w:rPr/>
            </w:r>
          </w:p>
        </w:tc>
      </w:tr>
    </w:tbl>
    <w:p>
      <w:pPr>
        <w:pStyle w:val="Normal"/>
        <w:jc w:val="both"/>
        <w:rPr/>
      </w:pPr>
      <w:r>
        <w:rPr/>
        <w:t xml:space="preserve">в указанных пределах следует принимать соответствующий коэффициент упаривания оборотной воды путем изменения величины продувки системы или частичного снижения концентраций ионов </w:t>
      </w:r>
    </w:p>
    <w:tbl>
      <w:tblPr>
        <w:tblW w:w="5190" w:type="dxa"/>
        <w:jc w:val="start"/>
        <w:tblInd w:w="15" w:type="dxa"/>
        <w:tblBorders/>
        <w:tblCellMar>
          <w:top w:w="0" w:type="dxa"/>
          <w:start w:w="15" w:type="dxa"/>
          <w:bottom w:w="0" w:type="dxa"/>
          <w:end w:w="15" w:type="dxa"/>
        </w:tblCellMar>
      </w:tblPr>
      <w:tblGrid>
        <w:gridCol w:w="1395"/>
        <w:gridCol w:w="3795"/>
      </w:tblGrid>
      <w:tr>
        <w:trPr/>
        <w:tc>
          <w:tcPr>
            <w:tcW w:w="1395" w:type="dxa"/>
            <w:tcBorders/>
            <w:shd w:fill="auto" w:val="clear"/>
          </w:tcPr>
          <w:p>
            <w:pPr>
              <w:pStyle w:val="Normal"/>
              <w:rPr/>
            </w:pPr>
            <w:r>
              <w:rPr>
                <w:vanish/>
              </w:rPr>
              <w:t>#G0</w:t>
            </w:r>
            <w:r>
              <w:rPr/>
              <w:t xml:space="preserve">  </w:t>
            </w:r>
          </w:p>
          <w:p>
            <w:pPr>
              <w:pStyle w:val="Normal"/>
              <w:rPr/>
            </w:pPr>
            <w:r>
              <w:rPr/>
              <w:drawing>
                <wp:inline distT="0" distB="0" distL="0" distR="0">
                  <wp:extent cx="771525" cy="207645"/>
                  <wp:effectExtent l="0" t="0" r="0" b="0"/>
                  <wp:docPr id="170" name="Изображение1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Изображение170" descr="" title=""/>
                          <pic:cNvPicPr>
                            <a:picLocks noChangeAspect="1" noChangeArrowheads="1"/>
                          </pic:cNvPicPr>
                        </pic:nvPicPr>
                        <pic:blipFill>
                          <a:blip r:embed="rId171"/>
                          <a:stretch>
                            <a:fillRect/>
                          </a:stretch>
                        </pic:blipFill>
                        <pic:spPr bwMode="auto">
                          <a:xfrm>
                            <a:off x="0" y="0"/>
                            <a:ext cx="771525" cy="207645"/>
                          </a:xfrm>
                          <a:prstGeom prst="rect">
                            <a:avLst/>
                          </a:prstGeom>
                        </pic:spPr>
                      </pic:pic>
                    </a:graphicData>
                  </a:graphic>
                </wp:inline>
              </w:drawing>
            </w:r>
          </w:p>
        </w:tc>
        <w:tc>
          <w:tcPr>
            <w:tcW w:w="3795" w:type="dxa"/>
            <w:tcBorders/>
            <w:shd w:fill="auto" w:val="clear"/>
          </w:tcPr>
          <w:p>
            <w:pPr>
              <w:pStyle w:val="Normal"/>
              <w:rPr/>
            </w:pPr>
            <w:r>
              <w:rPr/>
              <w:t xml:space="preserve"> </w:t>
            </w:r>
          </w:p>
          <w:p>
            <w:pPr>
              <w:pStyle w:val="Normal"/>
              <w:ind w:firstLine="90"/>
              <w:jc w:val="both"/>
              <w:rPr/>
            </w:pPr>
            <w:r>
              <w:rPr/>
              <w:t>в добавочной воде.</w:t>
            </w:r>
          </w:p>
          <w:p>
            <w:pPr>
              <w:pStyle w:val="Normal"/>
              <w:rPr/>
            </w:pPr>
            <w:r>
              <w:rPr/>
              <w:t xml:space="preserve"> </w:t>
            </w:r>
          </w:p>
          <w:p>
            <w:pPr>
              <w:pStyle w:val="Normal"/>
              <w:rPr/>
            </w:pPr>
            <w:r>
              <w:rPr/>
            </w:r>
          </w:p>
        </w:tc>
      </w:tr>
    </w:tbl>
    <w:p>
      <w:pPr>
        <w:pStyle w:val="Normal"/>
        <w:jc w:val="both"/>
        <w:rPr/>
      </w:pPr>
      <w:r>
        <w:rPr/>
      </w:r>
    </w:p>
    <w:p>
      <w:pPr>
        <w:pStyle w:val="Normal"/>
        <w:ind w:firstLine="225"/>
        <w:jc w:val="both"/>
        <w:rPr/>
      </w:pPr>
      <w:r>
        <w:rPr/>
        <w:t xml:space="preserve">11.23. Для борьбы с сульфатными отложениями в системах оборотного водоснабжения надлежит принимать обработку воды триполифосфатом натрия дозой 10 мг/л по </w:t>
      </w:r>
    </w:p>
    <w:tbl>
      <w:tblPr>
        <w:tblW w:w="5865" w:type="dxa"/>
        <w:jc w:val="start"/>
        <w:tblInd w:w="15" w:type="dxa"/>
        <w:tblBorders/>
        <w:tblCellMar>
          <w:top w:w="0" w:type="dxa"/>
          <w:start w:w="15" w:type="dxa"/>
          <w:bottom w:w="0" w:type="dxa"/>
          <w:end w:w="15" w:type="dxa"/>
        </w:tblCellMar>
      </w:tblPr>
      <w:tblGrid>
        <w:gridCol w:w="765"/>
        <w:gridCol w:w="5100"/>
      </w:tblGrid>
      <w:tr>
        <w:trPr/>
        <w:tc>
          <w:tcPr>
            <w:tcW w:w="765" w:type="dxa"/>
            <w:tcBorders/>
            <w:shd w:fill="auto" w:val="clear"/>
          </w:tcPr>
          <w:p>
            <w:pPr>
              <w:pStyle w:val="Normal"/>
              <w:rPr/>
            </w:pPr>
            <w:r>
              <w:rPr>
                <w:vanish/>
              </w:rPr>
              <w:t>#G0</w:t>
            </w:r>
            <w:r>
              <w:rPr/>
              <w:t xml:space="preserve">  </w:t>
            </w:r>
          </w:p>
          <w:p>
            <w:pPr>
              <w:pStyle w:val="Normal"/>
              <w:rPr/>
            </w:pPr>
            <w:r>
              <w:rPr/>
              <w:drawing>
                <wp:inline distT="0" distB="0" distL="0" distR="0">
                  <wp:extent cx="322580" cy="207645"/>
                  <wp:effectExtent l="0" t="0" r="0" b="0"/>
                  <wp:docPr id="171" name="Изображение1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Изображение171" descr="" title=""/>
                          <pic:cNvPicPr>
                            <a:picLocks noChangeAspect="1" noChangeArrowheads="1"/>
                          </pic:cNvPicPr>
                        </pic:nvPicPr>
                        <pic:blipFill>
                          <a:blip r:embed="rId172"/>
                          <a:stretch>
                            <a:fillRect/>
                          </a:stretch>
                        </pic:blipFill>
                        <pic:spPr bwMode="auto">
                          <a:xfrm>
                            <a:off x="0" y="0"/>
                            <a:ext cx="322580" cy="207645"/>
                          </a:xfrm>
                          <a:prstGeom prst="rect">
                            <a:avLst/>
                          </a:prstGeom>
                        </pic:spPr>
                      </pic:pic>
                    </a:graphicData>
                  </a:graphic>
                </wp:inline>
              </w:drawing>
            </w:r>
          </w:p>
        </w:tc>
        <w:tc>
          <w:tcPr>
            <w:tcW w:w="5100" w:type="dxa"/>
            <w:tcBorders/>
            <w:shd w:fill="auto" w:val="clear"/>
          </w:tcPr>
          <w:p>
            <w:pPr>
              <w:pStyle w:val="Normal"/>
              <w:snapToGrid w:val="false"/>
              <w:jc w:val="both"/>
              <w:rPr/>
            </w:pPr>
            <w:r>
              <w:rPr/>
            </w:r>
          </w:p>
          <w:p>
            <w:pPr>
              <w:pStyle w:val="Normal"/>
              <w:ind w:firstLine="225"/>
              <w:jc w:val="both"/>
              <w:rPr/>
            </w:pPr>
            <w:r>
              <w:rPr/>
              <w:t>или карбоксиметилцеллюлозой дозой 5 мг/л.</w:t>
            </w:r>
          </w:p>
          <w:p>
            <w:pPr>
              <w:pStyle w:val="Normal"/>
              <w:rPr/>
            </w:pPr>
            <w:r>
              <w:rPr/>
              <w:t xml:space="preserve">  </w:t>
            </w:r>
          </w:p>
          <w:p>
            <w:pPr>
              <w:pStyle w:val="Normal"/>
              <w:rPr/>
            </w:pPr>
            <w:r>
              <w:rPr/>
            </w:r>
          </w:p>
        </w:tc>
      </w:tr>
    </w:tbl>
    <w:p>
      <w:pPr>
        <w:pStyle w:val="Normal"/>
        <w:jc w:val="both"/>
        <w:rPr/>
      </w:pPr>
      <w:r>
        <w:rPr/>
      </w:r>
    </w:p>
    <w:p>
      <w:pPr>
        <w:pStyle w:val="Normal"/>
        <w:ind w:firstLine="225"/>
        <w:jc w:val="both"/>
        <w:rPr/>
      </w:pPr>
      <w:r>
        <w:rPr/>
      </w:r>
    </w:p>
    <w:p>
      <w:pPr>
        <w:pStyle w:val="Heading"/>
        <w:jc w:val="center"/>
        <w:rPr/>
      </w:pPr>
      <w:r>
        <w:rPr/>
        <w:t>ПРЕДОТВРАЩЕНИЕ КОРРОЗИИ</w:t>
      </w:r>
    </w:p>
    <w:p>
      <w:pPr>
        <w:pStyle w:val="Heading"/>
        <w:jc w:val="center"/>
        <w:rPr/>
      </w:pPr>
      <w:r>
        <w:rPr/>
      </w:r>
    </w:p>
    <w:p>
      <w:pPr>
        <w:pStyle w:val="Normal"/>
        <w:ind w:firstLine="270"/>
        <w:jc w:val="both"/>
        <w:rPr/>
      </w:pPr>
      <w:r>
        <w:rPr/>
      </w:r>
    </w:p>
    <w:p>
      <w:pPr>
        <w:pStyle w:val="Normal"/>
        <w:ind w:firstLine="225"/>
        <w:jc w:val="both"/>
        <w:rPr/>
      </w:pPr>
      <w:r>
        <w:rPr/>
        <w:t>11.24. Для предотвращения коррозии трубопроводов и теплообменных аппаратов следует применять обработку воды ингибиторами, защитные покрытия и электрохимическую защиту.</w:t>
      </w:r>
    </w:p>
    <w:p>
      <w:pPr>
        <w:pStyle w:val="Normal"/>
        <w:ind w:firstLine="225"/>
        <w:jc w:val="both"/>
        <w:rPr/>
      </w:pPr>
      <w:r>
        <w:rPr/>
      </w:r>
    </w:p>
    <w:p>
      <w:pPr>
        <w:pStyle w:val="Normal"/>
        <w:ind w:firstLine="225"/>
        <w:jc w:val="both"/>
        <w:rPr/>
      </w:pPr>
      <w:r>
        <w:rPr/>
        <w:t>11.25. При применении ингибиторов и защитных покрытий в системах оборотного водоснабжения следует предусматривать тщательную очистку теплообменных аппаратов и трубопроводов от отложений и обрастаний.</w:t>
      </w:r>
    </w:p>
    <w:p>
      <w:pPr>
        <w:pStyle w:val="Normal"/>
        <w:ind w:firstLine="225"/>
        <w:jc w:val="both"/>
        <w:rPr/>
      </w:pPr>
      <w:r>
        <w:rPr/>
      </w:r>
    </w:p>
    <w:p>
      <w:pPr>
        <w:pStyle w:val="Normal"/>
        <w:ind w:firstLine="225"/>
        <w:jc w:val="both"/>
        <w:rPr/>
      </w:pPr>
      <w:r>
        <w:rPr/>
        <w:t>11.26. В качестве ингибиторов следует применять триполифосфат натрия, гексаметафосфат натрия, трехкомпонентную композицию (гексаметафосфат или триполифосфат натрия, сульфат цинка и бихромат калия), силикат натрия и др.</w:t>
      </w:r>
    </w:p>
    <w:p>
      <w:pPr>
        <w:pStyle w:val="Normal"/>
        <w:ind w:firstLine="225"/>
        <w:jc w:val="both"/>
        <w:rPr/>
      </w:pPr>
      <w:r>
        <w:rPr/>
      </w:r>
    </w:p>
    <w:p>
      <w:pPr>
        <w:pStyle w:val="Normal"/>
        <w:ind w:firstLine="225"/>
        <w:jc w:val="both"/>
        <w:rPr/>
      </w:pPr>
      <w:r>
        <w:rPr/>
        <w:t>Наиболее эффективный вид ингибитора коррозии должен определяться в каждом конкретном случае опытным путем.</w:t>
      </w:r>
    </w:p>
    <w:p>
      <w:pPr>
        <w:pStyle w:val="Normal"/>
        <w:ind w:firstLine="225"/>
        <w:jc w:val="both"/>
        <w:rPr/>
      </w:pPr>
      <w:r>
        <w:rPr/>
      </w:r>
    </w:p>
    <w:p>
      <w:pPr>
        <w:pStyle w:val="Normal"/>
        <w:ind w:firstLine="225"/>
        <w:jc w:val="both"/>
        <w:rPr/>
      </w:pPr>
      <w:r>
        <w:rPr/>
      </w:r>
    </w:p>
    <w:p>
      <w:pPr>
        <w:pStyle w:val="Normal"/>
        <w:ind w:firstLine="225"/>
        <w:jc w:val="both"/>
        <w:rPr/>
      </w:pPr>
      <w:r>
        <w:rPr/>
        <w:t>Примечание. При обосновании допускается применять нитрит натрия и фосфорорганические соединения.</w:t>
      </w:r>
    </w:p>
    <w:p>
      <w:pPr>
        <w:pStyle w:val="Normal"/>
        <w:ind w:firstLine="225"/>
        <w:jc w:val="both"/>
        <w:rPr/>
      </w:pPr>
      <w:r>
        <w:rPr/>
      </w:r>
    </w:p>
    <w:p>
      <w:pPr>
        <w:pStyle w:val="Normal"/>
        <w:ind w:firstLine="225"/>
        <w:jc w:val="both"/>
        <w:rPr/>
      </w:pPr>
      <w:r>
        <w:rPr/>
      </w:r>
    </w:p>
    <w:p>
      <w:pPr>
        <w:pStyle w:val="Normal"/>
        <w:ind w:firstLine="225"/>
        <w:jc w:val="both"/>
        <w:rPr/>
      </w:pPr>
      <w:r>
        <w:rPr/>
        <w:t xml:space="preserve">11.27. При использовании триполифосфата и гексаметафосфата натрия для создания защитной фосфатной пленки концентрация ингибиторов в воде оборотной системы в течение 2-3 сут должна </w:t>
      </w:r>
    </w:p>
    <w:tbl>
      <w:tblPr>
        <w:tblW w:w="7875" w:type="dxa"/>
        <w:jc w:val="start"/>
        <w:tblInd w:w="30" w:type="dxa"/>
        <w:tblBorders/>
        <w:tblCellMar>
          <w:top w:w="0" w:type="dxa"/>
          <w:start w:w="15" w:type="dxa"/>
          <w:bottom w:w="0" w:type="dxa"/>
          <w:end w:w="15" w:type="dxa"/>
        </w:tblCellMar>
      </w:tblPr>
      <w:tblGrid>
        <w:gridCol w:w="1980"/>
        <w:gridCol w:w="1380"/>
        <w:gridCol w:w="1155"/>
        <w:gridCol w:w="30"/>
        <w:gridCol w:w="3330"/>
      </w:tblGrid>
      <w:tr>
        <w:trPr/>
        <w:tc>
          <w:tcPr>
            <w:tcW w:w="1980" w:type="dxa"/>
            <w:tcBorders/>
            <w:shd w:fill="auto" w:val="clear"/>
          </w:tcPr>
          <w:p>
            <w:pPr>
              <w:pStyle w:val="Normal"/>
              <w:rPr/>
            </w:pPr>
            <w:r>
              <w:rPr>
                <w:vanish/>
              </w:rPr>
              <w:t>#G0</w:t>
            </w:r>
            <w:r>
              <w:rPr/>
              <w:t xml:space="preserve">приниматься 100 мг/л </w:t>
            </w:r>
          </w:p>
          <w:p>
            <w:pPr>
              <w:pStyle w:val="Normal"/>
              <w:rPr/>
            </w:pPr>
            <w:r>
              <w:rPr/>
            </w:r>
          </w:p>
        </w:tc>
        <w:tc>
          <w:tcPr>
            <w:tcW w:w="1380" w:type="dxa"/>
            <w:tcBorders/>
            <w:shd w:fill="auto" w:val="clear"/>
          </w:tcPr>
          <w:p>
            <w:pPr>
              <w:pStyle w:val="Normal"/>
              <w:rPr/>
            </w:pPr>
            <w:r>
              <w:rPr/>
              <w:t xml:space="preserve"> </w:t>
            </w:r>
            <w:r>
              <w:rPr/>
              <w:t xml:space="preserve">( в расчете на </w:t>
            </w:r>
          </w:p>
          <w:p>
            <w:pPr>
              <w:pStyle w:val="Normal"/>
              <w:rPr/>
            </w:pPr>
            <w:r>
              <w:rPr/>
            </w:r>
          </w:p>
        </w:tc>
        <w:tc>
          <w:tcPr>
            <w:tcW w:w="1185" w:type="dxa"/>
            <w:gridSpan w:val="2"/>
            <w:tcBorders/>
            <w:shd w:fill="auto" w:val="clear"/>
          </w:tcPr>
          <w:p>
            <w:pPr>
              <w:pStyle w:val="Normal"/>
              <w:rPr/>
            </w:pPr>
            <w:r>
              <w:rPr/>
              <w:drawing>
                <wp:inline distT="0" distB="0" distL="0" distR="0">
                  <wp:extent cx="403225" cy="184150"/>
                  <wp:effectExtent l="0" t="0" r="0" b="0"/>
                  <wp:docPr id="172" name="Изображение1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Изображение172" descr="" title=""/>
                          <pic:cNvPicPr>
                            <a:picLocks noChangeAspect="1" noChangeArrowheads="1"/>
                          </pic:cNvPicPr>
                        </pic:nvPicPr>
                        <pic:blipFill>
                          <a:blip r:embed="rId173"/>
                          <a:stretch>
                            <a:fillRect/>
                          </a:stretch>
                        </pic:blipFill>
                        <pic:spPr bwMode="auto">
                          <a:xfrm>
                            <a:off x="0" y="0"/>
                            <a:ext cx="403225" cy="184150"/>
                          </a:xfrm>
                          <a:prstGeom prst="rect">
                            <a:avLst/>
                          </a:prstGeom>
                        </pic:spPr>
                      </pic:pic>
                    </a:graphicData>
                  </a:graphic>
                </wp:inline>
              </w:drawing>
            </w:r>
            <w:r>
              <w:rPr/>
              <w:t xml:space="preserve">  </w:t>
            </w:r>
          </w:p>
          <w:p>
            <w:pPr>
              <w:pStyle w:val="Normal"/>
              <w:rPr/>
            </w:pPr>
            <w:r>
              <w:rPr/>
            </w:r>
          </w:p>
        </w:tc>
        <w:tc>
          <w:tcPr>
            <w:tcW w:w="3330" w:type="dxa"/>
            <w:tcBorders/>
            <w:shd w:fill="auto" w:val="clear"/>
          </w:tcPr>
          <w:p>
            <w:pPr>
              <w:pStyle w:val="Normal"/>
              <w:rPr/>
            </w:pPr>
            <w:r>
              <w:rPr/>
              <w:t xml:space="preserve">в добавочной воде для поддержания </w:t>
            </w:r>
          </w:p>
          <w:p>
            <w:pPr>
              <w:pStyle w:val="Normal"/>
              <w:rPr/>
            </w:pPr>
            <w:r>
              <w:rPr/>
            </w:r>
          </w:p>
        </w:tc>
      </w:tr>
      <w:tr>
        <w:trPr/>
        <w:tc>
          <w:tcPr>
            <w:tcW w:w="1980" w:type="dxa"/>
            <w:tcBorders/>
            <w:shd w:fill="auto" w:val="clear"/>
          </w:tcPr>
          <w:p>
            <w:pPr>
              <w:pStyle w:val="Normal"/>
              <w:rPr/>
            </w:pPr>
            <w:r>
              <w:rPr/>
              <w:t>фосфатной пленки  -</w:t>
            </w:r>
          </w:p>
          <w:p>
            <w:pPr>
              <w:pStyle w:val="Normal"/>
              <w:rPr/>
            </w:pPr>
            <w:r>
              <w:rPr/>
            </w:r>
          </w:p>
        </w:tc>
        <w:tc>
          <w:tcPr>
            <w:tcW w:w="1380" w:type="dxa"/>
            <w:tcBorders/>
            <w:shd w:fill="auto" w:val="clear"/>
          </w:tcPr>
          <w:p>
            <w:pPr>
              <w:pStyle w:val="Normal"/>
              <w:rPr/>
            </w:pPr>
            <w:r>
              <w:rPr/>
              <w:t xml:space="preserve">7-15 мгл по      </w:t>
            </w:r>
          </w:p>
          <w:p>
            <w:pPr>
              <w:pStyle w:val="Normal"/>
              <w:rPr/>
            </w:pPr>
            <w:r>
              <w:rPr/>
            </w:r>
          </w:p>
        </w:tc>
        <w:tc>
          <w:tcPr>
            <w:tcW w:w="1155" w:type="dxa"/>
            <w:tcBorders/>
            <w:shd w:fill="auto" w:val="clear"/>
          </w:tcPr>
          <w:p>
            <w:pPr>
              <w:pStyle w:val="Normal"/>
              <w:rPr/>
            </w:pPr>
            <w:r>
              <w:rPr/>
              <w:drawing>
                <wp:inline distT="0" distB="0" distL="0" distR="0">
                  <wp:extent cx="345440" cy="184150"/>
                  <wp:effectExtent l="0" t="0" r="0" b="0"/>
                  <wp:docPr id="173" name="Изображение1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Изображение173" descr="" title=""/>
                          <pic:cNvPicPr>
                            <a:picLocks noChangeAspect="1" noChangeArrowheads="1"/>
                          </pic:cNvPicPr>
                        </pic:nvPicPr>
                        <pic:blipFill>
                          <a:blip r:embed="rId174"/>
                          <a:stretch>
                            <a:fillRect/>
                          </a:stretch>
                        </pic:blipFill>
                        <pic:spPr bwMode="auto">
                          <a:xfrm>
                            <a:off x="0" y="0"/>
                            <a:ext cx="345440" cy="184150"/>
                          </a:xfrm>
                          <a:prstGeom prst="rect">
                            <a:avLst/>
                          </a:prstGeom>
                        </pic:spPr>
                      </pic:pic>
                    </a:graphicData>
                  </a:graphic>
                </wp:inline>
              </w:drawing>
            </w:r>
            <w:r>
              <w:rPr/>
              <w:t xml:space="preserve">          </w:t>
            </w:r>
          </w:p>
          <w:p>
            <w:pPr>
              <w:pStyle w:val="Normal"/>
              <w:rPr/>
            </w:pPr>
            <w:r>
              <w:rPr/>
            </w:r>
          </w:p>
        </w:tc>
        <w:tc>
          <w:tcPr>
            <w:tcW w:w="3360" w:type="dxa"/>
            <w:gridSpan w:val="2"/>
            <w:tcBorders/>
            <w:shd w:fill="auto" w:val="clear"/>
          </w:tcPr>
          <w:p>
            <w:pPr>
              <w:pStyle w:val="Normal"/>
              <w:jc w:val="both"/>
              <w:rPr/>
            </w:pPr>
            <w:r>
              <w:rPr/>
              <w:t xml:space="preserve">При этом скорость движения воды в </w:t>
            </w:r>
          </w:p>
          <w:p>
            <w:pPr>
              <w:pStyle w:val="Normal"/>
              <w:jc w:val="both"/>
              <w:rPr/>
            </w:pPr>
            <w:r>
              <w:rPr/>
            </w:r>
          </w:p>
        </w:tc>
      </w:tr>
    </w:tbl>
    <w:p>
      <w:pPr>
        <w:pStyle w:val="Normal"/>
        <w:ind w:firstLine="45"/>
        <w:jc w:val="both"/>
        <w:rPr/>
      </w:pPr>
      <w:r>
        <w:rPr/>
        <w:t>теплообменных аппаратах должна быть не менее 0,3 м/с.</w:t>
      </w:r>
    </w:p>
    <w:p>
      <w:pPr>
        <w:pStyle w:val="Normal"/>
        <w:ind w:firstLine="45"/>
        <w:jc w:val="both"/>
        <w:rPr/>
      </w:pPr>
      <w:r>
        <w:rPr/>
      </w:r>
    </w:p>
    <w:p>
      <w:pPr>
        <w:pStyle w:val="Normal"/>
        <w:ind w:firstLine="225"/>
        <w:jc w:val="both"/>
        <w:rPr/>
      </w:pPr>
      <w:r>
        <w:rPr/>
        <w:t xml:space="preserve">11.28. При применении трехкомпонентного ингибитора дозу бихромата калия следует принимать </w:t>
      </w:r>
    </w:p>
    <w:tbl>
      <w:tblPr>
        <w:tblW w:w="8235" w:type="dxa"/>
        <w:jc w:val="start"/>
        <w:tblInd w:w="15" w:type="dxa"/>
        <w:tblBorders/>
        <w:tblCellMar>
          <w:top w:w="0" w:type="dxa"/>
          <w:start w:w="15" w:type="dxa"/>
          <w:bottom w:w="0" w:type="dxa"/>
          <w:end w:w="15" w:type="dxa"/>
        </w:tblCellMar>
      </w:tblPr>
      <w:tblGrid>
        <w:gridCol w:w="1350"/>
        <w:gridCol w:w="1485"/>
        <w:gridCol w:w="1530"/>
        <w:gridCol w:w="765"/>
        <w:gridCol w:w="285"/>
        <w:gridCol w:w="60"/>
        <w:gridCol w:w="840"/>
        <w:gridCol w:w="1920"/>
      </w:tblGrid>
      <w:tr>
        <w:trPr/>
        <w:tc>
          <w:tcPr>
            <w:tcW w:w="1350" w:type="dxa"/>
            <w:tcBorders/>
            <w:shd w:fill="auto" w:val="clear"/>
          </w:tcPr>
          <w:p>
            <w:pPr>
              <w:pStyle w:val="Normal"/>
              <w:jc w:val="both"/>
              <w:rPr>
                <w:vanish/>
              </w:rPr>
            </w:pPr>
            <w:r>
              <w:rPr>
                <w:vanish/>
              </w:rPr>
              <w:t>#G0</w:t>
            </w:r>
          </w:p>
          <w:p>
            <w:pPr>
              <w:pStyle w:val="Normal"/>
              <w:jc w:val="both"/>
              <w:rPr/>
            </w:pPr>
            <w:r>
              <w:rPr/>
              <w:t xml:space="preserve">2-4 мг/л по </w:t>
            </w:r>
          </w:p>
          <w:p>
            <w:pPr>
              <w:pStyle w:val="Normal"/>
              <w:jc w:val="both"/>
              <w:rPr/>
            </w:pPr>
            <w:r>
              <w:rPr/>
            </w:r>
          </w:p>
        </w:tc>
        <w:tc>
          <w:tcPr>
            <w:tcW w:w="1485" w:type="dxa"/>
            <w:tcBorders/>
            <w:shd w:fill="auto" w:val="clear"/>
          </w:tcPr>
          <w:p>
            <w:pPr>
              <w:pStyle w:val="Normal"/>
              <w:rPr/>
            </w:pPr>
            <w:r>
              <w:rPr/>
              <w:t xml:space="preserve">  </w:t>
            </w:r>
          </w:p>
          <w:p>
            <w:pPr>
              <w:pStyle w:val="Normal"/>
              <w:rPr/>
            </w:pPr>
            <w:r>
              <w:rPr/>
              <w:drawing>
                <wp:inline distT="0" distB="0" distL="0" distR="0">
                  <wp:extent cx="437515" cy="207645"/>
                  <wp:effectExtent l="0" t="0" r="0" b="0"/>
                  <wp:docPr id="174" name="Изображение1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Изображение174" descr="" title=""/>
                          <pic:cNvPicPr>
                            <a:picLocks noChangeAspect="1" noChangeArrowheads="1"/>
                          </pic:cNvPicPr>
                        </pic:nvPicPr>
                        <pic:blipFill>
                          <a:blip r:embed="rId175"/>
                          <a:stretch>
                            <a:fillRect/>
                          </a:stretch>
                        </pic:blipFill>
                        <pic:spPr bwMode="auto">
                          <a:xfrm>
                            <a:off x="0" y="0"/>
                            <a:ext cx="437515" cy="207645"/>
                          </a:xfrm>
                          <a:prstGeom prst="rect">
                            <a:avLst/>
                          </a:prstGeom>
                        </pic:spPr>
                      </pic:pic>
                    </a:graphicData>
                  </a:graphic>
                </wp:inline>
              </w:drawing>
            </w:r>
          </w:p>
        </w:tc>
        <w:tc>
          <w:tcPr>
            <w:tcW w:w="2580" w:type="dxa"/>
            <w:gridSpan w:val="3"/>
            <w:tcBorders/>
            <w:shd w:fill="auto" w:val="clear"/>
          </w:tcPr>
          <w:p>
            <w:pPr>
              <w:pStyle w:val="Normal"/>
              <w:snapToGrid w:val="false"/>
              <w:rPr/>
            </w:pPr>
            <w:r>
              <w:rPr/>
            </w:r>
          </w:p>
          <w:p>
            <w:pPr>
              <w:pStyle w:val="Normal"/>
              <w:rPr/>
            </w:pPr>
            <w:r>
              <w:rPr/>
              <w:t xml:space="preserve">сульфата цинка  1,5-3 мг/л по </w:t>
            </w:r>
          </w:p>
          <w:p>
            <w:pPr>
              <w:pStyle w:val="Normal"/>
              <w:rPr/>
            </w:pPr>
            <w:r>
              <w:rPr/>
            </w:r>
          </w:p>
        </w:tc>
        <w:tc>
          <w:tcPr>
            <w:tcW w:w="900" w:type="dxa"/>
            <w:gridSpan w:val="2"/>
            <w:tcBorders/>
            <w:shd w:fill="auto" w:val="clear"/>
          </w:tcPr>
          <w:p>
            <w:pPr>
              <w:pStyle w:val="Normal"/>
              <w:rPr/>
            </w:pPr>
            <w:r>
              <w:rPr/>
              <w:drawing>
                <wp:inline distT="0" distB="0" distL="0" distR="0">
                  <wp:extent cx="299720" cy="172720"/>
                  <wp:effectExtent l="0" t="0" r="0" b="0"/>
                  <wp:docPr id="175" name="Изображение1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Изображение175" descr="" title=""/>
                          <pic:cNvPicPr>
                            <a:picLocks noChangeAspect="1" noChangeArrowheads="1"/>
                          </pic:cNvPicPr>
                        </pic:nvPicPr>
                        <pic:blipFill>
                          <a:blip r:embed="rId176"/>
                          <a:stretch>
                            <a:fillRect/>
                          </a:stretch>
                        </pic:blipFill>
                        <pic:spPr bwMode="auto">
                          <a:xfrm>
                            <a:off x="0" y="0"/>
                            <a:ext cx="299720" cy="172720"/>
                          </a:xfrm>
                          <a:prstGeom prst="rect">
                            <a:avLst/>
                          </a:prstGeom>
                        </pic:spPr>
                      </pic:pic>
                    </a:graphicData>
                  </a:graphic>
                </wp:inline>
              </w:drawing>
            </w:r>
            <w:r>
              <w:rPr/>
              <w:t xml:space="preserve"> </w:t>
            </w:r>
          </w:p>
          <w:p>
            <w:pPr>
              <w:pStyle w:val="Normal"/>
              <w:rPr/>
            </w:pPr>
            <w:r>
              <w:rPr/>
            </w:r>
          </w:p>
        </w:tc>
        <w:tc>
          <w:tcPr>
            <w:tcW w:w="1920" w:type="dxa"/>
            <w:tcBorders/>
            <w:shd w:fill="auto" w:val="clear"/>
          </w:tcPr>
          <w:p>
            <w:pPr>
              <w:pStyle w:val="Normal"/>
              <w:snapToGrid w:val="false"/>
              <w:rPr/>
            </w:pPr>
            <w:r>
              <w:rPr/>
            </w:r>
          </w:p>
          <w:p>
            <w:pPr>
              <w:pStyle w:val="Normal"/>
              <w:rPr/>
            </w:pPr>
            <w:r>
              <w:rPr/>
              <w:t xml:space="preserve">и гексаметафосфата </w:t>
            </w:r>
          </w:p>
          <w:p>
            <w:pPr>
              <w:pStyle w:val="Normal"/>
              <w:rPr/>
            </w:pPr>
            <w:r>
              <w:rPr/>
            </w:r>
          </w:p>
        </w:tc>
      </w:tr>
      <w:tr>
        <w:trPr/>
        <w:tc>
          <w:tcPr>
            <w:tcW w:w="1350" w:type="dxa"/>
            <w:tcBorders/>
            <w:shd w:fill="auto" w:val="clear"/>
          </w:tcPr>
          <w:p>
            <w:pPr>
              <w:pStyle w:val="Normal"/>
              <w:rPr/>
            </w:pPr>
            <w:r>
              <w:rPr/>
              <w:t xml:space="preserve"> </w:t>
            </w:r>
            <w:r>
              <w:rPr/>
              <w:t xml:space="preserve">или </w:t>
            </w:r>
          </w:p>
          <w:p>
            <w:pPr>
              <w:pStyle w:val="Normal"/>
              <w:rPr/>
            </w:pPr>
            <w:r>
              <w:rPr/>
            </w:r>
          </w:p>
        </w:tc>
        <w:tc>
          <w:tcPr>
            <w:tcW w:w="1485" w:type="dxa"/>
            <w:tcBorders/>
            <w:shd w:fill="auto" w:val="clear"/>
          </w:tcPr>
          <w:p>
            <w:pPr>
              <w:pStyle w:val="Normal"/>
              <w:rPr/>
            </w:pPr>
            <w:r>
              <w:rPr/>
              <w:t xml:space="preserve">триполифосфата  </w:t>
            </w:r>
          </w:p>
          <w:p>
            <w:pPr>
              <w:pStyle w:val="Normal"/>
              <w:rPr/>
            </w:pPr>
            <w:r>
              <w:rPr/>
            </w:r>
          </w:p>
        </w:tc>
        <w:tc>
          <w:tcPr>
            <w:tcW w:w="1530" w:type="dxa"/>
            <w:tcBorders/>
            <w:shd w:fill="auto" w:val="clear"/>
          </w:tcPr>
          <w:p>
            <w:pPr>
              <w:pStyle w:val="Normal"/>
              <w:rPr/>
            </w:pPr>
            <w:r>
              <w:rPr/>
              <w:t xml:space="preserve">натрия - 3-5 мгл </w:t>
            </w:r>
          </w:p>
          <w:p>
            <w:pPr>
              <w:pStyle w:val="Normal"/>
              <w:rPr/>
            </w:pPr>
            <w:r>
              <w:rPr/>
            </w:r>
          </w:p>
        </w:tc>
        <w:tc>
          <w:tcPr>
            <w:tcW w:w="765" w:type="dxa"/>
            <w:tcBorders/>
            <w:shd w:fill="auto" w:val="clear"/>
          </w:tcPr>
          <w:p>
            <w:pPr>
              <w:pStyle w:val="Normal"/>
              <w:rPr/>
            </w:pPr>
            <w:r>
              <w:rPr/>
              <w:drawing>
                <wp:inline distT="0" distB="0" distL="0" distR="0">
                  <wp:extent cx="322580" cy="207645"/>
                  <wp:effectExtent l="0" t="0" r="0" b="0"/>
                  <wp:docPr id="176" name="Изображение1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Изображение176" descr="" title=""/>
                          <pic:cNvPicPr>
                            <a:picLocks noChangeAspect="1" noChangeArrowheads="1"/>
                          </pic:cNvPicPr>
                        </pic:nvPicPr>
                        <pic:blipFill>
                          <a:blip r:embed="rId177"/>
                          <a:stretch>
                            <a:fillRect/>
                          </a:stretch>
                        </pic:blipFill>
                        <pic:spPr bwMode="auto">
                          <a:xfrm>
                            <a:off x="0" y="0"/>
                            <a:ext cx="322580" cy="207645"/>
                          </a:xfrm>
                          <a:prstGeom prst="rect">
                            <a:avLst/>
                          </a:prstGeom>
                        </pic:spPr>
                      </pic:pic>
                    </a:graphicData>
                  </a:graphic>
                </wp:inline>
              </w:drawing>
            </w:r>
          </w:p>
        </w:tc>
        <w:tc>
          <w:tcPr>
            <w:tcW w:w="345" w:type="dxa"/>
            <w:gridSpan w:val="2"/>
            <w:tcBorders/>
            <w:shd w:fill="auto" w:val="clear"/>
          </w:tcPr>
          <w:p>
            <w:pPr>
              <w:pStyle w:val="Normal"/>
              <w:rPr/>
            </w:pPr>
            <w:r>
              <w:rPr/>
              <w:t>.</w:t>
            </w:r>
          </w:p>
          <w:p>
            <w:pPr>
              <w:pStyle w:val="Normal"/>
              <w:rPr/>
            </w:pPr>
            <w:r>
              <w:rPr/>
            </w:r>
          </w:p>
        </w:tc>
        <w:tc>
          <w:tcPr>
            <w:tcW w:w="2760" w:type="dxa"/>
            <w:gridSpan w:val="2"/>
            <w:tcBorders/>
            <w:shd w:fill="auto" w:val="clear"/>
            <w:tcMar>
              <w:start w:w="0" w:type="dxa"/>
              <w:end w:w="0" w:type="dxa"/>
            </w:tcMar>
          </w:tcPr>
          <w:p>
            <w:pPr>
              <w:pStyle w:val="Normal"/>
              <w:snapToGrid w:val="false"/>
              <w:rPr/>
            </w:pPr>
            <w:r>
              <w:rPr/>
            </w:r>
          </w:p>
        </w:tc>
      </w:tr>
    </w:tbl>
    <w:p>
      <w:pPr>
        <w:pStyle w:val="Normal"/>
        <w:jc w:val="both"/>
        <w:rPr/>
      </w:pPr>
      <w:r>
        <w:rPr/>
      </w:r>
    </w:p>
    <w:p>
      <w:pPr>
        <w:pStyle w:val="Normal"/>
        <w:ind w:firstLine="225"/>
        <w:jc w:val="both"/>
        <w:rPr/>
      </w:pPr>
      <w:r>
        <w:rPr/>
        <w:t>При этом необходимо определять концентрации хрома в водоеме при сбросе продувочной воды и в атмосферном воздухе рабочей зоны при уносе ветром капель воды из градирен. Эти концентрации не должны превышать предельно допустимые (ПДК).</w:t>
      </w:r>
    </w:p>
    <w:p>
      <w:pPr>
        <w:pStyle w:val="Normal"/>
        <w:ind w:firstLine="225"/>
        <w:jc w:val="both"/>
        <w:rPr/>
      </w:pPr>
      <w:r>
        <w:rPr/>
      </w:r>
    </w:p>
    <w:p>
      <w:pPr>
        <w:pStyle w:val="Normal"/>
        <w:ind w:firstLine="225"/>
        <w:jc w:val="both"/>
        <w:rPr/>
      </w:pPr>
      <w:r>
        <w:rPr/>
        <w:t xml:space="preserve">Скорость движения воды в системе должна быть не менее 0,5 м/с.     </w:t>
      </w:r>
    </w:p>
    <w:tbl>
      <w:tblPr>
        <w:tblW w:w="9405" w:type="dxa"/>
        <w:jc w:val="start"/>
        <w:tblInd w:w="165" w:type="dxa"/>
        <w:tblBorders/>
        <w:tblCellMar>
          <w:top w:w="0" w:type="dxa"/>
          <w:start w:w="15" w:type="dxa"/>
          <w:bottom w:w="0" w:type="dxa"/>
          <w:end w:w="15" w:type="dxa"/>
        </w:tblCellMar>
      </w:tblPr>
      <w:tblGrid>
        <w:gridCol w:w="6975"/>
        <w:gridCol w:w="960"/>
        <w:gridCol w:w="1470"/>
      </w:tblGrid>
      <w:tr>
        <w:trPr/>
        <w:tc>
          <w:tcPr>
            <w:tcW w:w="6975" w:type="dxa"/>
            <w:tcBorders/>
            <w:shd w:fill="auto" w:val="clear"/>
          </w:tcPr>
          <w:p>
            <w:pPr>
              <w:pStyle w:val="Normal"/>
              <w:rPr/>
            </w:pPr>
            <w:r>
              <w:rPr>
                <w:vanish/>
              </w:rPr>
              <w:t>#G0</w:t>
            </w:r>
            <w:r>
              <w:rPr/>
              <w:t xml:space="preserve"> </w:t>
            </w:r>
          </w:p>
          <w:p>
            <w:pPr>
              <w:pStyle w:val="Normal"/>
              <w:jc w:val="both"/>
              <w:rPr/>
            </w:pPr>
            <w:r>
              <w:rPr/>
              <w:t xml:space="preserve">11.29. При использовании силиката натрия дозу жидкого стекла в расчете на </w:t>
            </w:r>
          </w:p>
          <w:p>
            <w:pPr>
              <w:pStyle w:val="Normal"/>
              <w:rPr/>
            </w:pPr>
            <w:r>
              <w:rPr/>
              <w:t xml:space="preserve"> </w:t>
            </w:r>
          </w:p>
          <w:p>
            <w:pPr>
              <w:pStyle w:val="Normal"/>
              <w:rPr/>
            </w:pPr>
            <w:r>
              <w:rPr/>
            </w:r>
          </w:p>
        </w:tc>
        <w:tc>
          <w:tcPr>
            <w:tcW w:w="960" w:type="dxa"/>
            <w:tcBorders/>
            <w:shd w:fill="auto" w:val="clear"/>
          </w:tcPr>
          <w:p>
            <w:pPr>
              <w:pStyle w:val="Normal"/>
              <w:rPr/>
            </w:pPr>
            <w:r>
              <w:rPr/>
              <w:t xml:space="preserve">  </w:t>
            </w:r>
          </w:p>
          <w:p>
            <w:pPr>
              <w:pStyle w:val="Normal"/>
              <w:rPr/>
            </w:pPr>
            <w:r>
              <w:rPr/>
              <w:drawing>
                <wp:inline distT="0" distB="0" distL="0" distR="0">
                  <wp:extent cx="345440" cy="207645"/>
                  <wp:effectExtent l="0" t="0" r="0" b="0"/>
                  <wp:docPr id="177" name="Изображение1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Изображение177" descr="" title=""/>
                          <pic:cNvPicPr>
                            <a:picLocks noChangeAspect="1" noChangeArrowheads="1"/>
                          </pic:cNvPicPr>
                        </pic:nvPicPr>
                        <pic:blipFill>
                          <a:blip r:embed="rId178"/>
                          <a:stretch>
                            <a:fillRect/>
                          </a:stretch>
                        </pic:blipFill>
                        <pic:spPr bwMode="auto">
                          <a:xfrm>
                            <a:off x="0" y="0"/>
                            <a:ext cx="345440" cy="207645"/>
                          </a:xfrm>
                          <a:prstGeom prst="rect">
                            <a:avLst/>
                          </a:prstGeom>
                        </pic:spPr>
                      </pic:pic>
                    </a:graphicData>
                  </a:graphic>
                </wp:inline>
              </w:drawing>
            </w:r>
          </w:p>
        </w:tc>
        <w:tc>
          <w:tcPr>
            <w:tcW w:w="1470" w:type="dxa"/>
            <w:tcBorders/>
            <w:shd w:fill="auto" w:val="clear"/>
          </w:tcPr>
          <w:p>
            <w:pPr>
              <w:pStyle w:val="Normal"/>
              <w:rPr/>
            </w:pPr>
            <w:r>
              <w:rPr/>
              <w:t xml:space="preserve"> </w:t>
            </w:r>
          </w:p>
          <w:p>
            <w:pPr>
              <w:pStyle w:val="Normal"/>
              <w:rPr/>
            </w:pPr>
            <w:r>
              <w:rPr/>
            </w:r>
          </w:p>
        </w:tc>
      </w:tr>
    </w:tbl>
    <w:p>
      <w:pPr>
        <w:pStyle w:val="Normal"/>
        <w:jc w:val="both"/>
        <w:rPr/>
      </w:pPr>
      <w:r>
        <w:rPr/>
        <w:t>следует принимать равной 10 мг/л, при высоких концентрациях хлоридов и сульфатов (500 мг/л и более) дозу необходимо увеличивать до 30-40 мг/л.</w:t>
      </w:r>
    </w:p>
    <w:p>
      <w:pPr>
        <w:pStyle w:val="Normal"/>
        <w:jc w:val="both"/>
        <w:rPr/>
      </w:pPr>
      <w:r>
        <w:rPr/>
      </w:r>
    </w:p>
    <w:p>
      <w:pPr>
        <w:pStyle w:val="Normal"/>
        <w:ind w:firstLine="225"/>
        <w:jc w:val="both"/>
        <w:rPr/>
      </w:pPr>
      <w:r>
        <w:rPr/>
        <w:t>11.30. Защитные покрытия и электрохимическую защиту трубопроводов следует проектировать согласно пп. 8.32-8.41.</w:t>
      </w:r>
    </w:p>
    <w:p>
      <w:pPr>
        <w:pStyle w:val="Normal"/>
        <w:ind w:firstLine="225"/>
        <w:jc w:val="both"/>
        <w:rPr/>
      </w:pPr>
      <w:r>
        <w:rPr/>
      </w:r>
    </w:p>
    <w:p>
      <w:pPr>
        <w:pStyle w:val="Normal"/>
        <w:ind w:firstLine="225"/>
        <w:jc w:val="both"/>
        <w:rPr/>
      </w:pPr>
      <w:r>
        <w:rPr/>
      </w:r>
    </w:p>
    <w:p>
      <w:pPr>
        <w:pStyle w:val="Heading"/>
        <w:jc w:val="center"/>
        <w:rPr/>
      </w:pPr>
      <w:r>
        <w:rPr/>
        <w:t>ОХЛАЖДЕНИЕ ОБОРОТНОЙ ВОДЫ</w:t>
      </w:r>
    </w:p>
    <w:p>
      <w:pPr>
        <w:pStyle w:val="Heading"/>
        <w:jc w:val="center"/>
        <w:rPr/>
      </w:pPr>
      <w:r>
        <w:rPr/>
      </w:r>
    </w:p>
    <w:p>
      <w:pPr>
        <w:pStyle w:val="Normal"/>
        <w:ind w:firstLine="270"/>
        <w:jc w:val="both"/>
        <w:rPr/>
      </w:pPr>
      <w:r>
        <w:rPr/>
      </w:r>
    </w:p>
    <w:p>
      <w:pPr>
        <w:pStyle w:val="Normal"/>
        <w:ind w:firstLine="225"/>
        <w:jc w:val="both"/>
        <w:rPr/>
      </w:pPr>
      <w:r>
        <w:rPr/>
        <w:t xml:space="preserve">11.31. Тип и размеры охладителя должны приниматься с учетом: </w:t>
      </w:r>
    </w:p>
    <w:p>
      <w:pPr>
        <w:pStyle w:val="Normal"/>
        <w:ind w:firstLine="225"/>
        <w:jc w:val="both"/>
        <w:rPr/>
      </w:pPr>
      <w:r>
        <w:rPr/>
      </w:r>
    </w:p>
    <w:p>
      <w:pPr>
        <w:pStyle w:val="Normal"/>
        <w:ind w:firstLine="225"/>
        <w:jc w:val="both"/>
        <w:rPr/>
      </w:pPr>
      <w:r>
        <w:rPr/>
        <w:t>расчетных расходов воды;</w:t>
      </w:r>
    </w:p>
    <w:p>
      <w:pPr>
        <w:pStyle w:val="Normal"/>
        <w:ind w:firstLine="225"/>
        <w:jc w:val="both"/>
        <w:rPr/>
      </w:pPr>
      <w:r>
        <w:rPr/>
      </w:r>
    </w:p>
    <w:p>
      <w:pPr>
        <w:pStyle w:val="Normal"/>
        <w:ind w:firstLine="225"/>
        <w:jc w:val="both"/>
        <w:rPr/>
      </w:pPr>
      <w:r>
        <w:rPr/>
        <w:t>расчетной температуры охлажденной воды, перепада температур воды в системе и требований технологического процесса к устойчивости охладительного эффекта;</w:t>
      </w:r>
    </w:p>
    <w:p>
      <w:pPr>
        <w:pStyle w:val="Normal"/>
        <w:ind w:firstLine="225"/>
        <w:jc w:val="both"/>
        <w:rPr/>
      </w:pPr>
      <w:r>
        <w:rPr/>
      </w:r>
    </w:p>
    <w:p>
      <w:pPr>
        <w:pStyle w:val="Normal"/>
        <w:ind w:firstLine="225"/>
        <w:jc w:val="both"/>
        <w:rPr/>
      </w:pPr>
      <w:r>
        <w:rPr/>
        <w:t>режима работы охладителя (постоянный или периодический);</w:t>
      </w:r>
    </w:p>
    <w:p>
      <w:pPr>
        <w:pStyle w:val="Normal"/>
        <w:ind w:firstLine="225"/>
        <w:jc w:val="both"/>
        <w:rPr/>
      </w:pPr>
      <w:r>
        <w:rPr/>
      </w:r>
    </w:p>
    <w:p>
      <w:pPr>
        <w:pStyle w:val="Normal"/>
        <w:ind w:firstLine="225"/>
        <w:jc w:val="both"/>
        <w:rPr/>
      </w:pPr>
      <w:r>
        <w:rPr/>
        <w:t xml:space="preserve">расчетных метеорологических параметров; </w:t>
      </w:r>
    </w:p>
    <w:p>
      <w:pPr>
        <w:pStyle w:val="Normal"/>
        <w:ind w:firstLine="225"/>
        <w:jc w:val="both"/>
        <w:rPr/>
      </w:pPr>
      <w:r>
        <w:rPr/>
      </w:r>
    </w:p>
    <w:p>
      <w:pPr>
        <w:pStyle w:val="Normal"/>
        <w:ind w:firstLine="225"/>
        <w:jc w:val="both"/>
        <w:rPr/>
      </w:pPr>
      <w:r>
        <w:rPr/>
        <w:t>условий размещения охладителя на площадке предприятия, характера застройки окружающей территории, допустимого уровня шума, влияния уноса ветром капель воды из охладителей на окружающую среду;</w:t>
      </w:r>
    </w:p>
    <w:p>
      <w:pPr>
        <w:pStyle w:val="Normal"/>
        <w:ind w:firstLine="225"/>
        <w:jc w:val="both"/>
        <w:rPr/>
      </w:pPr>
      <w:r>
        <w:rPr/>
      </w:r>
    </w:p>
    <w:p>
      <w:pPr>
        <w:pStyle w:val="Normal"/>
        <w:ind w:firstLine="225"/>
        <w:jc w:val="both"/>
        <w:rPr/>
      </w:pPr>
      <w:r>
        <w:rPr/>
        <w:t>химического состава добавочной и оборотной воды и др.</w:t>
      </w:r>
    </w:p>
    <w:p>
      <w:pPr>
        <w:pStyle w:val="Normal"/>
        <w:ind w:firstLine="225"/>
        <w:jc w:val="both"/>
        <w:rPr/>
      </w:pPr>
      <w:r>
        <w:rPr/>
      </w:r>
    </w:p>
    <w:p>
      <w:pPr>
        <w:pStyle w:val="Normal"/>
        <w:ind w:firstLine="225"/>
        <w:jc w:val="both"/>
        <w:rPr/>
      </w:pPr>
      <w:r>
        <w:rPr/>
        <w:t>11.32. Область применения охладителей воды надлежит принимать по табл. 39.</w:t>
      </w:r>
    </w:p>
    <w:p>
      <w:pPr>
        <w:pStyle w:val="Normal"/>
        <w:ind w:firstLine="225"/>
        <w:jc w:val="both"/>
        <w:rPr/>
      </w:pPr>
      <w:r>
        <w:rPr/>
      </w:r>
    </w:p>
    <w:p>
      <w:pPr>
        <w:pStyle w:val="Normal"/>
        <w:jc w:val="end"/>
        <w:rPr/>
      </w:pPr>
      <w:r>
        <w:rPr/>
        <w:t xml:space="preserve">Таблица 39 </w:t>
      </w:r>
    </w:p>
    <w:p>
      <w:pPr>
        <w:pStyle w:val="Normal"/>
        <w:ind w:firstLine="270"/>
        <w:jc w:val="both"/>
        <w:rPr/>
      </w:pPr>
      <w:r>
        <w:rPr/>
      </w:r>
    </w:p>
    <w:p>
      <w:pPr>
        <w:pStyle w:val="Normal"/>
        <w:ind w:firstLine="270"/>
        <w:jc w:val="both"/>
        <w:rPr/>
      </w:pPr>
      <w:r>
        <w:rPr/>
      </w:r>
    </w:p>
    <w:tbl>
      <w:tblPr>
        <w:tblW w:w="6470"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2550"/>
        <w:gridCol w:w="990"/>
        <w:gridCol w:w="1080"/>
        <w:gridCol w:w="1850"/>
      </w:tblGrid>
      <w:tr>
        <w:trPr/>
        <w:tc>
          <w:tcPr>
            <w:tcW w:w="2550" w:type="dxa"/>
            <w:tcBorders>
              <w:top w:val="single" w:sz="2" w:space="0" w:color="000000"/>
              <w:start w:val="single" w:sz="2" w:space="0" w:color="000000"/>
            </w:tcBorders>
            <w:shd w:fill="auto" w:val="clear"/>
            <w:tcMar>
              <w:start w:w="42" w:type="dxa"/>
            </w:tcMar>
          </w:tcPr>
          <w:p>
            <w:pPr>
              <w:pStyle w:val="Normal"/>
              <w:rPr/>
            </w:pPr>
            <w:r>
              <w:rPr>
                <w:vanish/>
              </w:rPr>
              <w:t>#G0</w:t>
            </w:r>
            <w:r>
              <w:rPr/>
              <w:t xml:space="preserve">  </w:t>
            </w:r>
          </w:p>
          <w:p>
            <w:pPr>
              <w:pStyle w:val="Normal"/>
              <w:rPr/>
            </w:pPr>
            <w:r>
              <w:rPr/>
            </w:r>
          </w:p>
        </w:tc>
        <w:tc>
          <w:tcPr>
            <w:tcW w:w="3920" w:type="dxa"/>
            <w:gridSpan w:val="3"/>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jc w:val="center"/>
              <w:rPr/>
            </w:pPr>
            <w:r>
              <w:rPr/>
              <w:t xml:space="preserve">Область применения охладителя воды </w:t>
            </w:r>
          </w:p>
          <w:p>
            <w:pPr>
              <w:pStyle w:val="Normal"/>
              <w:jc w:val="center"/>
              <w:rPr/>
            </w:pPr>
            <w:r>
              <w:rPr/>
            </w:r>
          </w:p>
        </w:tc>
      </w:tr>
      <w:tr>
        <w:trPr/>
        <w:tc>
          <w:tcPr>
            <w:tcW w:w="255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Охладитель </w:t>
            </w:r>
          </w:p>
          <w:p>
            <w:pPr>
              <w:pStyle w:val="Normal"/>
              <w:rPr/>
            </w:pPr>
            <w:r>
              <w:rPr/>
            </w:r>
          </w:p>
        </w:tc>
        <w:tc>
          <w:tcPr>
            <w:tcW w:w="9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Удельная тепловая нагрузка, тыс. ккал/ /(кв.м/ч)</w:t>
            </w:r>
          </w:p>
          <w:p>
            <w:pPr>
              <w:pStyle w:val="Normal"/>
              <w:rPr/>
            </w:pPr>
            <w:r>
              <w:rPr/>
            </w:r>
          </w:p>
        </w:tc>
        <w:tc>
          <w:tcPr>
            <w:tcW w:w="108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Перепад температур воды, град.С </w:t>
            </w:r>
          </w:p>
          <w:p>
            <w:pPr>
              <w:pStyle w:val="Normal"/>
              <w:rPr/>
            </w:pPr>
            <w:r>
              <w:rPr/>
            </w:r>
          </w:p>
        </w:tc>
        <w:tc>
          <w:tcPr>
            <w:tcW w:w="185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Разность температуры охлажденной воды и температуры атмосферного воздуха по смоченному термометру, град.С </w:t>
            </w:r>
          </w:p>
          <w:p>
            <w:pPr>
              <w:pStyle w:val="Normal"/>
              <w:rPr/>
            </w:pPr>
            <w:r>
              <w:rPr/>
            </w:r>
          </w:p>
        </w:tc>
      </w:tr>
      <w:tr>
        <w:trPr/>
        <w:tc>
          <w:tcPr>
            <w:tcW w:w="2550" w:type="dxa"/>
            <w:tcBorders>
              <w:start w:val="single" w:sz="2" w:space="0" w:color="000000"/>
            </w:tcBorders>
            <w:shd w:fill="auto" w:val="clear"/>
            <w:tcMar>
              <w:start w:w="42" w:type="dxa"/>
            </w:tcMar>
          </w:tcPr>
          <w:p>
            <w:pPr>
              <w:pStyle w:val="Normal"/>
              <w:jc w:val="both"/>
              <w:rPr/>
            </w:pPr>
            <w:r>
              <w:rPr/>
              <w:t xml:space="preserve">Вентиляторные градирни </w:t>
            </w:r>
          </w:p>
          <w:p>
            <w:pPr>
              <w:pStyle w:val="Normal"/>
              <w:jc w:val="both"/>
              <w:rPr/>
            </w:pPr>
            <w:r>
              <w:rPr/>
            </w:r>
          </w:p>
        </w:tc>
        <w:tc>
          <w:tcPr>
            <w:tcW w:w="990" w:type="dxa"/>
            <w:tcBorders>
              <w:start w:val="single" w:sz="2" w:space="0" w:color="000000"/>
            </w:tcBorders>
            <w:shd w:fill="auto" w:val="clear"/>
            <w:tcMar>
              <w:start w:w="42" w:type="dxa"/>
            </w:tcMar>
          </w:tcPr>
          <w:p>
            <w:pPr>
              <w:pStyle w:val="Normal"/>
              <w:jc w:val="center"/>
              <w:rPr/>
            </w:pPr>
            <w:r>
              <w:rPr/>
              <w:t xml:space="preserve">80-100 </w:t>
            </w:r>
          </w:p>
          <w:p>
            <w:pPr>
              <w:pStyle w:val="Normal"/>
              <w:jc w:val="center"/>
              <w:rPr/>
            </w:pPr>
            <w:r>
              <w:rPr/>
              <w:t xml:space="preserve">и выше </w:t>
            </w:r>
          </w:p>
          <w:p>
            <w:pPr>
              <w:pStyle w:val="Normal"/>
              <w:jc w:val="center"/>
              <w:rPr/>
            </w:pPr>
            <w:r>
              <w:rPr/>
            </w:r>
          </w:p>
        </w:tc>
        <w:tc>
          <w:tcPr>
            <w:tcW w:w="1080" w:type="dxa"/>
            <w:tcBorders>
              <w:start w:val="single" w:sz="2" w:space="0" w:color="000000"/>
            </w:tcBorders>
            <w:shd w:fill="auto" w:val="clear"/>
            <w:tcMar>
              <w:start w:w="42" w:type="dxa"/>
            </w:tcMar>
          </w:tcPr>
          <w:p>
            <w:pPr>
              <w:pStyle w:val="Normal"/>
              <w:rPr/>
            </w:pPr>
            <w:r>
              <w:rPr/>
              <w:t xml:space="preserve">3-20 </w:t>
            </w:r>
          </w:p>
          <w:p>
            <w:pPr>
              <w:pStyle w:val="Normal"/>
              <w:rPr/>
            </w:pPr>
            <w:r>
              <w:rPr/>
            </w:r>
          </w:p>
        </w:tc>
        <w:tc>
          <w:tcPr>
            <w:tcW w:w="185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4-5 </w:t>
            </w:r>
          </w:p>
          <w:p>
            <w:pPr>
              <w:pStyle w:val="Normal"/>
              <w:rPr/>
            </w:pPr>
            <w:r>
              <w:rPr/>
            </w:r>
          </w:p>
        </w:tc>
      </w:tr>
      <w:tr>
        <w:trPr/>
        <w:tc>
          <w:tcPr>
            <w:tcW w:w="2550" w:type="dxa"/>
            <w:tcBorders>
              <w:start w:val="single" w:sz="2" w:space="0" w:color="000000"/>
            </w:tcBorders>
            <w:shd w:fill="auto" w:val="clear"/>
            <w:tcMar>
              <w:start w:w="42" w:type="dxa"/>
            </w:tcMar>
          </w:tcPr>
          <w:p>
            <w:pPr>
              <w:pStyle w:val="Normal"/>
              <w:jc w:val="both"/>
              <w:rPr/>
            </w:pPr>
            <w:r>
              <w:rPr/>
              <w:t xml:space="preserve">Башенные градирни </w:t>
            </w:r>
          </w:p>
          <w:p>
            <w:pPr>
              <w:pStyle w:val="Normal"/>
              <w:jc w:val="both"/>
              <w:rPr/>
            </w:pPr>
            <w:r>
              <w:rPr/>
            </w:r>
          </w:p>
        </w:tc>
        <w:tc>
          <w:tcPr>
            <w:tcW w:w="990" w:type="dxa"/>
            <w:tcBorders>
              <w:start w:val="single" w:sz="2" w:space="0" w:color="000000"/>
            </w:tcBorders>
            <w:shd w:fill="auto" w:val="clear"/>
            <w:tcMar>
              <w:start w:w="42" w:type="dxa"/>
            </w:tcMar>
          </w:tcPr>
          <w:p>
            <w:pPr>
              <w:pStyle w:val="Normal"/>
              <w:jc w:val="center"/>
              <w:rPr/>
            </w:pPr>
            <w:r>
              <w:rPr/>
              <w:t xml:space="preserve">60-100 </w:t>
            </w:r>
          </w:p>
          <w:p>
            <w:pPr>
              <w:pStyle w:val="Normal"/>
              <w:jc w:val="center"/>
              <w:rPr/>
            </w:pPr>
            <w:r>
              <w:rPr/>
            </w:r>
          </w:p>
        </w:tc>
        <w:tc>
          <w:tcPr>
            <w:tcW w:w="1080" w:type="dxa"/>
            <w:tcBorders>
              <w:start w:val="single" w:sz="2" w:space="0" w:color="000000"/>
            </w:tcBorders>
            <w:shd w:fill="auto" w:val="clear"/>
            <w:tcMar>
              <w:start w:w="42" w:type="dxa"/>
            </w:tcMar>
          </w:tcPr>
          <w:p>
            <w:pPr>
              <w:pStyle w:val="Normal"/>
              <w:rPr/>
            </w:pPr>
            <w:r>
              <w:rPr/>
              <w:t xml:space="preserve">5-15 </w:t>
            </w:r>
          </w:p>
          <w:p>
            <w:pPr>
              <w:pStyle w:val="Normal"/>
              <w:rPr/>
            </w:pPr>
            <w:r>
              <w:rPr/>
            </w:r>
          </w:p>
        </w:tc>
        <w:tc>
          <w:tcPr>
            <w:tcW w:w="185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8-10 </w:t>
            </w:r>
          </w:p>
          <w:p>
            <w:pPr>
              <w:pStyle w:val="Normal"/>
              <w:rPr/>
            </w:pPr>
            <w:r>
              <w:rPr/>
            </w:r>
          </w:p>
        </w:tc>
      </w:tr>
      <w:tr>
        <w:trPr/>
        <w:tc>
          <w:tcPr>
            <w:tcW w:w="2550" w:type="dxa"/>
            <w:tcBorders>
              <w:start w:val="single" w:sz="2" w:space="0" w:color="000000"/>
            </w:tcBorders>
            <w:shd w:fill="auto" w:val="clear"/>
            <w:tcMar>
              <w:start w:w="42" w:type="dxa"/>
            </w:tcMar>
          </w:tcPr>
          <w:p>
            <w:pPr>
              <w:pStyle w:val="Normal"/>
              <w:jc w:val="both"/>
              <w:rPr/>
            </w:pPr>
            <w:r>
              <w:rPr/>
              <w:t xml:space="preserve">Брызгальные бассейны </w:t>
            </w:r>
          </w:p>
          <w:p>
            <w:pPr>
              <w:pStyle w:val="Normal"/>
              <w:jc w:val="both"/>
              <w:rPr/>
            </w:pPr>
            <w:r>
              <w:rPr/>
            </w:r>
          </w:p>
        </w:tc>
        <w:tc>
          <w:tcPr>
            <w:tcW w:w="990" w:type="dxa"/>
            <w:tcBorders>
              <w:start w:val="single" w:sz="2" w:space="0" w:color="000000"/>
            </w:tcBorders>
            <w:shd w:fill="auto" w:val="clear"/>
            <w:tcMar>
              <w:start w:w="42" w:type="dxa"/>
            </w:tcMar>
          </w:tcPr>
          <w:p>
            <w:pPr>
              <w:pStyle w:val="Normal"/>
              <w:jc w:val="center"/>
              <w:rPr/>
            </w:pPr>
            <w:r>
              <w:rPr/>
              <w:t xml:space="preserve">5-20 </w:t>
            </w:r>
          </w:p>
          <w:p>
            <w:pPr>
              <w:pStyle w:val="Normal"/>
              <w:jc w:val="center"/>
              <w:rPr/>
            </w:pPr>
            <w:r>
              <w:rPr/>
            </w:r>
          </w:p>
        </w:tc>
        <w:tc>
          <w:tcPr>
            <w:tcW w:w="1080" w:type="dxa"/>
            <w:tcBorders>
              <w:start w:val="single" w:sz="2" w:space="0" w:color="000000"/>
            </w:tcBorders>
            <w:shd w:fill="auto" w:val="clear"/>
            <w:tcMar>
              <w:start w:w="42" w:type="dxa"/>
            </w:tcMar>
          </w:tcPr>
          <w:p>
            <w:pPr>
              <w:pStyle w:val="Normal"/>
              <w:rPr/>
            </w:pPr>
            <w:r>
              <w:rPr/>
              <w:t xml:space="preserve">5-10 </w:t>
            </w:r>
          </w:p>
          <w:p>
            <w:pPr>
              <w:pStyle w:val="Normal"/>
              <w:rPr/>
            </w:pPr>
            <w:r>
              <w:rPr/>
            </w:r>
          </w:p>
        </w:tc>
        <w:tc>
          <w:tcPr>
            <w:tcW w:w="185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10-12 </w:t>
            </w:r>
          </w:p>
          <w:p>
            <w:pPr>
              <w:pStyle w:val="Normal"/>
              <w:rPr/>
            </w:pPr>
            <w:r>
              <w:rPr/>
            </w:r>
          </w:p>
        </w:tc>
      </w:tr>
      <w:tr>
        <w:trPr/>
        <w:tc>
          <w:tcPr>
            <w:tcW w:w="2550" w:type="dxa"/>
            <w:tcBorders>
              <w:start w:val="single" w:sz="2" w:space="0" w:color="000000"/>
            </w:tcBorders>
            <w:shd w:fill="auto" w:val="clear"/>
            <w:tcMar>
              <w:start w:w="42" w:type="dxa"/>
            </w:tcMar>
          </w:tcPr>
          <w:p>
            <w:pPr>
              <w:pStyle w:val="Normal"/>
              <w:jc w:val="both"/>
              <w:rPr/>
            </w:pPr>
            <w:r>
              <w:rPr/>
              <w:t xml:space="preserve">Водохранилища-охладители </w:t>
            </w:r>
          </w:p>
          <w:p>
            <w:pPr>
              <w:pStyle w:val="Normal"/>
              <w:jc w:val="both"/>
              <w:rPr/>
            </w:pPr>
            <w:r>
              <w:rPr/>
            </w:r>
          </w:p>
        </w:tc>
        <w:tc>
          <w:tcPr>
            <w:tcW w:w="990" w:type="dxa"/>
            <w:tcBorders>
              <w:start w:val="single" w:sz="2" w:space="0" w:color="000000"/>
            </w:tcBorders>
            <w:shd w:fill="auto" w:val="clear"/>
            <w:tcMar>
              <w:start w:w="42" w:type="dxa"/>
            </w:tcMar>
          </w:tcPr>
          <w:p>
            <w:pPr>
              <w:pStyle w:val="Normal"/>
              <w:jc w:val="center"/>
              <w:rPr/>
            </w:pPr>
            <w:r>
              <w:rPr/>
              <w:t xml:space="preserve">0,2-0,4 </w:t>
            </w:r>
          </w:p>
          <w:p>
            <w:pPr>
              <w:pStyle w:val="Normal"/>
              <w:jc w:val="center"/>
              <w:rPr/>
            </w:pPr>
            <w:r>
              <w:rPr/>
            </w:r>
          </w:p>
        </w:tc>
        <w:tc>
          <w:tcPr>
            <w:tcW w:w="1080" w:type="dxa"/>
            <w:tcBorders>
              <w:start w:val="single" w:sz="2" w:space="0" w:color="000000"/>
            </w:tcBorders>
            <w:shd w:fill="auto" w:val="clear"/>
            <w:tcMar>
              <w:start w:w="42" w:type="dxa"/>
            </w:tcMar>
          </w:tcPr>
          <w:p>
            <w:pPr>
              <w:pStyle w:val="Normal"/>
              <w:rPr/>
            </w:pPr>
            <w:r>
              <w:rPr/>
              <w:t xml:space="preserve">5-10 </w:t>
            </w:r>
          </w:p>
          <w:p>
            <w:pPr>
              <w:pStyle w:val="Normal"/>
              <w:rPr/>
            </w:pPr>
            <w:r>
              <w:rPr/>
            </w:r>
          </w:p>
        </w:tc>
        <w:tc>
          <w:tcPr>
            <w:tcW w:w="185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6-8 </w:t>
            </w:r>
          </w:p>
          <w:p>
            <w:pPr>
              <w:pStyle w:val="Normal"/>
              <w:rPr/>
            </w:pPr>
            <w:r>
              <w:rPr/>
            </w:r>
          </w:p>
        </w:tc>
      </w:tr>
      <w:tr>
        <w:trPr/>
        <w:tc>
          <w:tcPr>
            <w:tcW w:w="2550" w:type="dxa"/>
            <w:tcBorders>
              <w:start w:val="single" w:sz="2" w:space="0" w:color="000000"/>
            </w:tcBorders>
            <w:shd w:fill="auto" w:val="clear"/>
            <w:tcMar>
              <w:start w:w="42" w:type="dxa"/>
            </w:tcMar>
          </w:tcPr>
          <w:p>
            <w:pPr>
              <w:pStyle w:val="Normal"/>
              <w:jc w:val="both"/>
              <w:rPr/>
            </w:pPr>
            <w:r>
              <w:rPr/>
              <w:t xml:space="preserve">Радиаторные (сухие) градирни </w:t>
            </w:r>
          </w:p>
          <w:p>
            <w:pPr>
              <w:pStyle w:val="Normal"/>
              <w:jc w:val="both"/>
              <w:rPr/>
            </w:pPr>
            <w:r>
              <w:rPr/>
            </w:r>
          </w:p>
        </w:tc>
        <w:tc>
          <w:tcPr>
            <w:tcW w:w="990"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80" w:type="dxa"/>
            <w:tcBorders>
              <w:start w:val="single" w:sz="2" w:space="0" w:color="000000"/>
            </w:tcBorders>
            <w:shd w:fill="auto" w:val="clear"/>
            <w:tcMar>
              <w:start w:w="42" w:type="dxa"/>
            </w:tcMar>
          </w:tcPr>
          <w:p>
            <w:pPr>
              <w:pStyle w:val="Normal"/>
              <w:jc w:val="center"/>
              <w:rPr/>
            </w:pPr>
            <w:r>
              <w:rPr/>
              <w:t xml:space="preserve">5-10 </w:t>
            </w:r>
          </w:p>
          <w:p>
            <w:pPr>
              <w:pStyle w:val="Normal"/>
              <w:jc w:val="center"/>
              <w:rPr/>
            </w:pPr>
            <w:r>
              <w:rPr/>
            </w:r>
          </w:p>
        </w:tc>
        <w:tc>
          <w:tcPr>
            <w:tcW w:w="185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20-35 </w:t>
            </w:r>
          </w:p>
          <w:p>
            <w:pPr>
              <w:pStyle w:val="Normal"/>
              <w:rPr/>
            </w:pPr>
            <w:r>
              <w:rPr/>
            </w:r>
          </w:p>
        </w:tc>
      </w:tr>
      <w:tr>
        <w:trPr/>
        <w:tc>
          <w:tcPr>
            <w:tcW w:w="2550" w:type="dxa"/>
            <w:tcBorders>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Открытые и брызгальные </w:t>
            </w:r>
          </w:p>
          <w:p>
            <w:pPr>
              <w:pStyle w:val="Normal"/>
              <w:jc w:val="both"/>
              <w:rPr/>
            </w:pPr>
            <w:r>
              <w:rPr/>
            </w:r>
          </w:p>
        </w:tc>
        <w:tc>
          <w:tcPr>
            <w:tcW w:w="990"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7-15 </w:t>
            </w:r>
          </w:p>
          <w:p>
            <w:pPr>
              <w:pStyle w:val="Normal"/>
              <w:jc w:val="center"/>
              <w:rPr/>
            </w:pPr>
            <w:r>
              <w:rPr/>
            </w:r>
          </w:p>
        </w:tc>
        <w:tc>
          <w:tcPr>
            <w:tcW w:w="108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5-10 </w:t>
            </w:r>
          </w:p>
          <w:p>
            <w:pPr>
              <w:pStyle w:val="Normal"/>
              <w:rPr/>
            </w:pPr>
            <w:r>
              <w:rPr/>
            </w:r>
          </w:p>
        </w:tc>
        <w:tc>
          <w:tcPr>
            <w:tcW w:w="185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10-12 </w:t>
            </w:r>
          </w:p>
          <w:p>
            <w:pPr>
              <w:pStyle w:val="Normal"/>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Примечание. Показатели в таблице даны для воды, поступающей на охладитель, с температурой не более 45 град.С.</w:t>
      </w:r>
    </w:p>
    <w:p>
      <w:pPr>
        <w:pStyle w:val="Normal"/>
        <w:ind w:firstLine="225"/>
        <w:jc w:val="both"/>
        <w:rPr/>
      </w:pPr>
      <w:r>
        <w:rPr/>
      </w:r>
    </w:p>
    <w:p>
      <w:pPr>
        <w:pStyle w:val="Normal"/>
        <w:ind w:firstLine="225"/>
        <w:jc w:val="both"/>
        <w:rPr/>
      </w:pPr>
      <w:r>
        <w:rPr/>
        <w:t>11.33. Технологические расчеты градирен и брызгальных бассейнов надлежит производить исходя из среднесуточных температур атмосферного воздуха по сухому и влажному термометрам (или относительной влажности воздуха) по замерам в 7, 13 и 19 ч за летний период года по многолетним наблюдениям при обеспеченности 1-10%. Для тепловых и атомных электростанций расчеты надлежит производить исходя из среднесуточных температур атмосферного воздуха, по сухому и влажному термометрам за летний период среднего и жаркого года. Выбор обеспеченности производится в зависимости от категории водопотребителя по табл. 40.</w:t>
      </w:r>
    </w:p>
    <w:p>
      <w:pPr>
        <w:pStyle w:val="Normal"/>
        <w:ind w:firstLine="225"/>
        <w:jc w:val="both"/>
        <w:rPr/>
      </w:pPr>
      <w:r>
        <w:rPr/>
      </w:r>
    </w:p>
    <w:p>
      <w:pPr>
        <w:pStyle w:val="Normal"/>
        <w:jc w:val="end"/>
        <w:rPr/>
      </w:pPr>
      <w:r>
        <w:rPr/>
        <w:t xml:space="preserve">Таблица 40 </w:t>
      </w:r>
    </w:p>
    <w:p>
      <w:pPr>
        <w:pStyle w:val="Normal"/>
        <w:ind w:firstLine="270"/>
        <w:jc w:val="both"/>
        <w:rPr/>
      </w:pPr>
      <w:r>
        <w:rPr/>
      </w:r>
    </w:p>
    <w:p>
      <w:pPr>
        <w:pStyle w:val="Normal"/>
        <w:ind w:firstLine="270"/>
        <w:jc w:val="both"/>
        <w:rPr/>
      </w:pPr>
      <w:r>
        <w:rPr/>
      </w:r>
    </w:p>
    <w:tbl>
      <w:tblPr>
        <w:tblW w:w="7085" w:type="dxa"/>
        <w:jc w:val="start"/>
        <w:tblInd w:w="43" w:type="dxa"/>
        <w:tblBorders>
          <w:top w:val="single" w:sz="2" w:space="0" w:color="000000"/>
          <w:start w:val="single" w:sz="2" w:space="0" w:color="000000"/>
          <w:bottom w:val="single" w:sz="2" w:space="0" w:color="000000"/>
          <w:insideH w:val="single" w:sz="2" w:space="0" w:color="000000"/>
        </w:tblBorders>
        <w:tblCellMar>
          <w:top w:w="0" w:type="dxa"/>
          <w:start w:w="27" w:type="dxa"/>
          <w:bottom w:w="0" w:type="dxa"/>
          <w:end w:w="30" w:type="dxa"/>
        </w:tblCellMar>
      </w:tblPr>
      <w:tblGrid>
        <w:gridCol w:w="1620"/>
        <w:gridCol w:w="3735"/>
        <w:gridCol w:w="1730"/>
      </w:tblGrid>
      <w:tr>
        <w:trPr/>
        <w:tc>
          <w:tcPr>
            <w:tcW w:w="162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jc w:val="center"/>
              <w:rPr>
                <w:vanish/>
              </w:rPr>
            </w:pPr>
            <w:r>
              <w:rPr>
                <w:vanish/>
              </w:rPr>
              <w:t>#G0</w:t>
            </w:r>
          </w:p>
          <w:p>
            <w:pPr>
              <w:pStyle w:val="Normal"/>
              <w:jc w:val="center"/>
              <w:rPr/>
            </w:pPr>
            <w:r>
              <w:rPr/>
              <w:t xml:space="preserve">Категория водопотребителя </w:t>
            </w:r>
          </w:p>
          <w:p>
            <w:pPr>
              <w:pStyle w:val="Normal"/>
              <w:jc w:val="center"/>
              <w:rPr/>
            </w:pPr>
            <w:r>
              <w:rPr/>
            </w:r>
          </w:p>
        </w:tc>
        <w:tc>
          <w:tcPr>
            <w:tcW w:w="373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Степень ухудшения технологического процесса производства или ухудшения работы оборудования в результате превышения температуры охлажденной воды над расчетной </w:t>
            </w:r>
          </w:p>
          <w:p>
            <w:pPr>
              <w:pStyle w:val="Normal"/>
              <w:rPr/>
            </w:pPr>
            <w:r>
              <w:rPr/>
            </w:r>
          </w:p>
        </w:tc>
        <w:tc>
          <w:tcPr>
            <w:tcW w:w="173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Обеспеченность метеорологических параметров при расчете охладителей воды, %</w:t>
            </w:r>
          </w:p>
          <w:p>
            <w:pPr>
              <w:pStyle w:val="Normal"/>
              <w:rPr/>
            </w:pPr>
            <w:r>
              <w:rPr/>
            </w:r>
          </w:p>
        </w:tc>
      </w:tr>
      <w:tr>
        <w:trPr/>
        <w:tc>
          <w:tcPr>
            <w:tcW w:w="1620" w:type="dxa"/>
            <w:tcBorders>
              <w:start w:val="single" w:sz="2" w:space="0" w:color="000000"/>
            </w:tcBorders>
            <w:shd w:fill="auto" w:val="clear"/>
            <w:tcMar>
              <w:start w:w="27" w:type="dxa"/>
            </w:tcMar>
          </w:tcPr>
          <w:p>
            <w:pPr>
              <w:pStyle w:val="Normal"/>
              <w:rPr/>
            </w:pPr>
            <w:r>
              <w:rPr/>
              <w:t xml:space="preserve">I </w:t>
            </w:r>
          </w:p>
          <w:p>
            <w:pPr>
              <w:pStyle w:val="Normal"/>
              <w:rPr/>
            </w:pPr>
            <w:r>
              <w:rPr/>
            </w:r>
          </w:p>
        </w:tc>
        <w:tc>
          <w:tcPr>
            <w:tcW w:w="3735" w:type="dxa"/>
            <w:tcBorders>
              <w:start w:val="single" w:sz="2" w:space="0" w:color="000000"/>
            </w:tcBorders>
            <w:shd w:fill="auto" w:val="clear"/>
            <w:tcMar>
              <w:start w:w="27" w:type="dxa"/>
            </w:tcMar>
          </w:tcPr>
          <w:p>
            <w:pPr>
              <w:pStyle w:val="Normal"/>
              <w:jc w:val="both"/>
              <w:rPr/>
            </w:pPr>
            <w:r>
              <w:rPr/>
              <w:t xml:space="preserve">Нарушение технологического процесса производства в целом и, как следствие, значительные убытки </w:t>
            </w:r>
          </w:p>
          <w:p>
            <w:pPr>
              <w:pStyle w:val="Normal"/>
              <w:jc w:val="both"/>
              <w:rPr/>
            </w:pPr>
            <w:r>
              <w:rPr/>
            </w:r>
          </w:p>
        </w:tc>
        <w:tc>
          <w:tcPr>
            <w:tcW w:w="1730" w:type="dxa"/>
            <w:tcBorders>
              <w:start w:val="single" w:sz="2" w:space="0" w:color="000000"/>
              <w:end w:val="single" w:sz="2" w:space="0" w:color="000000"/>
              <w:insideV w:val="single" w:sz="2" w:space="0" w:color="000000"/>
            </w:tcBorders>
            <w:shd w:fill="auto" w:val="clear"/>
            <w:tcMar>
              <w:start w:w="27" w:type="dxa"/>
            </w:tcMar>
          </w:tcPr>
          <w:p>
            <w:pPr>
              <w:pStyle w:val="Normal"/>
              <w:jc w:val="center"/>
              <w:rPr/>
            </w:pPr>
            <w:r>
              <w:rPr/>
              <w:t xml:space="preserve">1 </w:t>
            </w:r>
          </w:p>
          <w:p>
            <w:pPr>
              <w:pStyle w:val="Normal"/>
              <w:jc w:val="center"/>
              <w:rPr/>
            </w:pPr>
            <w:r>
              <w:rPr/>
            </w:r>
          </w:p>
        </w:tc>
      </w:tr>
      <w:tr>
        <w:trPr/>
        <w:tc>
          <w:tcPr>
            <w:tcW w:w="1620" w:type="dxa"/>
            <w:tcBorders>
              <w:start w:val="single" w:sz="2" w:space="0" w:color="000000"/>
            </w:tcBorders>
            <w:shd w:fill="auto" w:val="clear"/>
            <w:tcMar>
              <w:start w:w="27" w:type="dxa"/>
            </w:tcMar>
          </w:tcPr>
          <w:p>
            <w:pPr>
              <w:pStyle w:val="Normal"/>
              <w:rPr/>
            </w:pPr>
            <w:r>
              <w:rPr/>
              <w:t xml:space="preserve">II </w:t>
            </w:r>
          </w:p>
          <w:p>
            <w:pPr>
              <w:pStyle w:val="Normal"/>
              <w:rPr/>
            </w:pPr>
            <w:r>
              <w:rPr/>
            </w:r>
          </w:p>
        </w:tc>
        <w:tc>
          <w:tcPr>
            <w:tcW w:w="3735" w:type="dxa"/>
            <w:tcBorders>
              <w:start w:val="single" w:sz="2" w:space="0" w:color="000000"/>
            </w:tcBorders>
            <w:shd w:fill="auto" w:val="clear"/>
            <w:tcMar>
              <w:start w:w="27" w:type="dxa"/>
            </w:tcMar>
          </w:tcPr>
          <w:p>
            <w:pPr>
              <w:pStyle w:val="Normal"/>
              <w:jc w:val="both"/>
              <w:rPr/>
            </w:pPr>
            <w:r>
              <w:rPr/>
              <w:t xml:space="preserve">Допускаемое временное нарушение технологического процесса отдельных установок </w:t>
            </w:r>
          </w:p>
          <w:p>
            <w:pPr>
              <w:pStyle w:val="Normal"/>
              <w:jc w:val="both"/>
              <w:rPr/>
            </w:pPr>
            <w:r>
              <w:rPr/>
            </w:r>
          </w:p>
        </w:tc>
        <w:tc>
          <w:tcPr>
            <w:tcW w:w="1730" w:type="dxa"/>
            <w:tcBorders>
              <w:start w:val="single" w:sz="2" w:space="0" w:color="000000"/>
              <w:end w:val="single" w:sz="2" w:space="0" w:color="000000"/>
              <w:insideV w:val="single" w:sz="2" w:space="0" w:color="000000"/>
            </w:tcBorders>
            <w:shd w:fill="auto" w:val="clear"/>
            <w:tcMar>
              <w:start w:w="27" w:type="dxa"/>
            </w:tcMar>
          </w:tcPr>
          <w:p>
            <w:pPr>
              <w:pStyle w:val="Normal"/>
              <w:jc w:val="center"/>
              <w:rPr/>
            </w:pPr>
            <w:r>
              <w:rPr/>
              <w:t xml:space="preserve">5 </w:t>
            </w:r>
          </w:p>
          <w:p>
            <w:pPr>
              <w:pStyle w:val="Normal"/>
              <w:jc w:val="center"/>
              <w:rPr/>
            </w:pPr>
            <w:r>
              <w:rPr/>
            </w:r>
          </w:p>
        </w:tc>
      </w:tr>
      <w:tr>
        <w:trPr/>
        <w:tc>
          <w:tcPr>
            <w:tcW w:w="162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III </w:t>
            </w:r>
          </w:p>
          <w:p>
            <w:pPr>
              <w:pStyle w:val="Normal"/>
              <w:rPr/>
            </w:pPr>
            <w:r>
              <w:rPr/>
            </w:r>
          </w:p>
        </w:tc>
        <w:tc>
          <w:tcPr>
            <w:tcW w:w="3735" w:type="dxa"/>
            <w:tcBorders>
              <w:start w:val="single" w:sz="2" w:space="0" w:color="000000"/>
              <w:bottom w:val="single" w:sz="2" w:space="0" w:color="000000"/>
              <w:insideH w:val="single" w:sz="2" w:space="0" w:color="000000"/>
            </w:tcBorders>
            <w:shd w:fill="auto" w:val="clear"/>
            <w:tcMar>
              <w:start w:w="27" w:type="dxa"/>
            </w:tcMar>
          </w:tcPr>
          <w:p>
            <w:pPr>
              <w:pStyle w:val="Normal"/>
              <w:jc w:val="both"/>
              <w:rPr/>
            </w:pPr>
            <w:r>
              <w:rPr/>
              <w:t xml:space="preserve">Временное снижение экономичности технологического процесса производства в целом и отдельных установок </w:t>
            </w:r>
          </w:p>
          <w:p>
            <w:pPr>
              <w:pStyle w:val="Normal"/>
              <w:jc w:val="both"/>
              <w:rPr/>
            </w:pPr>
            <w:r>
              <w:rPr/>
            </w:r>
          </w:p>
        </w:tc>
        <w:tc>
          <w:tcPr>
            <w:tcW w:w="173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jc w:val="center"/>
              <w:rPr/>
            </w:pPr>
            <w:r>
              <w:rPr/>
              <w:t xml:space="preserve">10 </w:t>
            </w:r>
          </w:p>
          <w:p>
            <w:pPr>
              <w:pStyle w:val="Normal"/>
              <w:jc w:val="center"/>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 xml:space="preserve">При отсутствии данных о среднесуточных температурах и влажности атмосферного воздуха с указанной обеспеченностью следует принимать средние температуры и влажности в 13 ч для наиболее жаркого месяца согласно </w:t>
      </w:r>
      <w:r>
        <w:rPr>
          <w:vanish/>
        </w:rPr>
        <w:t>#M12291 9053801</w:t>
      </w:r>
      <w:r>
        <w:rPr/>
        <w:t>СНиП 2.01.01-82</w:t>
      </w:r>
      <w:r>
        <w:rPr>
          <w:vanish/>
        </w:rPr>
        <w:t>#S</w:t>
      </w:r>
      <w:r>
        <w:rPr/>
        <w:t xml:space="preserve"> с добавлением к температуре воздуха по влажному термометру 1-3 град.С при неизменной величине влажности в зависимости от категории водопотребителя.</w:t>
      </w:r>
    </w:p>
    <w:p>
      <w:pPr>
        <w:pStyle w:val="Normal"/>
        <w:ind w:firstLine="225"/>
        <w:jc w:val="both"/>
        <w:rPr/>
      </w:pPr>
      <w:r>
        <w:rPr/>
      </w:r>
    </w:p>
    <w:p>
      <w:pPr>
        <w:pStyle w:val="Normal"/>
        <w:ind w:firstLine="225"/>
        <w:jc w:val="both"/>
        <w:rPr/>
      </w:pPr>
      <w:r>
        <w:rPr/>
        <w:t>11.34. Технологические расчеты градирен должны выполняться по методике, учитывающей тепломассообмен в активной зоне охлаждения и аэродинамические сопротивления градирни, или по графикам, составленным на основании экспериментов.</w:t>
      </w:r>
    </w:p>
    <w:p>
      <w:pPr>
        <w:pStyle w:val="Normal"/>
        <w:ind w:firstLine="225"/>
        <w:jc w:val="both"/>
        <w:rPr/>
      </w:pPr>
      <w:r>
        <w:rPr/>
      </w:r>
    </w:p>
    <w:p>
      <w:pPr>
        <w:pStyle w:val="Normal"/>
        <w:ind w:firstLine="225"/>
        <w:jc w:val="both"/>
        <w:rPr/>
      </w:pPr>
      <w:r>
        <w:rPr/>
        <w:t>11.35. Технологические расчеты охлаждающей способности брызгальных бассейнов и открытых градирен должны выполняться по экспериментальным графикам.</w:t>
      </w:r>
    </w:p>
    <w:p>
      <w:pPr>
        <w:pStyle w:val="Normal"/>
        <w:ind w:firstLine="225"/>
        <w:jc w:val="both"/>
        <w:rPr/>
      </w:pPr>
      <w:r>
        <w:rPr/>
      </w:r>
    </w:p>
    <w:p>
      <w:pPr>
        <w:pStyle w:val="Normal"/>
        <w:ind w:firstLine="225"/>
        <w:jc w:val="both"/>
        <w:rPr/>
      </w:pPr>
      <w:r>
        <w:rPr/>
        <w:t>11.36. Технологические расчеты радиаторных градирен должны выполняться по методике, принятой для расчета теплообменных аппаратов с оребренными трубами, охлаждаемых воздухом.</w:t>
      </w:r>
    </w:p>
    <w:p>
      <w:pPr>
        <w:pStyle w:val="Normal"/>
        <w:ind w:firstLine="225"/>
        <w:jc w:val="both"/>
        <w:rPr/>
      </w:pPr>
      <w:r>
        <w:rPr/>
      </w:r>
    </w:p>
    <w:p>
      <w:pPr>
        <w:pStyle w:val="Normal"/>
        <w:ind w:firstLine="225"/>
        <w:jc w:val="both"/>
        <w:rPr/>
      </w:pPr>
      <w:r>
        <w:rPr/>
        <w:t>11.37. Технологические расчеты водохранилищ-охладителей для тепловых и атомных электростанций должны выполняться исходя из среднемесячных гидрологических и метеорологических факторов среднего года с учетом теплоаккумулирующей способности водохранилища, графиков нагрузки и ремонта оборудования. Для летнего периода среднего и жаркого года обеспеченностью 10% проверяется мощность оборудования, устанавливаются пределы и длительность ограничения мощности по максимальным суточным температурам охлаждающей воды. При использовании для охлаждения воды существующих водоемов другого назначения необходимо учитывать особенности пространственного формирования температурного режима в естественных условиях и при сбросе подогретой воды.</w:t>
      </w:r>
    </w:p>
    <w:p>
      <w:pPr>
        <w:pStyle w:val="Normal"/>
        <w:ind w:firstLine="225"/>
        <w:jc w:val="both"/>
        <w:rPr/>
      </w:pPr>
      <w:r>
        <w:rPr/>
      </w:r>
    </w:p>
    <w:p>
      <w:pPr>
        <w:pStyle w:val="Normal"/>
        <w:ind w:firstLine="225"/>
        <w:jc w:val="both"/>
        <w:rPr/>
      </w:pPr>
      <w:r>
        <w:rPr/>
        <w:t>11.38. При наличии в оборотной воде примесей, агрессивных по отношению к материалам конструкций градирен и брызгальных бассейнов, должны предусматриваться обработка воды или защитные покрытия конструкций.</w:t>
      </w:r>
    </w:p>
    <w:p>
      <w:pPr>
        <w:pStyle w:val="Normal"/>
        <w:ind w:firstLine="225"/>
        <w:jc w:val="both"/>
        <w:rPr/>
      </w:pPr>
      <w:r>
        <w:rPr/>
      </w:r>
    </w:p>
    <w:p>
      <w:pPr>
        <w:pStyle w:val="Normal"/>
        <w:ind w:firstLine="225"/>
        <w:jc w:val="both"/>
        <w:rPr/>
      </w:pPr>
      <w:r>
        <w:rPr/>
        <w:t>11.39. Глубина воды в брызгальных бассейнах и водосборных резервуарах градирен должна приниматься не менее 1,7 м, расстояние от уровня воды до борта бассейна или резервуара -  не менее 0,3 м.</w:t>
      </w:r>
    </w:p>
    <w:p>
      <w:pPr>
        <w:pStyle w:val="Normal"/>
        <w:ind w:firstLine="225"/>
        <w:jc w:val="both"/>
        <w:rPr/>
      </w:pPr>
      <w:r>
        <w:rPr/>
      </w:r>
    </w:p>
    <w:p>
      <w:pPr>
        <w:pStyle w:val="Normal"/>
        <w:ind w:firstLine="225"/>
        <w:jc w:val="both"/>
        <w:rPr/>
      </w:pPr>
      <w:r>
        <w:rPr/>
        <w:t>Для градирен, располагаемых на покрытиях зданий, допускается устройство поддонов с глубиной воды не менее 0,15 м.</w:t>
      </w:r>
    </w:p>
    <w:p>
      <w:pPr>
        <w:pStyle w:val="Normal"/>
        <w:ind w:firstLine="225"/>
        <w:jc w:val="both"/>
        <w:rPr/>
      </w:pPr>
      <w:r>
        <w:rPr/>
      </w:r>
    </w:p>
    <w:p>
      <w:pPr>
        <w:pStyle w:val="Normal"/>
        <w:ind w:firstLine="225"/>
        <w:jc w:val="both"/>
        <w:rPr/>
      </w:pPr>
      <w:r>
        <w:rPr/>
        <w:t>11.40. Водосборные резервуары градирен и брызгальные бассейны должны оборудоваться отводящими, спускными и переливными трубопроводами, а также сигнализацией минимального и максимального уровней воды. На отводящем трубопроводе надлежит предусматривать сороудерживающую решетку с прозорами не более 30 мм.</w:t>
      </w:r>
    </w:p>
    <w:p>
      <w:pPr>
        <w:pStyle w:val="Normal"/>
        <w:ind w:firstLine="225"/>
        <w:jc w:val="both"/>
        <w:rPr/>
      </w:pPr>
      <w:r>
        <w:rPr/>
      </w:r>
    </w:p>
    <w:p>
      <w:pPr>
        <w:pStyle w:val="Normal"/>
        <w:ind w:firstLine="225"/>
        <w:jc w:val="both"/>
        <w:rPr/>
      </w:pPr>
      <w:r>
        <w:rPr/>
        <w:t>Днища водосборных резервуаров и брызгальных бассейнов должны иметь уклон не менее 0,01 в сторону приямка со спускной трубой.</w:t>
      </w:r>
    </w:p>
    <w:p>
      <w:pPr>
        <w:pStyle w:val="Normal"/>
        <w:ind w:firstLine="225"/>
        <w:jc w:val="both"/>
        <w:rPr/>
      </w:pPr>
      <w:r>
        <w:rPr/>
      </w:r>
    </w:p>
    <w:p>
      <w:pPr>
        <w:pStyle w:val="Normal"/>
        <w:ind w:firstLine="225"/>
        <w:jc w:val="both"/>
        <w:rPr/>
      </w:pPr>
      <w:r>
        <w:rPr/>
        <w:t>11.41. На подающем и отводящем трубопроводах брызгальных бассейнов следует предусматривать запорные устройства для выключения бассейнов на период очистки и ремонта.</w:t>
      </w:r>
    </w:p>
    <w:p>
      <w:pPr>
        <w:pStyle w:val="Normal"/>
        <w:ind w:firstLine="225"/>
        <w:jc w:val="both"/>
        <w:rPr/>
      </w:pPr>
      <w:r>
        <w:rPr/>
      </w:r>
    </w:p>
    <w:p>
      <w:pPr>
        <w:pStyle w:val="Normal"/>
        <w:ind w:firstLine="225"/>
        <w:jc w:val="both"/>
        <w:rPr/>
      </w:pPr>
      <w:r>
        <w:rPr/>
        <w:t>11.42. Вокруг водосборных резервуаров градирен и брызгальных бассейнов следует предусматривать водонепроницаемое покрытие шириной не менее 2,5 м с уклоном от сооружений, обеспечивающим отвод воды, выносимой ветром из входных окон градирен и брызгальных бассейнов.</w:t>
      </w:r>
    </w:p>
    <w:p>
      <w:pPr>
        <w:pStyle w:val="Normal"/>
        <w:ind w:firstLine="225"/>
        <w:jc w:val="both"/>
        <w:rPr/>
      </w:pPr>
      <w:r>
        <w:rPr/>
      </w:r>
    </w:p>
    <w:p>
      <w:pPr>
        <w:pStyle w:val="Normal"/>
        <w:ind w:firstLine="225"/>
        <w:jc w:val="both"/>
        <w:rPr/>
      </w:pPr>
      <w:r>
        <w:rPr/>
      </w:r>
    </w:p>
    <w:p>
      <w:pPr>
        <w:pStyle w:val="Heading"/>
        <w:jc w:val="center"/>
        <w:rPr/>
      </w:pPr>
      <w:r>
        <w:rPr/>
        <w:t>Градирни</w:t>
      </w:r>
    </w:p>
    <w:p>
      <w:pPr>
        <w:pStyle w:val="Heading"/>
        <w:jc w:val="center"/>
        <w:rPr/>
      </w:pPr>
      <w:r>
        <w:rPr/>
      </w:r>
    </w:p>
    <w:p>
      <w:pPr>
        <w:pStyle w:val="Normal"/>
        <w:ind w:firstLine="270"/>
        <w:jc w:val="both"/>
        <w:rPr/>
      </w:pPr>
      <w:r>
        <w:rPr/>
      </w:r>
    </w:p>
    <w:p>
      <w:pPr>
        <w:pStyle w:val="Normal"/>
        <w:ind w:firstLine="225"/>
        <w:jc w:val="both"/>
        <w:rPr/>
      </w:pPr>
      <w:r>
        <w:rPr/>
        <w:t>11.43. Градирни надлежит применять в системах оборотного водоснабжения, требующих устойчивого и глубокого охлаждения воды при высоких удельных гидравлических и тепловых нагрузках.</w:t>
      </w:r>
    </w:p>
    <w:p>
      <w:pPr>
        <w:pStyle w:val="Normal"/>
        <w:ind w:firstLine="225"/>
        <w:jc w:val="both"/>
        <w:rPr/>
      </w:pPr>
      <w:r>
        <w:rPr/>
      </w:r>
    </w:p>
    <w:p>
      <w:pPr>
        <w:pStyle w:val="Normal"/>
        <w:ind w:firstLine="225"/>
        <w:jc w:val="both"/>
        <w:rPr/>
      </w:pPr>
      <w:r>
        <w:rPr/>
        <w:t>При необходимости сокращения объемов строительных работ, маневренного регулирования температуры охлажденной воды, автоматизации для поддержания заданной температуры охлажденной воды или охлаждаемого продукта следует применять вентиляторные градирни.</w:t>
      </w:r>
    </w:p>
    <w:p>
      <w:pPr>
        <w:pStyle w:val="Normal"/>
        <w:ind w:firstLine="225"/>
        <w:jc w:val="both"/>
        <w:rPr/>
      </w:pPr>
      <w:r>
        <w:rPr/>
      </w:r>
    </w:p>
    <w:p>
      <w:pPr>
        <w:pStyle w:val="Normal"/>
        <w:ind w:firstLine="225"/>
        <w:jc w:val="both"/>
        <w:rPr/>
      </w:pPr>
      <w:r>
        <w:rPr/>
        <w:t>На застроенных территориях следует преимущественно применять вентиляторные градирни на покрытиях зданий.</w:t>
      </w:r>
    </w:p>
    <w:p>
      <w:pPr>
        <w:pStyle w:val="Normal"/>
        <w:ind w:firstLine="225"/>
        <w:jc w:val="both"/>
        <w:rPr/>
      </w:pPr>
      <w:r>
        <w:rPr/>
      </w:r>
    </w:p>
    <w:p>
      <w:pPr>
        <w:pStyle w:val="Normal"/>
        <w:ind w:firstLine="225"/>
        <w:jc w:val="both"/>
        <w:rPr/>
      </w:pPr>
      <w:r>
        <w:rPr/>
        <w:t>В южных районах допускается применять поперечно-точные вентиляторные градирни.</w:t>
      </w:r>
    </w:p>
    <w:p>
      <w:pPr>
        <w:pStyle w:val="Normal"/>
        <w:ind w:firstLine="225"/>
        <w:jc w:val="both"/>
        <w:rPr/>
      </w:pPr>
      <w:r>
        <w:rPr/>
      </w:r>
    </w:p>
    <w:p>
      <w:pPr>
        <w:pStyle w:val="Normal"/>
        <w:ind w:firstLine="225"/>
        <w:jc w:val="both"/>
        <w:rPr/>
      </w:pPr>
      <w:r>
        <w:rPr/>
        <w:t>В районах с ограниченными водными ресурсами, а также для предотвращения загрязнения оборотной воды токсичными веществами и защиты окружающей среды от их воздействия следует рассматривать возможность применения радиаторных (сухих) градирен или смешанных (сухих и вентиляторных) градирен.</w:t>
      </w:r>
    </w:p>
    <w:p>
      <w:pPr>
        <w:pStyle w:val="Normal"/>
        <w:ind w:firstLine="225"/>
        <w:jc w:val="both"/>
        <w:rPr/>
      </w:pPr>
      <w:r>
        <w:rPr/>
      </w:r>
    </w:p>
    <w:p>
      <w:pPr>
        <w:pStyle w:val="Normal"/>
        <w:ind w:firstLine="225"/>
        <w:jc w:val="both"/>
        <w:rPr/>
      </w:pPr>
      <w:r>
        <w:rPr/>
        <w:t>11.44. Для обеспечения наиболее высокого эффекта охлаждения оборотной воды надлежит применять градирни с пленочным оросителем.</w:t>
      </w:r>
    </w:p>
    <w:p>
      <w:pPr>
        <w:pStyle w:val="Normal"/>
        <w:ind w:firstLine="225"/>
        <w:jc w:val="both"/>
        <w:rPr/>
      </w:pPr>
      <w:r>
        <w:rPr/>
      </w:r>
    </w:p>
    <w:p>
      <w:pPr>
        <w:pStyle w:val="Normal"/>
        <w:ind w:firstLine="225"/>
        <w:jc w:val="both"/>
        <w:rPr/>
      </w:pPr>
      <w:r>
        <w:rPr/>
        <w:t>При наличии в оборотной воде жиров, смол и нефтепродуктов следует применять градирни с капельным оросителем; при наличии взвешенных веществ, образующих отложения, не смываемые водой, - брызгальные градирни.</w:t>
      </w:r>
    </w:p>
    <w:p>
      <w:pPr>
        <w:pStyle w:val="Normal"/>
        <w:ind w:firstLine="225"/>
        <w:jc w:val="both"/>
        <w:rPr/>
      </w:pPr>
      <w:r>
        <w:rPr/>
      </w:r>
    </w:p>
    <w:p>
      <w:pPr>
        <w:pStyle w:val="Normal"/>
        <w:ind w:firstLine="225"/>
        <w:jc w:val="both"/>
        <w:rPr/>
      </w:pPr>
      <w:r>
        <w:rPr/>
        <w:t>11.45. Оросители надлежит предусматривать в виде блоков, конструкция и расстановка которых должны обеспечивать равномерное распределение потоков воды и воздуха по площади градирни.</w:t>
      </w:r>
    </w:p>
    <w:p>
      <w:pPr>
        <w:pStyle w:val="Normal"/>
        <w:ind w:firstLine="225"/>
        <w:jc w:val="both"/>
        <w:rPr/>
      </w:pPr>
      <w:r>
        <w:rPr/>
      </w:r>
    </w:p>
    <w:p>
      <w:pPr>
        <w:pStyle w:val="Normal"/>
        <w:ind w:firstLine="225"/>
        <w:jc w:val="both"/>
        <w:rPr/>
      </w:pPr>
      <w:r>
        <w:rPr/>
        <w:t>11.46. Систему распределения воды надлежит принимать напорной трубчатой, допускается применение лотков. При установке разбрызгивающих сопел факелами, направленными вниз, расстояние от сопел до оросителя следует принимать 0,8-1 м, при направлении факелов вверх - 0,3-0,5 м.</w:t>
      </w:r>
    </w:p>
    <w:p>
      <w:pPr>
        <w:pStyle w:val="Normal"/>
        <w:ind w:firstLine="225"/>
        <w:jc w:val="both"/>
        <w:rPr/>
      </w:pPr>
      <w:r>
        <w:rPr/>
      </w:r>
    </w:p>
    <w:p>
      <w:pPr>
        <w:pStyle w:val="Normal"/>
        <w:ind w:firstLine="225"/>
        <w:jc w:val="both"/>
        <w:rPr/>
      </w:pPr>
      <w:r>
        <w:rPr/>
        <w:t>11.47. Расположение сопел на трубах распределительной системы должно обеспечивать равномерное распределение воды по площади градирни над оросителем.</w:t>
      </w:r>
    </w:p>
    <w:p>
      <w:pPr>
        <w:pStyle w:val="Normal"/>
        <w:ind w:firstLine="225"/>
        <w:jc w:val="both"/>
        <w:rPr/>
      </w:pPr>
      <w:r>
        <w:rPr/>
      </w:r>
    </w:p>
    <w:p>
      <w:pPr>
        <w:pStyle w:val="Normal"/>
        <w:ind w:firstLine="225"/>
        <w:jc w:val="both"/>
        <w:rPr/>
      </w:pPr>
      <w:r>
        <w:rPr/>
        <w:t>11.48. Для предотвращения выноса из градирни капель воды в зоне воздухораспределителя надлежит устанавливать ветровые перегородки, а над водораспределительными системами - водоуловительные устройства.</w:t>
      </w:r>
    </w:p>
    <w:p>
      <w:pPr>
        <w:pStyle w:val="Normal"/>
        <w:ind w:firstLine="225"/>
        <w:jc w:val="both"/>
        <w:rPr/>
      </w:pPr>
      <w:r>
        <w:rPr/>
      </w:r>
    </w:p>
    <w:p>
      <w:pPr>
        <w:pStyle w:val="Normal"/>
        <w:ind w:firstLine="225"/>
        <w:jc w:val="both"/>
        <w:rPr/>
      </w:pPr>
      <w:r>
        <w:rPr/>
        <w:t>11.49. Конструкция и расстановка водоуловительных устройств должны обеспечивать отсутствие сквозных вертикальных щелей (оптическую плотность) по всей площади градирни, при этом вынос капель воды не должен превышать: 0,1-0,2 % расхода оборотной воды при отсутствии в ней токсичных веществ, 0,05 % - при наличии токсичных веществ.</w:t>
      </w:r>
    </w:p>
    <w:p>
      <w:pPr>
        <w:pStyle w:val="Normal"/>
        <w:ind w:firstLine="225"/>
        <w:jc w:val="both"/>
        <w:rPr/>
      </w:pPr>
      <w:r>
        <w:rPr/>
      </w:r>
    </w:p>
    <w:p>
      <w:pPr>
        <w:pStyle w:val="Normal"/>
        <w:ind w:firstLine="225"/>
        <w:jc w:val="both"/>
        <w:rPr/>
      </w:pPr>
      <w:r>
        <w:rPr/>
        <w:t>В вентиляторных градирнях водоуловительные устройства надлежит размещать на расстоянии не менее 0,5 диаметра вентилятора от его рабочего колеса.</w:t>
      </w:r>
    </w:p>
    <w:p>
      <w:pPr>
        <w:pStyle w:val="Normal"/>
        <w:ind w:firstLine="225"/>
        <w:jc w:val="both"/>
        <w:rPr/>
      </w:pPr>
      <w:r>
        <w:rPr/>
      </w:r>
    </w:p>
    <w:p>
      <w:pPr>
        <w:pStyle w:val="Normal"/>
        <w:ind w:firstLine="225"/>
        <w:jc w:val="both"/>
        <w:rPr/>
      </w:pPr>
      <w:r>
        <w:rPr/>
        <w:t>11.50. При расположении градирен на покрытиях зданий необходимо предусматривать жалюзи на воздуховходных окнах градирен.</w:t>
      </w:r>
    </w:p>
    <w:p>
      <w:pPr>
        <w:pStyle w:val="Normal"/>
        <w:ind w:firstLine="225"/>
        <w:jc w:val="both"/>
        <w:rPr/>
      </w:pPr>
      <w:r>
        <w:rPr/>
      </w:r>
    </w:p>
    <w:p>
      <w:pPr>
        <w:pStyle w:val="Normal"/>
        <w:ind w:firstLine="225"/>
        <w:jc w:val="both"/>
        <w:rPr/>
      </w:pPr>
      <w:r>
        <w:rPr/>
        <w:t>11.51. Конструкция обшивки каркаса градирни должна исключать возможность подсасывания наружного воздуха.</w:t>
      </w:r>
    </w:p>
    <w:p>
      <w:pPr>
        <w:pStyle w:val="Normal"/>
        <w:ind w:firstLine="225"/>
        <w:jc w:val="both"/>
        <w:rPr/>
      </w:pPr>
      <w:r>
        <w:rPr/>
      </w:r>
    </w:p>
    <w:p>
      <w:pPr>
        <w:pStyle w:val="Normal"/>
        <w:ind w:firstLine="225"/>
        <w:jc w:val="both"/>
        <w:rPr/>
      </w:pPr>
      <w:r>
        <w:rPr/>
        <w:t>11.52. Вентиляторные градирни надлежит принимать секционными с забором воздуха с двух сторон или односекционными с забором воздуха по всему периметру.</w:t>
      </w:r>
    </w:p>
    <w:p>
      <w:pPr>
        <w:pStyle w:val="Normal"/>
        <w:ind w:firstLine="225"/>
        <w:jc w:val="both"/>
        <w:rPr/>
      </w:pPr>
      <w:r>
        <w:rPr/>
      </w:r>
    </w:p>
    <w:p>
      <w:pPr>
        <w:pStyle w:val="Normal"/>
        <w:ind w:firstLine="225"/>
        <w:jc w:val="both"/>
        <w:rPr/>
      </w:pPr>
      <w:r>
        <w:rPr/>
        <w:t>11.53. Площадь входных окон градирни должна составлять 34-45 % площади градирни в плане.</w:t>
      </w:r>
    </w:p>
    <w:p>
      <w:pPr>
        <w:pStyle w:val="Normal"/>
        <w:ind w:firstLine="225"/>
        <w:jc w:val="both"/>
        <w:rPr/>
      </w:pPr>
      <w:r>
        <w:rPr/>
      </w:r>
    </w:p>
    <w:p>
      <w:pPr>
        <w:pStyle w:val="Normal"/>
        <w:ind w:firstLine="225"/>
        <w:jc w:val="both"/>
        <w:rPr/>
      </w:pPr>
      <w:r>
        <w:rPr/>
        <w:t>11.54. Форму градирен в плане следует принимать: у секционных вентиляторных градирен -  квадратную или прямоугольную с соотношением сторон не более 4:3, у односекционных и башенных -  круглую, многоугольную или квадратную.</w:t>
      </w:r>
    </w:p>
    <w:p>
      <w:pPr>
        <w:pStyle w:val="Normal"/>
        <w:ind w:firstLine="225"/>
        <w:jc w:val="both"/>
        <w:rPr/>
      </w:pPr>
      <w:r>
        <w:rPr/>
      </w:r>
    </w:p>
    <w:p>
      <w:pPr>
        <w:pStyle w:val="Normal"/>
        <w:ind w:firstLine="225"/>
        <w:jc w:val="both"/>
        <w:rPr/>
      </w:pPr>
      <w:r>
        <w:rPr/>
        <w:t>11.55. Для предотвращения обледенения градирен в зимнее время необходимо предусматривать возможность повышения тепловой и гидравлической нагрузок за счет отключения части секций или градирен, уменьшения подачи холодного воздуха в ороситель.</w:t>
      </w:r>
    </w:p>
    <w:p>
      <w:pPr>
        <w:pStyle w:val="Normal"/>
        <w:ind w:firstLine="225"/>
        <w:jc w:val="both"/>
        <w:rPr/>
      </w:pPr>
      <w:r>
        <w:rPr/>
      </w:r>
    </w:p>
    <w:p>
      <w:pPr>
        <w:pStyle w:val="Normal"/>
        <w:ind w:firstLine="225"/>
        <w:jc w:val="both"/>
        <w:rPr/>
      </w:pPr>
      <w:r>
        <w:rPr/>
        <w:t>11.56. Для поддержания необходимой температуры охлажденной воды в зимнее время следует предусматривать устройства для сброса теплой воды в водосборный резервуар градирни.</w:t>
      </w:r>
    </w:p>
    <w:p>
      <w:pPr>
        <w:pStyle w:val="Normal"/>
        <w:ind w:firstLine="225"/>
        <w:jc w:val="both"/>
        <w:rPr/>
      </w:pPr>
      <w:r>
        <w:rPr/>
      </w:r>
    </w:p>
    <w:p>
      <w:pPr>
        <w:pStyle w:val="Normal"/>
        <w:ind w:firstLine="225"/>
        <w:jc w:val="both"/>
        <w:rPr/>
      </w:pPr>
      <w:r>
        <w:rPr/>
        <w:t>11.57. Конструкции градирен надлежит принимать:</w:t>
      </w:r>
    </w:p>
    <w:p>
      <w:pPr>
        <w:pStyle w:val="Normal"/>
        <w:ind w:firstLine="225"/>
        <w:jc w:val="both"/>
        <w:rPr/>
      </w:pPr>
      <w:r>
        <w:rPr/>
      </w:r>
    </w:p>
    <w:p>
      <w:pPr>
        <w:pStyle w:val="Normal"/>
        <w:ind w:firstLine="225"/>
        <w:jc w:val="both"/>
        <w:rPr/>
      </w:pPr>
      <w:r>
        <w:rPr/>
        <w:t xml:space="preserve">каркас - из железобетона, стали или дерева; </w:t>
      </w:r>
    </w:p>
    <w:p>
      <w:pPr>
        <w:pStyle w:val="Normal"/>
        <w:ind w:firstLine="225"/>
        <w:jc w:val="both"/>
        <w:rPr/>
      </w:pPr>
      <w:r>
        <w:rPr/>
      </w:r>
    </w:p>
    <w:p>
      <w:pPr>
        <w:pStyle w:val="Normal"/>
        <w:ind w:firstLine="225"/>
        <w:jc w:val="both"/>
        <w:rPr/>
      </w:pPr>
      <w:r>
        <w:rPr/>
        <w:t>обшивку -  из дерева, асбестоцементных или пластмассовых листов;</w:t>
      </w:r>
    </w:p>
    <w:p>
      <w:pPr>
        <w:pStyle w:val="Normal"/>
        <w:ind w:firstLine="225"/>
        <w:jc w:val="both"/>
        <w:rPr/>
      </w:pPr>
      <w:r>
        <w:rPr/>
      </w:r>
    </w:p>
    <w:p>
      <w:pPr>
        <w:pStyle w:val="Normal"/>
        <w:ind w:firstLine="225"/>
        <w:jc w:val="both"/>
        <w:rPr/>
      </w:pPr>
      <w:r>
        <w:rPr/>
        <w:t>ороситель -  из дерева, асбестоцемента или пластмассы;</w:t>
      </w:r>
    </w:p>
    <w:p>
      <w:pPr>
        <w:pStyle w:val="Normal"/>
        <w:ind w:firstLine="225"/>
        <w:jc w:val="both"/>
        <w:rPr/>
      </w:pPr>
      <w:r>
        <w:rPr/>
      </w:r>
    </w:p>
    <w:p>
      <w:pPr>
        <w:pStyle w:val="Normal"/>
        <w:ind w:firstLine="225"/>
        <w:jc w:val="both"/>
        <w:rPr/>
      </w:pPr>
      <w:r>
        <w:rPr/>
        <w:t xml:space="preserve">водоуловительные устройства -  из дерева, пластмассы или асбестоцемента; </w:t>
      </w:r>
    </w:p>
    <w:p>
      <w:pPr>
        <w:pStyle w:val="Normal"/>
        <w:ind w:firstLine="225"/>
        <w:jc w:val="both"/>
        <w:rPr/>
      </w:pPr>
      <w:r>
        <w:rPr/>
      </w:r>
    </w:p>
    <w:p>
      <w:pPr>
        <w:pStyle w:val="Normal"/>
        <w:ind w:firstLine="225"/>
        <w:jc w:val="both"/>
        <w:rPr/>
      </w:pPr>
      <w:r>
        <w:rPr/>
        <w:t xml:space="preserve">водосборные резервуары -  из железобетона. </w:t>
      </w:r>
    </w:p>
    <w:p>
      <w:pPr>
        <w:pStyle w:val="Normal"/>
        <w:ind w:firstLine="225"/>
        <w:jc w:val="both"/>
        <w:rPr/>
      </w:pPr>
      <w:r>
        <w:rPr/>
      </w:r>
    </w:p>
    <w:p>
      <w:pPr>
        <w:pStyle w:val="Normal"/>
        <w:ind w:firstLine="225"/>
        <w:jc w:val="both"/>
        <w:rPr/>
      </w:pPr>
      <w:r>
        <w:rPr/>
        <w:t>Деревянные конструкции должны быть антисептированы невымываемыми антисептиками, при применении древесины мягколиственных пород - модифицированы (пропитаны специальными растворами).</w:t>
      </w:r>
    </w:p>
    <w:p>
      <w:pPr>
        <w:pStyle w:val="Normal"/>
        <w:ind w:firstLine="225"/>
        <w:jc w:val="both"/>
        <w:rPr/>
      </w:pPr>
      <w:r>
        <w:rPr/>
      </w:r>
    </w:p>
    <w:p>
      <w:pPr>
        <w:pStyle w:val="Normal"/>
        <w:ind w:firstLine="225"/>
        <w:jc w:val="both"/>
        <w:rPr/>
      </w:pPr>
      <w:r>
        <w:rPr/>
        <w:t xml:space="preserve">Металлические конструкции должны быть защищены антикоррозионными покрытиями согласно </w:t>
      </w:r>
      <w:r>
        <w:rPr>
          <w:vanish/>
        </w:rPr>
        <w:t>#M12291 871001005</w:t>
      </w:r>
      <w:r>
        <w:rPr/>
        <w:t>СНиП 2.03.11-85</w:t>
      </w:r>
      <w:r>
        <w:rPr>
          <w:vanish/>
        </w:rPr>
        <w:t>#S</w:t>
      </w:r>
      <w:r>
        <w:rPr/>
        <w:t>.</w:t>
      </w:r>
    </w:p>
    <w:p>
      <w:pPr>
        <w:pStyle w:val="Normal"/>
        <w:ind w:firstLine="225"/>
        <w:jc w:val="both"/>
        <w:rPr/>
      </w:pPr>
      <w:r>
        <w:rPr/>
      </w:r>
    </w:p>
    <w:p>
      <w:pPr>
        <w:pStyle w:val="Normal"/>
        <w:ind w:firstLine="225"/>
        <w:jc w:val="both"/>
        <w:rPr/>
      </w:pPr>
      <w:r>
        <w:rPr/>
        <w:t>Железобетонные конструкции должны выполняться из марок бетона по морозостойкости и водопроницаемости, указанных в п. 14.24.</w:t>
      </w:r>
    </w:p>
    <w:p>
      <w:pPr>
        <w:pStyle w:val="Normal"/>
        <w:ind w:firstLine="225"/>
        <w:jc w:val="both"/>
        <w:rPr/>
      </w:pPr>
      <w:r>
        <w:rPr/>
      </w:r>
    </w:p>
    <w:p>
      <w:pPr>
        <w:pStyle w:val="Normal"/>
        <w:ind w:firstLine="225"/>
        <w:jc w:val="both"/>
        <w:rPr/>
      </w:pPr>
      <w:r>
        <w:rPr/>
      </w:r>
    </w:p>
    <w:p>
      <w:pPr>
        <w:pStyle w:val="Heading"/>
        <w:jc w:val="center"/>
        <w:rPr/>
      </w:pPr>
      <w:r>
        <w:rPr/>
        <w:t>Водохранилища-охладители</w:t>
      </w:r>
    </w:p>
    <w:p>
      <w:pPr>
        <w:pStyle w:val="Heading"/>
        <w:jc w:val="center"/>
        <w:rPr>
          <w:rFonts w:eastAsia="Arial"/>
        </w:rPr>
      </w:pPr>
      <w:r>
        <w:rPr>
          <w:rFonts w:eastAsia="Arial"/>
        </w:rPr>
        <w:t xml:space="preserve">      </w:t>
      </w:r>
    </w:p>
    <w:p>
      <w:pPr>
        <w:pStyle w:val="Heading"/>
        <w:jc w:val="center"/>
        <w:rPr/>
      </w:pPr>
      <w:r>
        <w:rPr/>
      </w:r>
    </w:p>
    <w:p>
      <w:pPr>
        <w:pStyle w:val="Normal"/>
        <w:ind w:firstLine="225"/>
        <w:jc w:val="both"/>
        <w:rPr/>
      </w:pPr>
      <w:r>
        <w:rPr/>
        <w:t>11.58. Водохранилища-охладители надлежит применять при невысоких требованиях к эффекту охлаждения воды, наличии свободных малоценных земельных площадей вблизи предприятий, наличии естественных водоемов или искусственных водохранилищ.</w:t>
      </w:r>
    </w:p>
    <w:p>
      <w:pPr>
        <w:pStyle w:val="Normal"/>
        <w:ind w:firstLine="225"/>
        <w:jc w:val="both"/>
        <w:rPr/>
      </w:pPr>
      <w:r>
        <w:rPr/>
      </w:r>
    </w:p>
    <w:p>
      <w:pPr>
        <w:pStyle w:val="Normal"/>
        <w:ind w:firstLine="225"/>
        <w:jc w:val="both"/>
        <w:rPr/>
      </w:pPr>
      <w:r>
        <w:rPr/>
        <w:t>11.59. Глубина водохранилищ-охладителей при летних уровнях воды должна быть не менее 3,5 м на 80% площади зоны циркуляции водохранилища. Следует предусматривать мероприятия по ликвидации мелководий, удалению всплывающего торфа, а также обеспечению требуемого качества воды.</w:t>
      </w:r>
    </w:p>
    <w:p>
      <w:pPr>
        <w:pStyle w:val="Normal"/>
        <w:ind w:firstLine="225"/>
        <w:jc w:val="both"/>
        <w:rPr/>
      </w:pPr>
      <w:r>
        <w:rPr/>
      </w:r>
    </w:p>
    <w:p>
      <w:pPr>
        <w:pStyle w:val="Normal"/>
        <w:ind w:firstLine="225"/>
        <w:jc w:val="both"/>
        <w:rPr/>
      </w:pPr>
      <w:r>
        <w:rPr/>
        <w:t>11.60. Плотины, дамбы, водосбросы, водовыпуски и каналы для водохранилищ-охладителей надлежит проектировать по нормативным документам на проектирование гидротехнических сооружений.</w:t>
      </w:r>
    </w:p>
    <w:p>
      <w:pPr>
        <w:pStyle w:val="Normal"/>
        <w:ind w:firstLine="225"/>
        <w:jc w:val="both"/>
        <w:rPr/>
      </w:pPr>
      <w:r>
        <w:rPr/>
      </w:r>
    </w:p>
    <w:p>
      <w:pPr>
        <w:pStyle w:val="Normal"/>
        <w:ind w:firstLine="225"/>
        <w:jc w:val="both"/>
        <w:rPr/>
      </w:pPr>
      <w:r>
        <w:rPr/>
        <w:t>11.61. Водохозяйственные расчеты водохранилищ-охладителей надлежит выполнять аналогично водохозяйственным расчетам водохранилищ с учетом потерь на дополнительные испарения.</w:t>
      </w:r>
    </w:p>
    <w:p>
      <w:pPr>
        <w:pStyle w:val="Normal"/>
        <w:ind w:firstLine="225"/>
        <w:jc w:val="both"/>
        <w:rPr/>
      </w:pPr>
      <w:r>
        <w:rPr/>
      </w:r>
    </w:p>
    <w:p>
      <w:pPr>
        <w:pStyle w:val="Normal"/>
        <w:ind w:firstLine="225"/>
        <w:jc w:val="both"/>
        <w:rPr/>
      </w:pPr>
      <w:r>
        <w:rPr/>
        <w:t>11.62. Коэффициенты использования водохранилищ-охладителей должны определяться по аналогам на основании модельных лабораторных исследований, а при расширении предприятий - на основании натурных исследований.</w:t>
      </w:r>
    </w:p>
    <w:p>
      <w:pPr>
        <w:pStyle w:val="Normal"/>
        <w:ind w:firstLine="225"/>
        <w:jc w:val="both"/>
        <w:rPr/>
      </w:pPr>
      <w:r>
        <w:rPr/>
      </w:r>
    </w:p>
    <w:p>
      <w:pPr>
        <w:pStyle w:val="Normal"/>
        <w:ind w:firstLine="225"/>
        <w:jc w:val="both"/>
        <w:rPr/>
      </w:pPr>
      <w:r>
        <w:rPr/>
        <w:t>11.63. Расположение и конструкции водозаборных и водовыпускных сооружений, а также сооружений, повышающих охлаждение воды (струераспределительные сооружения, струенаправляющие дамбы), необходимо принимать с учетом ветрового влияния, гидрологических особенностей водоемов (стоковых, ветровых, плотностных и других течений), а также возможностей использования и создания вертикальной циркуляции охлаждаемой воды.</w:t>
      </w:r>
    </w:p>
    <w:p>
      <w:pPr>
        <w:pStyle w:val="Normal"/>
        <w:ind w:firstLine="225"/>
        <w:jc w:val="both"/>
        <w:rPr/>
      </w:pPr>
      <w:r>
        <w:rPr/>
      </w:r>
    </w:p>
    <w:p>
      <w:pPr>
        <w:pStyle w:val="Normal"/>
        <w:ind w:firstLine="225"/>
        <w:jc w:val="both"/>
        <w:rPr/>
      </w:pPr>
      <w:r>
        <w:rPr/>
        <w:t>С целью снижения температуры, повышения качества забираемой воды и защиты рыбной молоди следует рассматривать целесообразность устройства глубинных водозаборов.</w:t>
      </w:r>
    </w:p>
    <w:p>
      <w:pPr>
        <w:pStyle w:val="Normal"/>
        <w:ind w:firstLine="225"/>
        <w:jc w:val="both"/>
        <w:rPr/>
      </w:pPr>
      <w:r>
        <w:rPr/>
      </w:r>
    </w:p>
    <w:p>
      <w:pPr>
        <w:pStyle w:val="Normal"/>
        <w:ind w:firstLine="225"/>
        <w:jc w:val="both"/>
        <w:rPr/>
      </w:pPr>
      <w:r>
        <w:rPr/>
        <w:t>11.64. Для водохранилищ-охладителей с притоком свежей воды следует предусматривать сброс части отработавшей воды в нижний бьеф водохранилища.</w:t>
      </w:r>
    </w:p>
    <w:p>
      <w:pPr>
        <w:pStyle w:val="Normal"/>
        <w:ind w:firstLine="225"/>
        <w:jc w:val="both"/>
        <w:rPr/>
      </w:pPr>
      <w:r>
        <w:rPr/>
      </w:r>
    </w:p>
    <w:p>
      <w:pPr>
        <w:pStyle w:val="Normal"/>
        <w:ind w:firstLine="225"/>
        <w:jc w:val="both"/>
        <w:rPr/>
      </w:pPr>
      <w:r>
        <w:rPr/>
        <w:t>11.65. При проектировании водохранилищ надлежит предусматривать мероприятия по подготовке их ложа (расчистку от деревьев, кустарников и пр.). Состав и объем мероприятий определяются в каждом конкретном случае.</w:t>
      </w:r>
    </w:p>
    <w:p>
      <w:pPr>
        <w:pStyle w:val="Normal"/>
        <w:ind w:firstLine="225"/>
        <w:jc w:val="both"/>
        <w:rPr/>
      </w:pPr>
      <w:r>
        <w:rPr/>
      </w:r>
    </w:p>
    <w:p>
      <w:pPr>
        <w:pStyle w:val="Normal"/>
        <w:ind w:firstLine="225"/>
        <w:jc w:val="both"/>
        <w:rPr/>
      </w:pPr>
      <w:r>
        <w:rPr/>
        <w:t>11.66. Для предотвращения размыва берегов водохранилища-охладителя и его заиления должны предусматриваться: укрепление берегов, организация стока поверхностных вод, устройство в устьях оврагов дамб, установление запретных зон запашки, травосеяние, насаждение кустарника на склонах водохранилища.</w:t>
      </w:r>
    </w:p>
    <w:p>
      <w:pPr>
        <w:pStyle w:val="Normal"/>
        <w:ind w:firstLine="225"/>
        <w:jc w:val="both"/>
        <w:rPr/>
      </w:pPr>
      <w:r>
        <w:rPr/>
      </w:r>
    </w:p>
    <w:p>
      <w:pPr>
        <w:pStyle w:val="Normal"/>
        <w:ind w:firstLine="225"/>
        <w:jc w:val="both"/>
        <w:rPr/>
      </w:pPr>
      <w:r>
        <w:rPr/>
        <w:t>11.67. При заболачивании прилегающих к водохранилищу территорий необходимо предусматривать мелиоративные мероприятия.</w:t>
      </w:r>
    </w:p>
    <w:p>
      <w:pPr>
        <w:pStyle w:val="Normal"/>
        <w:ind w:firstLine="225"/>
        <w:jc w:val="both"/>
        <w:rPr/>
      </w:pPr>
      <w:r>
        <w:rPr/>
      </w:r>
    </w:p>
    <w:p>
      <w:pPr>
        <w:pStyle w:val="Normal"/>
        <w:ind w:firstLine="225"/>
        <w:jc w:val="both"/>
        <w:rPr/>
      </w:pPr>
      <w:r>
        <w:rPr/>
        <w:t>11.68. Для уменьшения концентраций солей в воде водохранилища в случае необходимости надлежит предусматривать устройство сброса воды из нижних слоев водохранилища и подачу воды из других водотоков.</w:t>
      </w:r>
    </w:p>
    <w:p>
      <w:pPr>
        <w:pStyle w:val="Normal"/>
        <w:ind w:firstLine="225"/>
        <w:jc w:val="both"/>
        <w:rPr/>
      </w:pPr>
      <w:r>
        <w:rPr/>
      </w:r>
    </w:p>
    <w:p>
      <w:pPr>
        <w:pStyle w:val="Normal"/>
        <w:ind w:firstLine="225"/>
        <w:jc w:val="both"/>
        <w:rPr/>
      </w:pPr>
      <w:r>
        <w:rPr/>
      </w:r>
    </w:p>
    <w:p>
      <w:pPr>
        <w:pStyle w:val="Heading"/>
        <w:jc w:val="center"/>
        <w:rPr/>
      </w:pPr>
      <w:r>
        <w:rPr/>
        <w:t>Брызгальные бассейны</w:t>
      </w:r>
    </w:p>
    <w:p>
      <w:pPr>
        <w:pStyle w:val="Heading"/>
        <w:jc w:val="center"/>
        <w:rPr/>
      </w:pPr>
      <w:r>
        <w:rPr/>
      </w:r>
    </w:p>
    <w:p>
      <w:pPr>
        <w:pStyle w:val="Normal"/>
        <w:ind w:firstLine="270"/>
        <w:jc w:val="both"/>
        <w:rPr/>
      </w:pPr>
      <w:r>
        <w:rPr/>
      </w:r>
    </w:p>
    <w:p>
      <w:pPr>
        <w:pStyle w:val="Normal"/>
        <w:ind w:firstLine="225"/>
        <w:jc w:val="both"/>
        <w:rPr/>
      </w:pPr>
      <w:r>
        <w:rPr/>
        <w:t>11.69. Брызгальные бассейны надлежит применять при невысоких требованиях к эффекту охлаждения воды, наличии открытой площади для доступа воздуха. Их следует располагать длинной стороной перпендикулярно направлению господствующих ветров. При размещении брызгальных бассейнов следует учитывать возможность образования тумана и обледенения соседних сооружений и дорог.</w:t>
      </w:r>
    </w:p>
    <w:p>
      <w:pPr>
        <w:pStyle w:val="Normal"/>
        <w:ind w:firstLine="225"/>
        <w:jc w:val="both"/>
        <w:rPr/>
      </w:pPr>
      <w:r>
        <w:rPr/>
      </w:r>
    </w:p>
    <w:p>
      <w:pPr>
        <w:pStyle w:val="Normal"/>
        <w:ind w:firstLine="225"/>
        <w:jc w:val="both"/>
        <w:rPr/>
      </w:pPr>
      <w:r>
        <w:rPr/>
        <w:t>11.70. Брызгальные бассейны надлежит проектировать не менее чем из двух секций, одна секция допускается для оборотных систем с периодическим режимом работы.</w:t>
      </w:r>
    </w:p>
    <w:p>
      <w:pPr>
        <w:pStyle w:val="Normal"/>
        <w:ind w:firstLine="225"/>
        <w:jc w:val="both"/>
        <w:rPr/>
      </w:pPr>
      <w:r>
        <w:rPr/>
      </w:r>
    </w:p>
    <w:p>
      <w:pPr>
        <w:pStyle w:val="Normal"/>
        <w:ind w:firstLine="225"/>
        <w:jc w:val="both"/>
        <w:rPr/>
      </w:pPr>
      <w:r>
        <w:rPr/>
        <w:t>11.71. Расположение разбрызгивающих сопел на трубах распределительной системы должно обеспечивать равномерное распределение воды по площади брызгального бассейна.</w:t>
      </w:r>
    </w:p>
    <w:p>
      <w:pPr>
        <w:pStyle w:val="Normal"/>
        <w:ind w:firstLine="225"/>
        <w:jc w:val="both"/>
        <w:rPr/>
      </w:pPr>
      <w:r>
        <w:rPr/>
      </w:r>
    </w:p>
    <w:p>
      <w:pPr>
        <w:pStyle w:val="Normal"/>
        <w:ind w:firstLine="225"/>
        <w:jc w:val="both"/>
        <w:rPr/>
      </w:pPr>
      <w:r>
        <w:rPr/>
        <w:t>11.72. Ширина брызгального бассейна в осях крайних сопел должна быть не более 50 м.</w:t>
      </w:r>
    </w:p>
    <w:p>
      <w:pPr>
        <w:pStyle w:val="Normal"/>
        <w:ind w:firstLine="225"/>
        <w:jc w:val="both"/>
        <w:rPr/>
      </w:pPr>
      <w:r>
        <w:rPr/>
      </w:r>
    </w:p>
    <w:p>
      <w:pPr>
        <w:pStyle w:val="Normal"/>
        <w:ind w:firstLine="225"/>
        <w:jc w:val="both"/>
        <w:rPr/>
      </w:pPr>
      <w:r>
        <w:rPr/>
        <w:t>Для уменьшения уноса капель воды ветром крайние сопла устанавливаются на расстоянии 7-10 м от границы бассейна в зависимости от величины напора у сопел и скорости ветра.</w:t>
      </w:r>
    </w:p>
    <w:p>
      <w:pPr>
        <w:pStyle w:val="Normal"/>
        <w:ind w:firstLine="225"/>
        <w:jc w:val="both"/>
        <w:rPr/>
      </w:pPr>
      <w:r>
        <w:rPr/>
      </w:r>
    </w:p>
    <w:p>
      <w:pPr>
        <w:pStyle w:val="Normal"/>
        <w:ind w:firstLine="225"/>
        <w:jc w:val="both"/>
        <w:rPr/>
      </w:pPr>
      <w:r>
        <w:rPr/>
        <w:t>11.73. В целях поддержания необходимого температурного режима в зимнее время в каждой секции брызгального бассейна необходимо предусматривать трубопровод для сброса воды без разбрызгивания.</w:t>
      </w:r>
    </w:p>
    <w:p>
      <w:pPr>
        <w:pStyle w:val="Normal"/>
        <w:ind w:firstLine="225"/>
        <w:jc w:val="both"/>
        <w:rPr/>
      </w:pPr>
      <w:r>
        <w:rPr/>
      </w:r>
    </w:p>
    <w:p>
      <w:pPr>
        <w:pStyle w:val="Normal"/>
        <w:ind w:firstLine="225"/>
        <w:jc w:val="both"/>
        <w:rPr/>
      </w:pPr>
      <w:r>
        <w:rPr/>
        <w:t>11.74. Конструкцию брызгальных бассейнов надлежит принимать из бетона или железобетонных плит с устройством гидроизоляционного экрана.</w:t>
      </w:r>
    </w:p>
    <w:p>
      <w:pPr>
        <w:pStyle w:val="Normal"/>
        <w:ind w:firstLine="225"/>
        <w:jc w:val="both"/>
        <w:rPr/>
      </w:pPr>
      <w:r>
        <w:rPr/>
      </w:r>
    </w:p>
    <w:p>
      <w:pPr>
        <w:pStyle w:val="Normal"/>
        <w:ind w:firstLine="225"/>
        <w:jc w:val="both"/>
        <w:rPr/>
      </w:pPr>
      <w:r>
        <w:rPr/>
        <w:t>11.75. Брызгальные устройства допускается располагать над естественными водоемами. При этом следует предусматривать планировку и крепление берегового откоса.</w:t>
      </w:r>
    </w:p>
    <w:p>
      <w:pPr>
        <w:pStyle w:val="Normal"/>
        <w:ind w:firstLine="225"/>
        <w:jc w:val="both"/>
        <w:rPr/>
      </w:pPr>
      <w:r>
        <w:rPr/>
      </w:r>
    </w:p>
    <w:p>
      <w:pPr>
        <w:pStyle w:val="Heading"/>
        <w:jc w:val="center"/>
        <w:rPr/>
      </w:pPr>
      <w:r>
        <w:rPr/>
      </w:r>
    </w:p>
    <w:p>
      <w:pPr>
        <w:pStyle w:val="Heading"/>
        <w:jc w:val="center"/>
        <w:rPr/>
      </w:pPr>
      <w:r>
        <w:rPr/>
        <w:t>Размещение охладителей</w:t>
      </w:r>
    </w:p>
    <w:p>
      <w:pPr>
        <w:pStyle w:val="Heading"/>
        <w:jc w:val="center"/>
        <w:rPr/>
      </w:pPr>
      <w:r>
        <w:rPr/>
        <w:t>на площадках предприятий</w:t>
      </w:r>
    </w:p>
    <w:p>
      <w:pPr>
        <w:pStyle w:val="Heading"/>
        <w:jc w:val="center"/>
        <w:rPr/>
      </w:pPr>
      <w:r>
        <w:rPr/>
      </w:r>
    </w:p>
    <w:p>
      <w:pPr>
        <w:pStyle w:val="Normal"/>
        <w:ind w:firstLine="270"/>
        <w:jc w:val="both"/>
        <w:rPr/>
      </w:pPr>
      <w:r>
        <w:rPr/>
      </w:r>
    </w:p>
    <w:p>
      <w:pPr>
        <w:pStyle w:val="Normal"/>
        <w:ind w:firstLine="225"/>
        <w:jc w:val="both"/>
        <w:rPr/>
      </w:pPr>
      <w:r>
        <w:rPr/>
        <w:t>11.76. Размещение охладителей на площадках предприятий необходимо предусматривать из условий обеспечения свободного доступа к ним воздуха, а также наименьшей протяженности трубопроводов и каналов. При этом надлежит учитывать направления зимних ветров для исключения обмерзания зданий и сооружений (для градирен и брызгальных бассейнов).</w:t>
      </w:r>
    </w:p>
    <w:p>
      <w:pPr>
        <w:pStyle w:val="Normal"/>
        <w:ind w:firstLine="225"/>
        <w:jc w:val="both"/>
        <w:rPr/>
      </w:pPr>
      <w:r>
        <w:rPr/>
      </w:r>
    </w:p>
    <w:p>
      <w:pPr>
        <w:pStyle w:val="Normal"/>
        <w:ind w:firstLine="225"/>
        <w:jc w:val="both"/>
        <w:rPr/>
      </w:pPr>
      <w:r>
        <w:rPr/>
        <w:t xml:space="preserve">11.77. Минимальное расстояние между охладителями воды, зданиями и сооружениями, а также между охладителями необходимо принимать согласно </w:t>
      </w:r>
      <w:r>
        <w:rPr>
          <w:vanish/>
        </w:rPr>
        <w:t>#M12291 5200094</w:t>
      </w:r>
      <w:r>
        <w:rPr/>
        <w:t>СНиП II-89-80*</w:t>
      </w:r>
      <w:r>
        <w:rPr>
          <w:vanish/>
        </w:rPr>
        <w:t>#S</w:t>
      </w:r>
      <w:r>
        <w:rPr/>
        <w:t>.</w:t>
      </w:r>
    </w:p>
    <w:p>
      <w:pPr>
        <w:pStyle w:val="Normal"/>
        <w:ind w:firstLine="225"/>
        <w:jc w:val="both"/>
        <w:rPr/>
      </w:pPr>
      <w:r>
        <w:rPr/>
      </w:r>
    </w:p>
    <w:p>
      <w:pPr>
        <w:pStyle w:val="Heading"/>
        <w:jc w:val="center"/>
        <w:rPr/>
      </w:pPr>
      <w:r>
        <w:rPr/>
      </w:r>
    </w:p>
    <w:p>
      <w:pPr>
        <w:pStyle w:val="Heading"/>
        <w:jc w:val="center"/>
        <w:rPr/>
      </w:pPr>
      <w:r>
        <w:rPr/>
        <w:t>12. ОБОРУДОВАНИЕ,</w:t>
      </w:r>
    </w:p>
    <w:p>
      <w:pPr>
        <w:pStyle w:val="Heading"/>
        <w:jc w:val="center"/>
        <w:rPr/>
      </w:pPr>
      <w:r>
        <w:rPr/>
        <w:t>АРМАТУРА И ТРУБОПРОВОДЫ</w:t>
      </w:r>
    </w:p>
    <w:p>
      <w:pPr>
        <w:pStyle w:val="Heading"/>
        <w:jc w:val="center"/>
        <w:rPr/>
      </w:pPr>
      <w:r>
        <w:rPr/>
      </w:r>
    </w:p>
    <w:p>
      <w:pPr>
        <w:pStyle w:val="Normal"/>
        <w:ind w:firstLine="270"/>
        <w:jc w:val="both"/>
        <w:rPr/>
      </w:pPr>
      <w:r>
        <w:rPr/>
      </w:r>
    </w:p>
    <w:p>
      <w:pPr>
        <w:pStyle w:val="Normal"/>
        <w:ind w:firstLine="225"/>
        <w:jc w:val="both"/>
        <w:rPr/>
      </w:pPr>
      <w:r>
        <w:rPr/>
        <w:t>12.1. Указания раздела следует учитывать при определении габаритов помещений, установке технологического и подъемно-транспортного оборудования, арматуры, а также укладке трубопроводов в зданиях и сооружениях водоснабжения.</w:t>
      </w:r>
    </w:p>
    <w:p>
      <w:pPr>
        <w:pStyle w:val="Normal"/>
        <w:ind w:firstLine="225"/>
        <w:jc w:val="both"/>
        <w:rPr/>
      </w:pPr>
      <w:r>
        <w:rPr/>
      </w:r>
    </w:p>
    <w:p>
      <w:pPr>
        <w:pStyle w:val="Normal"/>
        <w:ind w:firstLine="225"/>
        <w:jc w:val="both"/>
        <w:rPr/>
      </w:pPr>
      <w:r>
        <w:rPr/>
        <w:t>12.2. При определении площади производственных помещений ширину проходов следует принимать, не менее:</w:t>
      </w:r>
    </w:p>
    <w:p>
      <w:pPr>
        <w:pStyle w:val="Normal"/>
        <w:ind w:firstLine="225"/>
        <w:jc w:val="both"/>
        <w:rPr/>
      </w:pPr>
      <w:r>
        <w:rPr/>
      </w:r>
    </w:p>
    <w:p>
      <w:pPr>
        <w:pStyle w:val="Normal"/>
        <w:ind w:firstLine="225"/>
        <w:jc w:val="both"/>
        <w:rPr/>
      </w:pPr>
      <w:r>
        <w:rPr/>
        <w:t>между насосами или электродвигателями - 1 м;</w:t>
      </w:r>
    </w:p>
    <w:p>
      <w:pPr>
        <w:pStyle w:val="Normal"/>
        <w:ind w:firstLine="225"/>
        <w:jc w:val="both"/>
        <w:rPr/>
      </w:pPr>
      <w:r>
        <w:rPr/>
      </w:r>
    </w:p>
    <w:p>
      <w:pPr>
        <w:pStyle w:val="Normal"/>
        <w:ind w:firstLine="225"/>
        <w:jc w:val="both"/>
        <w:rPr/>
      </w:pPr>
      <w:r>
        <w:rPr/>
        <w:t>между насосами или электродвигателями и стеной в заглубленных помещениях - 0,7 м, в прочих - 1м; при этом ширина прохода со стороны электродвигателя должна быть достаточной для демонтажа ротора;</w:t>
      </w:r>
    </w:p>
    <w:p>
      <w:pPr>
        <w:pStyle w:val="Normal"/>
        <w:ind w:firstLine="225"/>
        <w:jc w:val="both"/>
        <w:rPr/>
      </w:pPr>
      <w:r>
        <w:rPr/>
      </w:r>
    </w:p>
    <w:p>
      <w:pPr>
        <w:pStyle w:val="Normal"/>
        <w:ind w:firstLine="225"/>
        <w:jc w:val="both"/>
        <w:rPr/>
      </w:pPr>
      <w:r>
        <w:rPr/>
        <w:t>между компрессорами или воздуходувками  -1,5 м, между ними и стеной - 1 м;</w:t>
      </w:r>
    </w:p>
    <w:p>
      <w:pPr>
        <w:pStyle w:val="Normal"/>
        <w:ind w:firstLine="225"/>
        <w:jc w:val="both"/>
        <w:rPr/>
      </w:pPr>
      <w:r>
        <w:rPr/>
      </w:r>
    </w:p>
    <w:p>
      <w:pPr>
        <w:pStyle w:val="Normal"/>
        <w:ind w:firstLine="225"/>
        <w:jc w:val="both"/>
        <w:rPr/>
      </w:pPr>
      <w:r>
        <w:rPr/>
        <w:t>между неподвижными выступающими частями оборудования  - 0,7 м;</w:t>
      </w:r>
    </w:p>
    <w:p>
      <w:pPr>
        <w:pStyle w:val="Normal"/>
        <w:ind w:firstLine="225"/>
        <w:jc w:val="both"/>
        <w:rPr/>
      </w:pPr>
      <w:r>
        <w:rPr/>
      </w:r>
    </w:p>
    <w:p>
      <w:pPr>
        <w:pStyle w:val="Normal"/>
        <w:ind w:firstLine="225"/>
        <w:jc w:val="both"/>
        <w:rPr/>
      </w:pPr>
      <w:r>
        <w:rPr/>
        <w:t>перед распределительным электрическим щитом  - 2 м.</w:t>
      </w:r>
    </w:p>
    <w:p>
      <w:pPr>
        <w:pStyle w:val="Normal"/>
        <w:ind w:firstLine="225"/>
        <w:jc w:val="both"/>
        <w:rPr/>
      </w:pPr>
      <w:r>
        <w:rPr/>
      </w:r>
    </w:p>
    <w:p>
      <w:pPr>
        <w:pStyle w:val="Normal"/>
        <w:ind w:firstLine="225"/>
        <w:jc w:val="both"/>
        <w:rPr/>
      </w:pPr>
      <w:r>
        <w:rPr/>
      </w:r>
    </w:p>
    <w:p>
      <w:pPr>
        <w:pStyle w:val="Normal"/>
        <w:ind w:firstLine="225"/>
        <w:jc w:val="both"/>
        <w:rPr/>
      </w:pPr>
      <w:r>
        <w:rPr/>
        <w:t>Примечания: 1. Проходы вокруг оборудования, регламентируемые заводом-изготовителем, следует принимать по паспортным данным.</w:t>
      </w:r>
    </w:p>
    <w:p>
      <w:pPr>
        <w:pStyle w:val="Normal"/>
        <w:ind w:firstLine="225"/>
        <w:jc w:val="both"/>
        <w:rPr/>
      </w:pPr>
      <w:r>
        <w:rPr/>
      </w:r>
    </w:p>
    <w:p>
      <w:pPr>
        <w:pStyle w:val="Normal"/>
        <w:ind w:firstLine="225"/>
        <w:jc w:val="both"/>
        <w:rPr/>
      </w:pPr>
      <w:r>
        <w:rPr/>
        <w:t>2. Для агрегатов с диаметром нагнетательного патрубка до 100 мм включительно допускаются: установка агрегатов у стены или на кронштейнах; установка двух агрегатов на одном фундаменте при расстоянии между выступающими частями агрегатов не менее 0,25 м с обеспечением вокруг сдвоенной установки проходов шириной не менее 0,7 м.</w:t>
      </w:r>
    </w:p>
    <w:p>
      <w:pPr>
        <w:pStyle w:val="Normal"/>
        <w:ind w:firstLine="225"/>
        <w:jc w:val="both"/>
        <w:rPr/>
      </w:pPr>
      <w:r>
        <w:rPr/>
      </w:r>
    </w:p>
    <w:p>
      <w:pPr>
        <w:pStyle w:val="Normal"/>
        <w:ind w:firstLine="225"/>
        <w:jc w:val="both"/>
        <w:rPr/>
      </w:pPr>
      <w:r>
        <w:rPr/>
      </w:r>
    </w:p>
    <w:p>
      <w:pPr>
        <w:pStyle w:val="Normal"/>
        <w:ind w:firstLine="225"/>
        <w:jc w:val="both"/>
        <w:rPr/>
      </w:pPr>
      <w:r>
        <w:rPr/>
        <w:t>12.3. Для эксплуатации технологического оборудования, арматуры и трубопроводов в помещениях должно предусматриваться подъемно-транспортное оборудование, при этом, как правило, следует принимать: при массе груза до 5 т - таль ручную или кран-балку подвесную ручную; при массе груза более 5 т - кран мостовой ручной; при подъеме груза на высоту более 6 м или при длине подкранового пути более 18 м - электрическое крановое оборудование.</w:t>
      </w:r>
    </w:p>
    <w:p>
      <w:pPr>
        <w:pStyle w:val="Normal"/>
        <w:ind w:firstLine="225"/>
        <w:jc w:val="both"/>
        <w:rPr/>
      </w:pPr>
      <w:r>
        <w:rPr/>
      </w:r>
    </w:p>
    <w:p>
      <w:pPr>
        <w:pStyle w:val="Normal"/>
        <w:ind w:firstLine="225"/>
        <w:jc w:val="both"/>
        <w:rPr/>
      </w:pPr>
      <w:r>
        <w:rPr/>
      </w:r>
    </w:p>
    <w:p>
      <w:pPr>
        <w:pStyle w:val="Normal"/>
        <w:ind w:firstLine="225"/>
        <w:jc w:val="both"/>
        <w:rPr/>
      </w:pPr>
      <w:r>
        <w:rPr/>
        <w:t>Примечания: 1. Предусматривать грузоподъемные краны, необходимые только при монтаже технологического оборудования (напорных фильтров, гидромешалок и др.), не требуется.</w:t>
      </w:r>
    </w:p>
    <w:p>
      <w:pPr>
        <w:pStyle w:val="Normal"/>
        <w:ind w:firstLine="225"/>
        <w:jc w:val="both"/>
        <w:rPr/>
      </w:pPr>
      <w:r>
        <w:rPr/>
      </w:r>
    </w:p>
    <w:p>
      <w:pPr>
        <w:pStyle w:val="Normal"/>
        <w:ind w:firstLine="225"/>
        <w:jc w:val="both"/>
        <w:rPr/>
      </w:pPr>
      <w:r>
        <w:rPr/>
        <w:t>2. Для перемещения оборудования и арматуры массой до 0,3 т допускается применение такелажных средств.</w:t>
      </w:r>
    </w:p>
    <w:p>
      <w:pPr>
        <w:pStyle w:val="Normal"/>
        <w:ind w:firstLine="225"/>
        <w:jc w:val="both"/>
        <w:rPr/>
      </w:pPr>
      <w:r>
        <w:rPr/>
      </w:r>
    </w:p>
    <w:p>
      <w:pPr>
        <w:pStyle w:val="Normal"/>
        <w:ind w:firstLine="225"/>
        <w:jc w:val="both"/>
        <w:rPr/>
      </w:pPr>
      <w:r>
        <w:rPr/>
      </w:r>
    </w:p>
    <w:p>
      <w:pPr>
        <w:pStyle w:val="Normal"/>
        <w:ind w:firstLine="225"/>
        <w:jc w:val="both"/>
        <w:rPr/>
      </w:pPr>
      <w:r>
        <w:rPr/>
        <w:t>12.4. В помещениях с крановым оборудованием надлежит предусматривать монтажную площадку.</w:t>
      </w:r>
    </w:p>
    <w:p>
      <w:pPr>
        <w:pStyle w:val="Normal"/>
        <w:ind w:firstLine="225"/>
        <w:jc w:val="both"/>
        <w:rPr/>
      </w:pPr>
      <w:r>
        <w:rPr/>
      </w:r>
    </w:p>
    <w:p>
      <w:pPr>
        <w:pStyle w:val="Normal"/>
        <w:ind w:firstLine="225"/>
        <w:jc w:val="both"/>
        <w:rPr/>
      </w:pPr>
      <w:r>
        <w:rPr/>
        <w:t>Доставку оборудования и арматуры на монтажную площадку следует производить такелажными средствами или талью на монорельсе, выходящем из здания, а в обоснованных случаях  транспортными средствами.</w:t>
      </w:r>
    </w:p>
    <w:p>
      <w:pPr>
        <w:pStyle w:val="Normal"/>
        <w:ind w:firstLine="225"/>
        <w:jc w:val="both"/>
        <w:rPr/>
      </w:pPr>
      <w:r>
        <w:rPr/>
      </w:r>
    </w:p>
    <w:p>
      <w:pPr>
        <w:pStyle w:val="Normal"/>
        <w:ind w:firstLine="225"/>
        <w:jc w:val="both"/>
        <w:rPr/>
      </w:pPr>
      <w:r>
        <w:rPr/>
        <w:t>Вокруг оборудования или транспортного средства, устанавливаемого на монтажной площадке в зоне обслуживания кранового оборудования, должен быть обеспечен проход шириной не менее 0,7 м.</w:t>
      </w:r>
    </w:p>
    <w:p>
      <w:pPr>
        <w:pStyle w:val="Normal"/>
        <w:ind w:firstLine="225"/>
        <w:jc w:val="both"/>
        <w:rPr/>
      </w:pPr>
      <w:r>
        <w:rPr/>
      </w:r>
    </w:p>
    <w:p>
      <w:pPr>
        <w:pStyle w:val="Normal"/>
        <w:ind w:firstLine="225"/>
        <w:jc w:val="both"/>
        <w:rPr/>
      </w:pPr>
      <w:r>
        <w:rPr/>
        <w:t>Размеры ворот или дверей следует определять исходя из габаритов оборудования или транспортного средства с грузом.</w:t>
      </w:r>
    </w:p>
    <w:p>
      <w:pPr>
        <w:pStyle w:val="Normal"/>
        <w:ind w:firstLine="225"/>
        <w:jc w:val="both"/>
        <w:rPr/>
      </w:pPr>
      <w:r>
        <w:rPr/>
      </w:r>
    </w:p>
    <w:p>
      <w:pPr>
        <w:pStyle w:val="Normal"/>
        <w:ind w:firstLine="225"/>
        <w:jc w:val="both"/>
        <w:rPr/>
      </w:pPr>
      <w:r>
        <w:rPr/>
        <w:t>12.5. Грузоподъемность кранового оборудования надлежит определять исходя из максимальной массы перемещаемого груза или оборудования с учетом требований заводов - изготовителей оборудования к условиям его транспортирования.</w:t>
      </w:r>
    </w:p>
    <w:p>
      <w:pPr>
        <w:pStyle w:val="Normal"/>
        <w:ind w:firstLine="225"/>
        <w:jc w:val="both"/>
        <w:rPr/>
      </w:pPr>
      <w:r>
        <w:rPr/>
      </w:r>
    </w:p>
    <w:p>
      <w:pPr>
        <w:pStyle w:val="Normal"/>
        <w:ind w:firstLine="225"/>
        <w:jc w:val="both"/>
        <w:rPr/>
      </w:pPr>
      <w:r>
        <w:rPr/>
        <w:t>При отсутствии требований заводов-изготовителей к транспортированию оборудования только в собранном виде грузоподъемность крана допускается определять исходя из детали или части оборудования, имеющей максимальную массу.</w:t>
      </w:r>
    </w:p>
    <w:p>
      <w:pPr>
        <w:pStyle w:val="Normal"/>
        <w:ind w:firstLine="225"/>
        <w:jc w:val="both"/>
        <w:rPr/>
      </w:pPr>
      <w:r>
        <w:rPr/>
      </w:r>
    </w:p>
    <w:p>
      <w:pPr>
        <w:pStyle w:val="Normal"/>
        <w:ind w:firstLine="180"/>
        <w:jc w:val="both"/>
        <w:rPr/>
      </w:pPr>
      <w:r>
        <w:rPr/>
        <w:t>Примечание. Следует учитывать увеличение массы и габаритов оборудования в случаях предусматриваемой замены его на более мощное.</w:t>
      </w:r>
    </w:p>
    <w:p>
      <w:pPr>
        <w:pStyle w:val="Normal"/>
        <w:ind w:firstLine="180"/>
        <w:jc w:val="both"/>
        <w:rPr/>
      </w:pPr>
      <w:r>
        <w:rPr/>
      </w:r>
    </w:p>
    <w:p>
      <w:pPr>
        <w:pStyle w:val="Normal"/>
        <w:ind w:firstLine="225"/>
        <w:jc w:val="both"/>
        <w:rPr/>
      </w:pPr>
      <w:r>
        <w:rPr/>
        <w:t>12.6. Определение высоты помещений (от уровня монтажной площадки до низа балок перекрытия), имеющих подъемно-транспортное оборудование, и установку кранов надлежит производить в соответствии с «Правилами устройства и безопасной эксплуатации грузоподъемных кранов».</w:t>
      </w:r>
    </w:p>
    <w:p>
      <w:pPr>
        <w:pStyle w:val="Normal"/>
        <w:ind w:firstLine="225"/>
        <w:jc w:val="both"/>
        <w:rPr/>
      </w:pPr>
      <w:r>
        <w:rPr/>
      </w:r>
    </w:p>
    <w:p>
      <w:pPr>
        <w:pStyle w:val="Normal"/>
        <w:ind w:firstLine="225"/>
        <w:jc w:val="both"/>
        <w:rPr/>
      </w:pPr>
      <w:r>
        <w:rPr/>
        <w:t xml:space="preserve">При отсутствии подъемно-транспортного оборудования высоту помещений следует принимать согласно </w:t>
      </w:r>
      <w:r>
        <w:rPr>
          <w:vanish/>
        </w:rPr>
        <w:t>#M12293 0 5200092 3704477087 78 23949 2496674701 2685059051 3363248087 4294967268 584910322</w:t>
      </w:r>
      <w:r>
        <w:rPr/>
        <w:t>СНиП 2.09.02-85</w:t>
      </w:r>
      <w:r>
        <w:rPr>
          <w:vanish/>
        </w:rPr>
        <w:t>#S</w:t>
      </w:r>
      <w:r>
        <w:rPr/>
        <w:t>.</w:t>
      </w:r>
    </w:p>
    <w:p>
      <w:pPr>
        <w:pStyle w:val="Normal"/>
        <w:ind w:firstLine="225"/>
        <w:jc w:val="both"/>
        <w:rPr/>
      </w:pPr>
      <w:r>
        <w:rPr/>
      </w:r>
    </w:p>
    <w:p>
      <w:pPr>
        <w:pStyle w:val="Normal"/>
        <w:ind w:firstLine="225"/>
        <w:jc w:val="both"/>
        <w:rPr/>
      </w:pPr>
      <w:r>
        <w:rPr/>
        <w:t>12.7. При высоте до мест обслуживания и управления оборудования, электроприводов и маховиков задвижек (затворов) более 1,4 м от пола следует предусматривать площадки или мостики, при этом высота до мест обслуживания и управления с площадки или мостика не должна превышать 1 м.</w:t>
      </w:r>
    </w:p>
    <w:p>
      <w:pPr>
        <w:pStyle w:val="Normal"/>
        <w:ind w:firstLine="225"/>
        <w:jc w:val="both"/>
        <w:rPr/>
      </w:pPr>
      <w:r>
        <w:rPr/>
      </w:r>
    </w:p>
    <w:p>
      <w:pPr>
        <w:pStyle w:val="Normal"/>
        <w:ind w:firstLine="225"/>
        <w:jc w:val="both"/>
        <w:rPr/>
      </w:pPr>
      <w:r>
        <w:rPr/>
        <w:t>Допускается предусматривать уширение фундаментов оборудования.</w:t>
      </w:r>
    </w:p>
    <w:p>
      <w:pPr>
        <w:pStyle w:val="Normal"/>
        <w:ind w:firstLine="225"/>
        <w:jc w:val="both"/>
        <w:rPr/>
      </w:pPr>
      <w:r>
        <w:rPr/>
      </w:r>
    </w:p>
    <w:p>
      <w:pPr>
        <w:pStyle w:val="Normal"/>
        <w:ind w:firstLine="225"/>
        <w:jc w:val="both"/>
        <w:rPr/>
      </w:pPr>
      <w:r>
        <w:rPr/>
        <w:t>12.8. Установка оборудования и арматуры под монтажной площадкой или площадками обслуживания допускается при высоте от пола (или мостика) до низа выступающих конструкций не менее 1,8 м. При этом над оборудованием и арматурой следует предусматривать съемное покрытие площадок или проемы.</w:t>
      </w:r>
    </w:p>
    <w:p>
      <w:pPr>
        <w:pStyle w:val="Normal"/>
        <w:ind w:firstLine="225"/>
        <w:jc w:val="both"/>
        <w:rPr/>
      </w:pPr>
      <w:r>
        <w:rPr/>
      </w:r>
    </w:p>
    <w:p>
      <w:pPr>
        <w:pStyle w:val="Normal"/>
        <w:ind w:firstLine="225"/>
        <w:jc w:val="both"/>
        <w:rPr/>
      </w:pPr>
      <w:r>
        <w:rPr/>
        <w:t>12.9. Задвижки (затворы) на трубопроводах любого диаметра при дистанционном или автоматическом управлении должны быть с электроприводом. Допускается применение пневматического, гидравлического или электромагнитного приводов.</w:t>
      </w:r>
    </w:p>
    <w:p>
      <w:pPr>
        <w:pStyle w:val="Normal"/>
        <w:ind w:firstLine="225"/>
        <w:jc w:val="both"/>
        <w:rPr/>
      </w:pPr>
      <w:r>
        <w:rPr/>
      </w:r>
    </w:p>
    <w:p>
      <w:pPr>
        <w:pStyle w:val="Normal"/>
        <w:ind w:firstLine="225"/>
        <w:jc w:val="both"/>
        <w:rPr/>
      </w:pPr>
      <w:r>
        <w:rPr/>
        <w:t>При отсутствии дистанционного или автоматического управления запорную арматуру диаметром 400 мм и менее следует предусматривать с ручным приводом, диаметром более 400 мм - с электрическим или гидравлическим приводом; в отдельных случаях при обосновании допускается установка арматуры диаметром более 400 мм с ручным приводом.</w:t>
      </w:r>
    </w:p>
    <w:p>
      <w:pPr>
        <w:pStyle w:val="Normal"/>
        <w:ind w:firstLine="225"/>
        <w:jc w:val="both"/>
        <w:rPr/>
      </w:pPr>
      <w:r>
        <w:rPr/>
      </w:r>
    </w:p>
    <w:p>
      <w:pPr>
        <w:pStyle w:val="Normal"/>
        <w:ind w:firstLine="225"/>
        <w:jc w:val="both"/>
        <w:rPr/>
      </w:pPr>
      <w:r>
        <w:rPr/>
        <w:t>12.10. Трубопроводы в зданиях и сооружениях, как правило, следует укладывать над поверхностью пола (на опорах или кронштейнах) с устройством мостиков над трубопроводами и обеспечением подхода и обслуживания оборудования и арматуры.</w:t>
      </w:r>
    </w:p>
    <w:p>
      <w:pPr>
        <w:pStyle w:val="Normal"/>
        <w:ind w:firstLine="225"/>
        <w:jc w:val="both"/>
        <w:rPr/>
      </w:pPr>
      <w:r>
        <w:rPr/>
      </w:r>
    </w:p>
    <w:p>
      <w:pPr>
        <w:pStyle w:val="Normal"/>
        <w:ind w:firstLine="225"/>
        <w:jc w:val="both"/>
        <w:rPr/>
      </w:pPr>
      <w:r>
        <w:rPr/>
        <w:t>Допускается укладка трубопроводов в каналах, перекрываемых съемными плитами, или в подвалах.</w:t>
      </w:r>
    </w:p>
    <w:p>
      <w:pPr>
        <w:pStyle w:val="Normal"/>
        <w:ind w:firstLine="225"/>
        <w:jc w:val="both"/>
        <w:rPr/>
      </w:pPr>
      <w:r>
        <w:rPr/>
      </w:r>
    </w:p>
    <w:p>
      <w:pPr>
        <w:pStyle w:val="Normal"/>
        <w:ind w:firstLine="225"/>
        <w:jc w:val="both"/>
        <w:rPr/>
      </w:pPr>
      <w:r>
        <w:rPr/>
        <w:t>Габариты каналов трубопроводов следует принимать:</w:t>
      </w:r>
    </w:p>
    <w:p>
      <w:pPr>
        <w:pStyle w:val="Normal"/>
        <w:ind w:firstLine="225"/>
        <w:jc w:val="both"/>
        <w:rPr/>
      </w:pPr>
      <w:r>
        <w:rPr/>
      </w:r>
    </w:p>
    <w:p>
      <w:pPr>
        <w:pStyle w:val="Normal"/>
        <w:ind w:firstLine="225"/>
        <w:jc w:val="both"/>
        <w:rPr/>
      </w:pPr>
      <w:r>
        <w:rPr/>
        <w:t>при диаметре труб до 400 мм - ширину на 600 мм, глубину на 400 мм больше диаметра;</w:t>
      </w:r>
    </w:p>
    <w:p>
      <w:pPr>
        <w:pStyle w:val="Normal"/>
        <w:ind w:firstLine="225"/>
        <w:jc w:val="both"/>
        <w:rPr/>
      </w:pPr>
      <w:r>
        <w:rPr/>
      </w:r>
    </w:p>
    <w:p>
      <w:pPr>
        <w:pStyle w:val="Normal"/>
        <w:ind w:firstLine="225"/>
        <w:jc w:val="both"/>
        <w:rPr/>
      </w:pPr>
      <w:r>
        <w:rPr/>
        <w:t>при диаметре труб 500 мм и выше - ширину на 800 мм, глубину на 600 мм больше диаметра.</w:t>
      </w:r>
    </w:p>
    <w:p>
      <w:pPr>
        <w:pStyle w:val="Normal"/>
        <w:ind w:firstLine="225"/>
        <w:jc w:val="both"/>
        <w:rPr/>
      </w:pPr>
      <w:r>
        <w:rPr/>
      </w:r>
    </w:p>
    <w:p>
      <w:pPr>
        <w:pStyle w:val="Normal"/>
        <w:ind w:firstLine="225"/>
        <w:jc w:val="both"/>
        <w:rPr/>
      </w:pPr>
      <w:r>
        <w:rPr/>
        <w:t>В местах установки фланцевой арматуры следует предусматривать уширение канала согласно п. 8.63.</w:t>
      </w:r>
    </w:p>
    <w:p>
      <w:pPr>
        <w:pStyle w:val="Normal"/>
        <w:ind w:firstLine="225"/>
        <w:jc w:val="both"/>
        <w:rPr/>
      </w:pPr>
      <w:r>
        <w:rPr/>
      </w:r>
    </w:p>
    <w:p>
      <w:pPr>
        <w:pStyle w:val="Normal"/>
        <w:ind w:firstLine="225"/>
        <w:jc w:val="both"/>
        <w:rPr/>
      </w:pPr>
      <w:r>
        <w:rPr/>
        <w:t>Уклон дна каналов к приямку следует принимать не менее 0,005.</w:t>
      </w:r>
    </w:p>
    <w:p>
      <w:pPr>
        <w:pStyle w:val="Normal"/>
        <w:ind w:firstLine="225"/>
        <w:jc w:val="both"/>
        <w:rPr/>
      </w:pPr>
      <w:r>
        <w:rPr/>
      </w:r>
    </w:p>
    <w:p>
      <w:pPr>
        <w:pStyle w:val="Normal"/>
        <w:ind w:firstLine="225"/>
        <w:jc w:val="both"/>
        <w:rPr/>
      </w:pPr>
      <w:r>
        <w:rPr/>
        <w:t>12.11. Напорные и самотечно-напорные трубопроводы в зданиях и на территориях водопроводных сооружений в пределах ограждения должны приниматься из стальных труб.</w:t>
      </w:r>
    </w:p>
    <w:p>
      <w:pPr>
        <w:pStyle w:val="Normal"/>
        <w:ind w:firstLine="225"/>
        <w:jc w:val="both"/>
        <w:rPr/>
      </w:pPr>
      <w:r>
        <w:rPr/>
      </w:r>
    </w:p>
    <w:p>
      <w:pPr>
        <w:pStyle w:val="Normal"/>
        <w:ind w:firstLine="270"/>
        <w:jc w:val="both"/>
        <w:rPr/>
      </w:pPr>
      <w:r>
        <w:rPr/>
        <w:t>Материал труб для транспортирования агрессивных жидкостей следует принимать согласно разд. 6.</w:t>
      </w:r>
    </w:p>
    <w:p>
      <w:pPr>
        <w:pStyle w:val="Normal"/>
        <w:ind w:firstLine="270"/>
        <w:jc w:val="both"/>
        <w:rPr/>
      </w:pPr>
      <w:r>
        <w:rPr/>
      </w:r>
    </w:p>
    <w:p>
      <w:pPr>
        <w:pStyle w:val="Heading"/>
        <w:jc w:val="center"/>
        <w:rPr/>
      </w:pPr>
      <w:r>
        <w:rPr/>
      </w:r>
    </w:p>
    <w:p>
      <w:pPr>
        <w:pStyle w:val="Heading"/>
        <w:jc w:val="center"/>
        <w:rPr/>
      </w:pPr>
      <w:r>
        <w:rPr/>
        <w:t>13. ЭЛЕКТРООБОРУДОВАНИЕ, ТЕХНОЛОГИЧЕСКИЙ КОНТРОЛЬ,</w:t>
      </w:r>
    </w:p>
    <w:p>
      <w:pPr>
        <w:pStyle w:val="Heading"/>
        <w:jc w:val="center"/>
        <w:rPr/>
      </w:pPr>
      <w:r>
        <w:rPr/>
        <w:t>АВТОМАТИЗАЦИЯ И СИСТЕМЫ УПРАВЛЕНИЯ</w:t>
      </w:r>
    </w:p>
    <w:p>
      <w:pPr>
        <w:pStyle w:val="Heading"/>
        <w:jc w:val="center"/>
        <w:rPr/>
      </w:pPr>
      <w:r>
        <w:rPr/>
      </w:r>
    </w:p>
    <w:p>
      <w:pPr>
        <w:pStyle w:val="Heading"/>
        <w:jc w:val="center"/>
        <w:rPr/>
      </w:pPr>
      <w:r>
        <w:rPr/>
        <w:t>Общие указания</w:t>
      </w:r>
    </w:p>
    <w:p>
      <w:pPr>
        <w:pStyle w:val="Heading"/>
        <w:jc w:val="center"/>
        <w:rPr/>
      </w:pPr>
      <w:r>
        <w:rPr/>
      </w:r>
    </w:p>
    <w:p>
      <w:pPr>
        <w:pStyle w:val="Normal"/>
        <w:ind w:firstLine="270"/>
        <w:jc w:val="both"/>
        <w:rPr/>
      </w:pPr>
      <w:r>
        <w:rPr/>
      </w:r>
    </w:p>
    <w:p>
      <w:pPr>
        <w:pStyle w:val="Normal"/>
        <w:ind w:firstLine="225"/>
        <w:jc w:val="both"/>
        <w:rPr/>
      </w:pPr>
      <w:r>
        <w:rPr/>
        <w:t>13.1. Категории надежности электроснабжения электроприемников сооружений систем водоснабжения следует определять по «Правилам устройств электроустановок» (ПУЭ) Минэнерго СССР.</w:t>
      </w:r>
    </w:p>
    <w:p>
      <w:pPr>
        <w:pStyle w:val="Normal"/>
        <w:ind w:firstLine="225"/>
        <w:jc w:val="both"/>
        <w:rPr/>
      </w:pPr>
      <w:r>
        <w:rPr/>
      </w:r>
    </w:p>
    <w:p>
      <w:pPr>
        <w:pStyle w:val="Normal"/>
        <w:ind w:firstLine="225"/>
        <w:jc w:val="both"/>
        <w:rPr/>
      </w:pPr>
      <w:r>
        <w:rPr/>
        <w:t>Категория надежности электроснабжения насосной станции должна быть такой же, как категория насосной станции, принятая по п. 7.1.</w:t>
      </w:r>
    </w:p>
    <w:p>
      <w:pPr>
        <w:pStyle w:val="Normal"/>
        <w:ind w:firstLine="225"/>
        <w:jc w:val="both"/>
        <w:rPr/>
      </w:pPr>
      <w:r>
        <w:rPr/>
      </w:r>
    </w:p>
    <w:p>
      <w:pPr>
        <w:pStyle w:val="Normal"/>
        <w:ind w:firstLine="225"/>
        <w:jc w:val="both"/>
        <w:rPr/>
      </w:pPr>
      <w:r>
        <w:rPr/>
        <w:t>13.2. Выбор напряжения электродвигателей следует производить в зависимости от их мощности, принятой схемы электропитания и с учетом перспективы развития проектируемого объекта; выбор исполнения электродвигателей - в зависимости от окружающей среды и характеристики помещения, в котором устанавливается электрооборудование.</w:t>
      </w:r>
    </w:p>
    <w:p>
      <w:pPr>
        <w:pStyle w:val="Normal"/>
        <w:ind w:firstLine="225"/>
        <w:jc w:val="both"/>
        <w:rPr/>
      </w:pPr>
      <w:r>
        <w:rPr/>
      </w:r>
    </w:p>
    <w:p>
      <w:pPr>
        <w:pStyle w:val="Normal"/>
        <w:ind w:firstLine="225"/>
        <w:jc w:val="both"/>
        <w:rPr/>
      </w:pPr>
      <w:r>
        <w:rPr/>
        <w:t>Компенсация реактивной мощности должна осуществляться за счет перевозбуждения синхронных электродвигателей, а при их отсутствии с помощью статических компенсирующих устройств (конденсаторов) и с учетом требований «Руководящих указаний по компенсации реактивной мощности» Минэнерго СССР.</w:t>
      </w:r>
    </w:p>
    <w:p>
      <w:pPr>
        <w:pStyle w:val="Normal"/>
        <w:ind w:firstLine="225"/>
        <w:jc w:val="both"/>
        <w:rPr/>
      </w:pPr>
      <w:r>
        <w:rPr/>
      </w:r>
    </w:p>
    <w:p>
      <w:pPr>
        <w:pStyle w:val="Normal"/>
        <w:ind w:firstLine="225"/>
        <w:jc w:val="both"/>
        <w:rPr/>
      </w:pPr>
      <w:r>
        <w:rPr/>
        <w:t xml:space="preserve">13.3. Распределительные устройства, трансформаторные подстанции и щиты управления следует размещать во встраиваемых или пристраиваемых помещениях с учетом возможного их расширения и увеличения мощности. Допускается предусматривать отдельно стоящие закрытые распределительные устройства и трансформаторные подстанции.        </w:t>
      </w:r>
    </w:p>
    <w:p>
      <w:pPr>
        <w:pStyle w:val="Normal"/>
        <w:ind w:firstLine="225"/>
        <w:jc w:val="both"/>
        <w:rPr/>
      </w:pPr>
      <w:r>
        <w:rPr/>
      </w:r>
    </w:p>
    <w:p>
      <w:pPr>
        <w:pStyle w:val="Normal"/>
        <w:ind w:firstLine="225"/>
        <w:jc w:val="both"/>
        <w:rPr/>
      </w:pPr>
      <w:r>
        <w:rPr/>
        <w:t>При установке закрытых щитов в производственных помещениях на балконах следует принимать меры, исключающие попадание на них воды.</w:t>
      </w:r>
    </w:p>
    <w:p>
      <w:pPr>
        <w:pStyle w:val="Normal"/>
        <w:ind w:firstLine="225"/>
        <w:jc w:val="both"/>
        <w:rPr/>
      </w:pPr>
      <w:r>
        <w:rPr/>
      </w:r>
    </w:p>
    <w:p>
      <w:pPr>
        <w:pStyle w:val="Normal"/>
        <w:ind w:firstLine="225"/>
        <w:jc w:val="both"/>
        <w:rPr/>
      </w:pPr>
      <w:r>
        <w:rPr/>
        <w:t xml:space="preserve">13.4. В системах технологического контроля необходимо предусматривать: </w:t>
      </w:r>
    </w:p>
    <w:p>
      <w:pPr>
        <w:pStyle w:val="Normal"/>
        <w:ind w:firstLine="225"/>
        <w:jc w:val="both"/>
        <w:rPr/>
      </w:pPr>
      <w:r>
        <w:rPr/>
      </w:r>
    </w:p>
    <w:p>
      <w:pPr>
        <w:pStyle w:val="Normal"/>
        <w:ind w:firstLine="225"/>
        <w:jc w:val="both"/>
        <w:rPr/>
      </w:pPr>
      <w:r>
        <w:rPr/>
        <w:t xml:space="preserve">средства и приборы постоянного контроля; </w:t>
      </w:r>
    </w:p>
    <w:p>
      <w:pPr>
        <w:pStyle w:val="Normal"/>
        <w:ind w:firstLine="225"/>
        <w:jc w:val="both"/>
        <w:rPr/>
      </w:pPr>
      <w:r>
        <w:rPr/>
      </w:r>
    </w:p>
    <w:p>
      <w:pPr>
        <w:pStyle w:val="Normal"/>
        <w:ind w:firstLine="225"/>
        <w:jc w:val="both"/>
        <w:rPr/>
      </w:pPr>
      <w:r>
        <w:rPr/>
        <w:t>средства периодического контроля (для наладки и проверки работы сооружений и др.).</w:t>
      </w:r>
    </w:p>
    <w:p>
      <w:pPr>
        <w:pStyle w:val="Normal"/>
        <w:ind w:firstLine="225"/>
        <w:jc w:val="both"/>
        <w:rPr/>
      </w:pPr>
      <w:r>
        <w:rPr/>
      </w:r>
    </w:p>
    <w:p>
      <w:pPr>
        <w:pStyle w:val="Normal"/>
        <w:ind w:firstLine="225"/>
        <w:jc w:val="both"/>
        <w:rPr/>
      </w:pPr>
      <w:r>
        <w:rPr/>
        <w:t>13.5. Технологический контроль качественных параметров воды следует осуществлять непрерывным контролем приборами и анализаторами или лабораторными методами.</w:t>
      </w:r>
    </w:p>
    <w:p>
      <w:pPr>
        <w:pStyle w:val="Normal"/>
        <w:ind w:firstLine="225"/>
        <w:jc w:val="both"/>
        <w:rPr/>
      </w:pPr>
      <w:r>
        <w:rPr/>
      </w:r>
    </w:p>
    <w:p>
      <w:pPr>
        <w:pStyle w:val="Normal"/>
        <w:ind w:firstLine="225"/>
        <w:jc w:val="both"/>
        <w:rPr/>
      </w:pPr>
      <w:r>
        <w:rPr/>
        <w:t>13.6. В конструкциях сооружений следует предусматривать закладные детали, проемы, камеры и пр., для установки средств электрооборудования и автоматизации.</w:t>
      </w:r>
    </w:p>
    <w:p>
      <w:pPr>
        <w:pStyle w:val="Normal"/>
        <w:ind w:firstLine="225"/>
        <w:jc w:val="both"/>
        <w:rPr/>
      </w:pPr>
      <w:r>
        <w:rPr/>
      </w:r>
    </w:p>
    <w:p>
      <w:pPr>
        <w:pStyle w:val="Normal"/>
        <w:ind w:firstLine="225"/>
        <w:jc w:val="both"/>
        <w:rPr/>
      </w:pPr>
      <w:r>
        <w:rPr/>
        <w:t>13.7. Системы управления технологическими процессами и объем автоматизации сооружений должны приниматься в зависимости от условий эксплуатации, обосновываться технико-экономическими расчетами и учитывать социальные факторы.</w:t>
      </w:r>
    </w:p>
    <w:p>
      <w:pPr>
        <w:pStyle w:val="Normal"/>
        <w:ind w:firstLine="225"/>
        <w:jc w:val="both"/>
        <w:rPr/>
      </w:pPr>
      <w:r>
        <w:rPr/>
      </w:r>
    </w:p>
    <w:p>
      <w:pPr>
        <w:pStyle w:val="Heading"/>
        <w:jc w:val="center"/>
        <w:rPr/>
      </w:pPr>
      <w:r>
        <w:rPr/>
      </w:r>
    </w:p>
    <w:p>
      <w:pPr>
        <w:pStyle w:val="Heading"/>
        <w:jc w:val="center"/>
        <w:rPr/>
      </w:pPr>
      <w:r>
        <w:rPr/>
        <w:t>Водозаборные сооружения</w:t>
      </w:r>
    </w:p>
    <w:p>
      <w:pPr>
        <w:pStyle w:val="Heading"/>
        <w:jc w:val="center"/>
        <w:rPr/>
      </w:pPr>
      <w:r>
        <w:rPr/>
        <w:t>поверхностных и подземных вод</w:t>
      </w:r>
    </w:p>
    <w:p>
      <w:pPr>
        <w:pStyle w:val="Heading"/>
        <w:jc w:val="center"/>
        <w:rPr/>
      </w:pPr>
      <w:r>
        <w:rPr/>
      </w:r>
    </w:p>
    <w:p>
      <w:pPr>
        <w:pStyle w:val="Normal"/>
        <w:ind w:firstLine="270"/>
        <w:jc w:val="both"/>
        <w:rPr/>
      </w:pPr>
      <w:r>
        <w:rPr/>
      </w:r>
    </w:p>
    <w:p>
      <w:pPr>
        <w:pStyle w:val="Normal"/>
        <w:ind w:firstLine="225"/>
        <w:jc w:val="both"/>
        <w:rPr/>
      </w:pPr>
      <w:r>
        <w:rPr/>
        <w:t>13.8. В водозаборных сооружениях поверхностных вод необходимо предусматривать контроль перепада уровня воды на решетках и сетках, а также измерение уровня воды в камерах, в водоеме или водотоке.</w:t>
      </w:r>
    </w:p>
    <w:p>
      <w:pPr>
        <w:pStyle w:val="Normal"/>
        <w:ind w:firstLine="225"/>
        <w:jc w:val="both"/>
        <w:rPr/>
      </w:pPr>
      <w:r>
        <w:rPr/>
      </w:r>
    </w:p>
    <w:p>
      <w:pPr>
        <w:pStyle w:val="Normal"/>
        <w:ind w:firstLine="225"/>
        <w:jc w:val="both"/>
        <w:rPr/>
      </w:pPr>
      <w:r>
        <w:rPr/>
        <w:t>13.9. В водозаборных сооружениях подземных вод следует предусматривать измерения расхода или количества воды, подаваемой из каждой скважины (шахтного колодца), уровня воды в скважинах (колодцах), сборном резервуаре, а также давлений на насосах.</w:t>
      </w:r>
    </w:p>
    <w:p>
      <w:pPr>
        <w:pStyle w:val="Normal"/>
        <w:ind w:firstLine="225"/>
        <w:jc w:val="both"/>
        <w:rPr/>
      </w:pPr>
      <w:r>
        <w:rPr/>
      </w:r>
    </w:p>
    <w:p>
      <w:pPr>
        <w:pStyle w:val="Normal"/>
        <w:ind w:firstLine="225"/>
        <w:jc w:val="both"/>
        <w:rPr/>
      </w:pPr>
      <w:r>
        <w:rPr/>
        <w:t xml:space="preserve">13.10. Для скважин (колодцев) следует предусматривать автоматическое отключение насосов при падении уровня воды ниже допустимого. </w:t>
      </w:r>
    </w:p>
    <w:p>
      <w:pPr>
        <w:pStyle w:val="Normal"/>
        <w:ind w:firstLine="225"/>
        <w:jc w:val="both"/>
        <w:rPr/>
      </w:pPr>
      <w:r>
        <w:rPr/>
      </w:r>
    </w:p>
    <w:p>
      <w:pPr>
        <w:pStyle w:val="Normal"/>
        <w:ind w:firstLine="225"/>
        <w:jc w:val="both"/>
        <w:rPr/>
      </w:pPr>
      <w:r>
        <w:rPr/>
        <w:t>13.11. В водозаборах подземных вод управление насосами следует предусматривать автоматическое в зависимости от уровня воды в водонапорной башне (сборном резервуаре) или дистанционное (телемеханическое) из пункта управления.</w:t>
      </w:r>
    </w:p>
    <w:p>
      <w:pPr>
        <w:pStyle w:val="Normal"/>
        <w:ind w:firstLine="225"/>
        <w:jc w:val="both"/>
        <w:rPr/>
      </w:pPr>
      <w:r>
        <w:rPr/>
      </w:r>
    </w:p>
    <w:p>
      <w:pPr>
        <w:pStyle w:val="Normal"/>
        <w:ind w:firstLine="225"/>
        <w:jc w:val="both"/>
        <w:rPr/>
      </w:pPr>
      <w:r>
        <w:rPr/>
      </w:r>
    </w:p>
    <w:p>
      <w:pPr>
        <w:pStyle w:val="Heading"/>
        <w:jc w:val="center"/>
        <w:rPr/>
      </w:pPr>
      <w:r>
        <w:rPr/>
        <w:t xml:space="preserve">Насосные станции </w:t>
      </w:r>
    </w:p>
    <w:p>
      <w:pPr>
        <w:pStyle w:val="Normal"/>
        <w:ind w:firstLine="270"/>
        <w:jc w:val="both"/>
        <w:rPr/>
      </w:pPr>
      <w:r>
        <w:rPr/>
      </w:r>
    </w:p>
    <w:p>
      <w:pPr>
        <w:pStyle w:val="Normal"/>
        <w:ind w:firstLine="270"/>
        <w:jc w:val="both"/>
        <w:rPr/>
      </w:pPr>
      <w:r>
        <w:rPr/>
      </w:r>
    </w:p>
    <w:p>
      <w:pPr>
        <w:pStyle w:val="Normal"/>
        <w:ind w:firstLine="225"/>
        <w:jc w:val="both"/>
        <w:rPr/>
      </w:pPr>
      <w:r>
        <w:rPr/>
        <w:t>13.12. В насосных станциях следует предусматривать измерение давления в напорных водоводах и у каждого насосного агрегата, расходов воды на напорных водоводах, а также контроль уровня воды в дренажных приямках и вакуум-котле, температуры подшипников агрегатов (при необходимости), аварийного уровня затопления (появления воды в машинном зале на уровне фундаментов электроприводов). При мощности насосного агрегата 100 кВт и более необходимо предусматривать периодическое определение коэффициента полезного действия с погрешностью не более 3 %.</w:t>
      </w:r>
    </w:p>
    <w:p>
      <w:pPr>
        <w:pStyle w:val="Normal"/>
        <w:ind w:firstLine="225"/>
        <w:jc w:val="both"/>
        <w:rPr/>
      </w:pPr>
      <w:r>
        <w:rPr/>
      </w:r>
    </w:p>
    <w:p>
      <w:pPr>
        <w:pStyle w:val="Normal"/>
        <w:ind w:firstLine="225"/>
        <w:jc w:val="both"/>
        <w:rPr/>
      </w:pPr>
      <w:r>
        <w:rPr/>
        <w:t>13.13. Насосные станции всех назначений должны проектироваться, как правило, с управлением без постоянного обслуживающего персонала: автоматическим - в зависимости от технологических параметров (уровня воды в емкостях, давления или расхода воды в сети); дистанционным (телемеханическим) - из пункта управления; местным - периодически приходящим персоналом с передачей необходимых сигналов на пункт управления или пункт с постоянным присутствием обслуживающего персонала.</w:t>
      </w:r>
    </w:p>
    <w:p>
      <w:pPr>
        <w:pStyle w:val="Normal"/>
        <w:ind w:firstLine="225"/>
        <w:jc w:val="both"/>
        <w:rPr/>
      </w:pPr>
      <w:r>
        <w:rPr/>
      </w:r>
    </w:p>
    <w:p>
      <w:pPr>
        <w:pStyle w:val="Normal"/>
        <w:ind w:firstLine="225"/>
        <w:jc w:val="both"/>
        <w:rPr/>
      </w:pPr>
      <w:r>
        <w:rPr/>
        <w:t>При автоматическом или дистанционном (телемеханическом) управлении должно предусматриваться также местное управление.</w:t>
      </w:r>
    </w:p>
    <w:p>
      <w:pPr>
        <w:pStyle w:val="Normal"/>
        <w:ind w:firstLine="225"/>
        <w:jc w:val="both"/>
        <w:rPr/>
      </w:pPr>
      <w:r>
        <w:rPr/>
      </w:r>
    </w:p>
    <w:p>
      <w:pPr>
        <w:pStyle w:val="Normal"/>
        <w:ind w:firstLine="225"/>
        <w:jc w:val="both"/>
        <w:rPr/>
      </w:pPr>
      <w:r>
        <w:rPr/>
        <w:t>13.14. Для насосных станций с переменным режимом работы должна быть предусмотрена возможность регулирования давления и расхода воды, обеспечивающих минимальный расход электроэнергии. Регулирование может осуществляться ступенчато - изменением числа работающих насосных агрегатов или плавно - изменением частоты вращения насосов, степени открытия регулирующей арматуры и другими способами, а также сочетанием этих способов.</w:t>
      </w:r>
    </w:p>
    <w:p>
      <w:pPr>
        <w:pStyle w:val="Normal"/>
        <w:ind w:firstLine="225"/>
        <w:jc w:val="both"/>
        <w:rPr/>
      </w:pPr>
      <w:r>
        <w:rPr/>
      </w:r>
    </w:p>
    <w:p>
      <w:pPr>
        <w:pStyle w:val="Normal"/>
        <w:ind w:firstLine="225"/>
        <w:jc w:val="both"/>
        <w:rPr/>
      </w:pPr>
      <w:r>
        <w:rPr/>
        <w:t>13.15. Регулируемым электроприводом следует оборудовать, как правило, один насосный агрегат в группе из 2-3 рабочих агрегатов.</w:t>
      </w:r>
    </w:p>
    <w:p>
      <w:pPr>
        <w:pStyle w:val="Normal"/>
        <w:ind w:firstLine="225"/>
        <w:jc w:val="both"/>
        <w:rPr/>
      </w:pPr>
      <w:r>
        <w:rPr/>
      </w:r>
    </w:p>
    <w:p>
      <w:pPr>
        <w:pStyle w:val="Normal"/>
        <w:ind w:firstLine="225"/>
        <w:jc w:val="both"/>
        <w:rPr/>
      </w:pPr>
      <w:r>
        <w:rPr/>
        <w:t>Управление регулируемым электроприводом следует, как правило, осуществлять автоматически в зависимости от давления в диктующих точках сети, расхода воды, подаваемой в сеть, уровня воды в резервуарах.</w:t>
      </w:r>
    </w:p>
    <w:p>
      <w:pPr>
        <w:pStyle w:val="Normal"/>
        <w:ind w:firstLine="225"/>
        <w:jc w:val="both"/>
        <w:rPr/>
      </w:pPr>
      <w:r>
        <w:rPr/>
      </w:r>
    </w:p>
    <w:p>
      <w:pPr>
        <w:pStyle w:val="Normal"/>
        <w:ind w:firstLine="225"/>
        <w:jc w:val="both"/>
        <w:rPr/>
      </w:pPr>
      <w:r>
        <w:rPr/>
        <w:t>13.16. Для насосных агрегатов мощностью 250 кВт и более следует принимать синхронные электродвигатели, для агрегатов меньшей мощности - асинхронные короткозамкнутые электродвигатели. Для агрегатов, регулируемых по схеме асинхронно-вентильного каскада, надлежит применять асинхронные электродвигатели с фазным ротором.</w:t>
      </w:r>
    </w:p>
    <w:p>
      <w:pPr>
        <w:pStyle w:val="Normal"/>
        <w:ind w:firstLine="225"/>
        <w:jc w:val="both"/>
        <w:rPr/>
      </w:pPr>
      <w:r>
        <w:rPr/>
      </w:r>
    </w:p>
    <w:p>
      <w:pPr>
        <w:pStyle w:val="Normal"/>
        <w:ind w:firstLine="225"/>
        <w:jc w:val="both"/>
        <w:rPr/>
      </w:pPr>
      <w:r>
        <w:rPr/>
        <w:t>13.17. В автоматизируемых насосных станциях при аварийном отключении рабочих насосных агрегатов следует осуществлять автоматическое включение резервного агрегата.</w:t>
      </w:r>
    </w:p>
    <w:p>
      <w:pPr>
        <w:pStyle w:val="Normal"/>
        <w:ind w:firstLine="225"/>
        <w:jc w:val="both"/>
        <w:rPr/>
      </w:pPr>
      <w:r>
        <w:rPr/>
      </w:r>
    </w:p>
    <w:p>
      <w:pPr>
        <w:pStyle w:val="Normal"/>
        <w:ind w:firstLine="225"/>
        <w:jc w:val="both"/>
        <w:rPr/>
      </w:pPr>
      <w:r>
        <w:rPr/>
        <w:t>В телемеханизируемых насосных станциях автоматическое включение резервного агрегата следует осуществлять для насосных станций I категории.</w:t>
      </w:r>
    </w:p>
    <w:p>
      <w:pPr>
        <w:pStyle w:val="Normal"/>
        <w:ind w:firstLine="225"/>
        <w:jc w:val="both"/>
        <w:rPr/>
      </w:pPr>
      <w:r>
        <w:rPr/>
      </w:r>
    </w:p>
    <w:p>
      <w:pPr>
        <w:pStyle w:val="Normal"/>
        <w:ind w:firstLine="225"/>
        <w:jc w:val="both"/>
        <w:rPr/>
      </w:pPr>
      <w:r>
        <w:rPr/>
        <w:t>13.18. В насосных станциях I категории следует предусматривать самозапуск насосных агрегатов или автоматическое включение их с интервалом по времени при невозможности одновременного самозапуска по условиям электроснабжения.</w:t>
      </w:r>
    </w:p>
    <w:p>
      <w:pPr>
        <w:pStyle w:val="Normal"/>
        <w:ind w:firstLine="225"/>
        <w:jc w:val="both"/>
        <w:rPr/>
      </w:pPr>
      <w:r>
        <w:rPr/>
      </w:r>
    </w:p>
    <w:p>
      <w:pPr>
        <w:pStyle w:val="Normal"/>
        <w:ind w:firstLine="225"/>
        <w:jc w:val="both"/>
        <w:rPr/>
      </w:pPr>
      <w:r>
        <w:rPr/>
        <w:t>13.19. При установке в насосной станции вакуум-котла для залива насосов должна быть обеспечена автоматическая работа вакуум-насосов в зависимости от уровня воды в котле.</w:t>
      </w:r>
    </w:p>
    <w:p>
      <w:pPr>
        <w:pStyle w:val="Normal"/>
        <w:ind w:firstLine="225"/>
        <w:jc w:val="both"/>
        <w:rPr/>
      </w:pPr>
      <w:r>
        <w:rPr/>
      </w:r>
    </w:p>
    <w:p>
      <w:pPr>
        <w:pStyle w:val="Normal"/>
        <w:ind w:firstLine="225"/>
        <w:jc w:val="both"/>
        <w:rPr/>
      </w:pPr>
      <w:r>
        <w:rPr/>
        <w:t>13.20. В насосных станциях должна предусматриваться блокировка, исключающая сработку пожарного, а также аварийного объема воды в резервуарах.</w:t>
      </w:r>
    </w:p>
    <w:p>
      <w:pPr>
        <w:pStyle w:val="Normal"/>
        <w:ind w:firstLine="225"/>
        <w:jc w:val="both"/>
        <w:rPr/>
      </w:pPr>
      <w:r>
        <w:rPr/>
      </w:r>
    </w:p>
    <w:p>
      <w:pPr>
        <w:pStyle w:val="Normal"/>
        <w:ind w:firstLine="225"/>
        <w:jc w:val="both"/>
        <w:rPr/>
      </w:pPr>
      <w:r>
        <w:rPr/>
        <w:t>13.21. Управление пожарными насосами следует принимать дистанционным, при этом одновременно с включением пожарного насоса должны автоматически сниматься блокировка, запрещающая сработку пожарного объема воды, а также выключаться промывные насосы (при их наличии). При системе пожаротушения высокого давления одновременно с включением пожарных насосов должны автоматически выключаться все насосы другого назначения и закрываться задвижки на подающем трубопроводе в водонапорную башню или напорные резервуары.</w:t>
      </w:r>
    </w:p>
    <w:p>
      <w:pPr>
        <w:pStyle w:val="Normal"/>
        <w:ind w:firstLine="225"/>
        <w:jc w:val="both"/>
        <w:rPr/>
      </w:pPr>
      <w:r>
        <w:rPr/>
      </w:r>
    </w:p>
    <w:p>
      <w:pPr>
        <w:pStyle w:val="Normal"/>
        <w:ind w:firstLine="225"/>
        <w:jc w:val="both"/>
        <w:rPr/>
      </w:pPr>
      <w:r>
        <w:rPr/>
        <w:t>13.22. Вакуум-насосы в насосных станциях с сифонным забором воды должны работать автоматически по уровню воды в воздушном колпаке, установленном на сифонной линии.</w:t>
      </w:r>
    </w:p>
    <w:p>
      <w:pPr>
        <w:pStyle w:val="Normal"/>
        <w:ind w:firstLine="225"/>
        <w:jc w:val="both"/>
        <w:rPr/>
      </w:pPr>
      <w:r>
        <w:rPr/>
      </w:r>
    </w:p>
    <w:p>
      <w:pPr>
        <w:pStyle w:val="Normal"/>
        <w:ind w:firstLine="225"/>
        <w:jc w:val="both"/>
        <w:rPr/>
      </w:pPr>
      <w:r>
        <w:rPr/>
        <w:t xml:space="preserve">13.23. В насосных станциях должна предусматриваться автоматизация следующих вспомогательных процессов: промывки вращающихся сеток по заданной программе, регулируемой по времени или перепаду уровней, откачки дренажных вод по уровням воды в приямке, электроотопления по температуре воздуха в помещении, а также вентиляции согласно СНиП 2.04.05-91.     </w:t>
      </w:r>
    </w:p>
    <w:p>
      <w:pPr>
        <w:pStyle w:val="Normal"/>
        <w:ind w:firstLine="225"/>
        <w:jc w:val="both"/>
        <w:rPr/>
      </w:pPr>
      <w:r>
        <w:rPr/>
      </w:r>
    </w:p>
    <w:p>
      <w:pPr>
        <w:pStyle w:val="Heading"/>
        <w:ind w:firstLine="300"/>
        <w:jc w:val="both"/>
        <w:rPr/>
      </w:pPr>
      <w:r>
        <w:rPr/>
      </w:r>
    </w:p>
    <w:p>
      <w:pPr>
        <w:pStyle w:val="Normal"/>
        <w:jc w:val="center"/>
        <w:rPr>
          <w:b/>
          <w:b/>
          <w:sz w:val="22"/>
        </w:rPr>
      </w:pPr>
      <w:r>
        <w:rPr>
          <w:b/>
          <w:sz w:val="22"/>
        </w:rPr>
        <w:t xml:space="preserve">Станции водоподготовки </w:t>
      </w:r>
    </w:p>
    <w:p>
      <w:pPr>
        <w:pStyle w:val="Normal"/>
        <w:ind w:firstLine="270"/>
        <w:jc w:val="both"/>
        <w:rPr>
          <w:b/>
          <w:b/>
          <w:sz w:val="22"/>
        </w:rPr>
      </w:pPr>
      <w:r>
        <w:rPr>
          <w:b/>
          <w:sz w:val="22"/>
        </w:rPr>
      </w:r>
    </w:p>
    <w:p>
      <w:pPr>
        <w:pStyle w:val="Normal"/>
        <w:ind w:firstLine="270"/>
        <w:jc w:val="both"/>
        <w:rPr/>
      </w:pPr>
      <w:r>
        <w:rPr/>
      </w:r>
    </w:p>
    <w:p>
      <w:pPr>
        <w:pStyle w:val="Normal"/>
        <w:ind w:firstLine="225"/>
        <w:jc w:val="both"/>
        <w:rPr/>
      </w:pPr>
      <w:r>
        <w:rPr/>
        <w:t>13.24. В станциях водоподготовки следует контролировать:</w:t>
      </w:r>
    </w:p>
    <w:p>
      <w:pPr>
        <w:pStyle w:val="Normal"/>
        <w:ind w:firstLine="225"/>
        <w:jc w:val="both"/>
        <w:rPr/>
      </w:pPr>
      <w:r>
        <w:rPr/>
      </w:r>
    </w:p>
    <w:p>
      <w:pPr>
        <w:pStyle w:val="Normal"/>
        <w:ind w:firstLine="225"/>
        <w:jc w:val="both"/>
        <w:rPr/>
      </w:pPr>
      <w:r>
        <w:rPr/>
        <w:t>расход воды (исходной, обработанной, промывной и повторно используемой);</w:t>
      </w:r>
    </w:p>
    <w:p>
      <w:pPr>
        <w:pStyle w:val="Normal"/>
        <w:ind w:firstLine="225"/>
        <w:jc w:val="both"/>
        <w:rPr/>
      </w:pPr>
      <w:r>
        <w:rPr/>
      </w:r>
    </w:p>
    <w:p>
      <w:pPr>
        <w:pStyle w:val="Normal"/>
        <w:ind w:firstLine="225"/>
        <w:jc w:val="both"/>
        <w:rPr/>
      </w:pPr>
      <w:r>
        <w:rPr/>
        <w:t>расход растворов реагентов и воздуха;</w:t>
      </w:r>
    </w:p>
    <w:p>
      <w:pPr>
        <w:pStyle w:val="Normal"/>
        <w:ind w:firstLine="225"/>
        <w:jc w:val="both"/>
        <w:rPr/>
      </w:pPr>
      <w:r>
        <w:rPr/>
      </w:r>
    </w:p>
    <w:p>
      <w:pPr>
        <w:pStyle w:val="Normal"/>
        <w:ind w:firstLine="225"/>
        <w:jc w:val="both"/>
        <w:rPr/>
      </w:pPr>
      <w:r>
        <w:rPr/>
        <w:t>уровни воды в фильтрах, смесителях, баках реагентов и других емкостях;</w:t>
      </w:r>
    </w:p>
    <w:p>
      <w:pPr>
        <w:pStyle w:val="Normal"/>
        <w:ind w:firstLine="225"/>
        <w:jc w:val="both"/>
        <w:rPr/>
      </w:pPr>
      <w:r>
        <w:rPr/>
      </w:r>
    </w:p>
    <w:p>
      <w:pPr>
        <w:pStyle w:val="Normal"/>
        <w:ind w:firstLine="225"/>
        <w:jc w:val="both"/>
        <w:rPr/>
      </w:pPr>
      <w:r>
        <w:rPr/>
        <w:t>уровни осадка в отстойниках и осветлителях;</w:t>
      </w:r>
    </w:p>
    <w:p>
      <w:pPr>
        <w:pStyle w:val="Normal"/>
        <w:ind w:firstLine="225"/>
        <w:jc w:val="both"/>
        <w:rPr/>
      </w:pPr>
      <w:r>
        <w:rPr/>
      </w:r>
    </w:p>
    <w:p>
      <w:pPr>
        <w:pStyle w:val="Normal"/>
        <w:ind w:firstLine="225"/>
        <w:jc w:val="both"/>
        <w:rPr/>
      </w:pPr>
      <w:r>
        <w:rPr/>
        <w:t>расходы воды и потери напора в фильтрах (при необходимости);</w:t>
      </w:r>
    </w:p>
    <w:p>
      <w:pPr>
        <w:pStyle w:val="Normal"/>
        <w:ind w:firstLine="225"/>
        <w:jc w:val="both"/>
        <w:rPr/>
      </w:pPr>
      <w:r>
        <w:rPr/>
      </w:r>
    </w:p>
    <w:p>
      <w:pPr>
        <w:pStyle w:val="Normal"/>
        <w:ind w:firstLine="225"/>
        <w:jc w:val="both"/>
        <w:rPr/>
      </w:pPr>
      <w:r>
        <w:rPr/>
        <w:t>величину остаточного хлора или озона;</w:t>
      </w:r>
    </w:p>
    <w:p>
      <w:pPr>
        <w:pStyle w:val="Normal"/>
        <w:ind w:firstLine="225"/>
        <w:jc w:val="both"/>
        <w:rPr/>
      </w:pPr>
      <w:r>
        <w:rPr/>
      </w:r>
    </w:p>
    <w:p>
      <w:pPr>
        <w:pStyle w:val="Normal"/>
        <w:ind w:firstLine="225"/>
        <w:jc w:val="both"/>
        <w:rPr/>
      </w:pPr>
      <w:r>
        <w:rPr/>
        <w:t>величину рН исходной и обработанной воды;</w:t>
      </w:r>
    </w:p>
    <w:p>
      <w:pPr>
        <w:pStyle w:val="Normal"/>
        <w:ind w:firstLine="225"/>
        <w:jc w:val="both"/>
        <w:rPr/>
      </w:pPr>
      <w:r>
        <w:rPr/>
      </w:r>
    </w:p>
    <w:p>
      <w:pPr>
        <w:pStyle w:val="Normal"/>
        <w:ind w:firstLine="225"/>
        <w:jc w:val="both"/>
        <w:rPr/>
      </w:pPr>
      <w:r>
        <w:rPr/>
        <w:t>концентрации растворов реагентов (допускается измерение переносными приборами и лабораторным методом);</w:t>
      </w:r>
    </w:p>
    <w:p>
      <w:pPr>
        <w:pStyle w:val="Normal"/>
        <w:ind w:firstLine="225"/>
        <w:jc w:val="both"/>
        <w:rPr/>
      </w:pPr>
      <w:r>
        <w:rPr/>
      </w:r>
    </w:p>
    <w:p>
      <w:pPr>
        <w:pStyle w:val="Normal"/>
        <w:ind w:firstLine="225"/>
        <w:jc w:val="both"/>
        <w:rPr/>
      </w:pPr>
      <w:r>
        <w:rPr/>
        <w:t>другие технологические параметры, которые требуют оперативного контроля и обеспечены соответствующими техническими средствами.</w:t>
      </w:r>
    </w:p>
    <w:p>
      <w:pPr>
        <w:pStyle w:val="Normal"/>
        <w:ind w:firstLine="225"/>
        <w:jc w:val="both"/>
        <w:rPr/>
      </w:pPr>
      <w:r>
        <w:rPr/>
      </w:r>
    </w:p>
    <w:p>
      <w:pPr>
        <w:pStyle w:val="Normal"/>
        <w:ind w:firstLine="225"/>
        <w:jc w:val="both"/>
        <w:rPr/>
      </w:pPr>
      <w:r>
        <w:rPr/>
        <w:t>13.25. Следует предусматривать автоматизацию:</w:t>
      </w:r>
    </w:p>
    <w:p>
      <w:pPr>
        <w:pStyle w:val="Normal"/>
        <w:ind w:firstLine="225"/>
        <w:jc w:val="both"/>
        <w:rPr/>
      </w:pPr>
      <w:r>
        <w:rPr/>
      </w:r>
    </w:p>
    <w:p>
      <w:pPr>
        <w:pStyle w:val="Normal"/>
        <w:ind w:firstLine="225"/>
        <w:jc w:val="both"/>
        <w:rPr/>
      </w:pPr>
      <w:r>
        <w:rPr/>
        <w:t>дозирования коагулянтов и других реагентов;</w:t>
      </w:r>
    </w:p>
    <w:p>
      <w:pPr>
        <w:pStyle w:val="Normal"/>
        <w:ind w:firstLine="225"/>
        <w:jc w:val="both"/>
        <w:rPr/>
      </w:pPr>
      <w:r>
        <w:rPr/>
      </w:r>
    </w:p>
    <w:p>
      <w:pPr>
        <w:pStyle w:val="Normal"/>
        <w:ind w:firstLine="225"/>
        <w:jc w:val="both"/>
        <w:rPr/>
      </w:pPr>
      <w:r>
        <w:rPr/>
        <w:t>процесса обеззараживания хлором, озоном и хлор-реагентами;</w:t>
      </w:r>
    </w:p>
    <w:p>
      <w:pPr>
        <w:pStyle w:val="Normal"/>
        <w:ind w:firstLine="225"/>
        <w:jc w:val="both"/>
        <w:rPr/>
      </w:pPr>
      <w:r>
        <w:rPr/>
      </w:r>
    </w:p>
    <w:p>
      <w:pPr>
        <w:pStyle w:val="Normal"/>
        <w:ind w:firstLine="225"/>
        <w:jc w:val="both"/>
        <w:rPr/>
      </w:pPr>
      <w:r>
        <w:rPr/>
        <w:t>процесса фторирования и обесфторивания реагентным методом.</w:t>
      </w:r>
    </w:p>
    <w:p>
      <w:pPr>
        <w:pStyle w:val="Normal"/>
        <w:ind w:firstLine="225"/>
        <w:jc w:val="both"/>
        <w:rPr/>
      </w:pPr>
      <w:r>
        <w:rPr/>
      </w:r>
    </w:p>
    <w:p>
      <w:pPr>
        <w:pStyle w:val="Normal"/>
        <w:ind w:firstLine="225"/>
        <w:jc w:val="both"/>
        <w:rPr/>
      </w:pPr>
      <w:r>
        <w:rPr/>
        <w:t>При переменных расходах воды автоматизацию дозирования растворов реагентов надлежит предусматривать по соотношению расходов обрабатываемой воды и реагента постоянной концентрации с местной или дистанционной коррекцией этого соотношения, при обосновании - по качественным показателям исходной воды и реагентов.</w:t>
      </w:r>
    </w:p>
    <w:p>
      <w:pPr>
        <w:pStyle w:val="Normal"/>
        <w:ind w:firstLine="225"/>
        <w:jc w:val="both"/>
        <w:rPr/>
      </w:pPr>
      <w:r>
        <w:rPr/>
      </w:r>
    </w:p>
    <w:p>
      <w:pPr>
        <w:pStyle w:val="Normal"/>
        <w:ind w:firstLine="225"/>
        <w:jc w:val="both"/>
        <w:rPr/>
      </w:pPr>
      <w:r>
        <w:rPr/>
        <w:t>13.26. На фильтрах и контактных осветлителях необходимо предусматривать регулирование скорости фильтрования по расходу воды или по уровню воды на фильтрах с обеспечением равномерного распределения воды между ними.</w:t>
      </w:r>
    </w:p>
    <w:p>
      <w:pPr>
        <w:pStyle w:val="Normal"/>
        <w:ind w:firstLine="225"/>
        <w:jc w:val="both"/>
        <w:rPr/>
      </w:pPr>
      <w:r>
        <w:rPr/>
      </w:r>
    </w:p>
    <w:p>
      <w:pPr>
        <w:pStyle w:val="Normal"/>
        <w:ind w:firstLine="225"/>
        <w:jc w:val="both"/>
        <w:rPr/>
      </w:pPr>
      <w:r>
        <w:rPr/>
        <w:t>13.27. Промывку фильтров и контактных осветлителей (при количестве более 10) следует автоматизировать.</w:t>
      </w:r>
    </w:p>
    <w:p>
      <w:pPr>
        <w:pStyle w:val="Normal"/>
        <w:ind w:firstLine="225"/>
        <w:jc w:val="both"/>
        <w:rPr/>
      </w:pPr>
      <w:r>
        <w:rPr/>
      </w:r>
    </w:p>
    <w:p>
      <w:pPr>
        <w:pStyle w:val="Normal"/>
        <w:ind w:firstLine="225"/>
        <w:jc w:val="both"/>
        <w:rPr/>
      </w:pPr>
      <w:r>
        <w:rPr/>
        <w:t>Вывод фильтров на промывку следует предусматривать по уровню воды, величине потери напора в загрузке фильтра или качеству фильтрата; вывод на промывку контактных осветлителей -  по величине потери напора или уменьшению расхода при полностью открытой регулирующей арматуре.</w:t>
      </w:r>
    </w:p>
    <w:p>
      <w:pPr>
        <w:pStyle w:val="Normal"/>
        <w:ind w:firstLine="225"/>
        <w:jc w:val="both"/>
        <w:rPr/>
      </w:pPr>
      <w:r>
        <w:rPr/>
      </w:r>
    </w:p>
    <w:p>
      <w:pPr>
        <w:pStyle w:val="Normal"/>
        <w:ind w:firstLine="225"/>
        <w:jc w:val="both"/>
        <w:rPr/>
      </w:pPr>
      <w:r>
        <w:rPr/>
        <w:t>13.28. На фильтрах должно быть предусмотрено автоматическое удаление воздуха из трубопровода, подающего воду на промывку.</w:t>
      </w:r>
    </w:p>
    <w:p>
      <w:pPr>
        <w:pStyle w:val="Normal"/>
        <w:ind w:firstLine="225"/>
        <w:jc w:val="both"/>
        <w:rPr/>
      </w:pPr>
      <w:r>
        <w:rPr/>
      </w:r>
    </w:p>
    <w:p>
      <w:pPr>
        <w:pStyle w:val="Normal"/>
        <w:ind w:firstLine="225"/>
        <w:jc w:val="both"/>
        <w:rPr/>
      </w:pPr>
      <w:r>
        <w:rPr/>
        <w:t>13.29. Промывку барабанных сеток и микрофильтров следует принимать автоматической по заданной программе или по величине перепада уровней воды.</w:t>
      </w:r>
    </w:p>
    <w:p>
      <w:pPr>
        <w:pStyle w:val="Normal"/>
        <w:ind w:firstLine="225"/>
        <w:jc w:val="both"/>
        <w:rPr/>
      </w:pPr>
      <w:r>
        <w:rPr/>
      </w:r>
    </w:p>
    <w:p>
      <w:pPr>
        <w:pStyle w:val="Normal"/>
        <w:ind w:firstLine="225"/>
        <w:jc w:val="both"/>
        <w:rPr/>
      </w:pPr>
      <w:r>
        <w:rPr/>
        <w:t>13.30. Насосы, перекачивающие растворы реагентов, должны иметь местное управление с автоматическим отключением их при заданных уровнях растворов в баках.</w:t>
      </w:r>
    </w:p>
    <w:p>
      <w:pPr>
        <w:pStyle w:val="Normal"/>
        <w:ind w:firstLine="225"/>
        <w:jc w:val="both"/>
        <w:rPr/>
      </w:pPr>
      <w:r>
        <w:rPr/>
      </w:r>
    </w:p>
    <w:p>
      <w:pPr>
        <w:pStyle w:val="Normal"/>
        <w:ind w:firstLine="225"/>
        <w:jc w:val="both"/>
        <w:rPr/>
      </w:pPr>
      <w:r>
        <w:rPr/>
        <w:t>13.31. На установках для реагентного умягчения воды следует автоматизировать дозирование реагентов по величине рН и электропроводности.</w:t>
      </w:r>
    </w:p>
    <w:p>
      <w:pPr>
        <w:pStyle w:val="Normal"/>
        <w:ind w:firstLine="225"/>
        <w:jc w:val="both"/>
        <w:rPr/>
      </w:pPr>
      <w:r>
        <w:rPr/>
      </w:r>
    </w:p>
    <w:p>
      <w:pPr>
        <w:pStyle w:val="Normal"/>
        <w:ind w:firstLine="225"/>
        <w:jc w:val="both"/>
        <w:rPr/>
      </w:pPr>
      <w:r>
        <w:rPr/>
        <w:t>На установках для удаления карбонатной жесткости и рекарбонизации воды следует автоматизировать дозирование реагентов (извести, соды, дымовых газов) по величине рН, удельной электропроводности и т. п.</w:t>
      </w:r>
    </w:p>
    <w:p>
      <w:pPr>
        <w:pStyle w:val="Normal"/>
        <w:ind w:firstLine="225"/>
        <w:jc w:val="both"/>
        <w:rPr/>
      </w:pPr>
      <w:r>
        <w:rPr/>
      </w:r>
    </w:p>
    <w:p>
      <w:pPr>
        <w:pStyle w:val="Normal"/>
        <w:ind w:firstLine="225"/>
        <w:jc w:val="both"/>
        <w:rPr/>
      </w:pPr>
      <w:r>
        <w:rPr/>
        <w:t>13.32. Регенерацию ионообменных фильтров следует автоматизировать: катионитных - по остаточной жесткости воды, анионитных - по электропроводности обработанной воды.</w:t>
      </w:r>
    </w:p>
    <w:p>
      <w:pPr>
        <w:pStyle w:val="Normal"/>
        <w:ind w:firstLine="225"/>
        <w:jc w:val="both"/>
        <w:rPr/>
      </w:pPr>
      <w:r>
        <w:rPr/>
      </w:r>
    </w:p>
    <w:p>
      <w:pPr>
        <w:pStyle w:val="Normal"/>
        <w:ind w:firstLine="225"/>
        <w:jc w:val="both"/>
        <w:rPr/>
      </w:pPr>
      <w:r>
        <w:rPr/>
      </w:r>
    </w:p>
    <w:p>
      <w:pPr>
        <w:pStyle w:val="Heading"/>
        <w:jc w:val="center"/>
        <w:rPr/>
      </w:pPr>
      <w:r>
        <w:rPr/>
        <w:t>Водоводы и водопроводные сети</w:t>
      </w:r>
    </w:p>
    <w:p>
      <w:pPr>
        <w:pStyle w:val="Heading"/>
        <w:jc w:val="center"/>
        <w:rPr/>
      </w:pPr>
      <w:r>
        <w:rPr/>
      </w:r>
    </w:p>
    <w:p>
      <w:pPr>
        <w:pStyle w:val="Normal"/>
        <w:ind w:firstLine="270"/>
        <w:jc w:val="both"/>
        <w:rPr/>
      </w:pPr>
      <w:r>
        <w:rPr/>
      </w:r>
    </w:p>
    <w:p>
      <w:pPr>
        <w:pStyle w:val="Normal"/>
        <w:ind w:firstLine="225"/>
        <w:jc w:val="both"/>
        <w:rPr/>
      </w:pPr>
      <w:r>
        <w:rPr/>
        <w:t>13.33. На водоводах следует предусматривать устройства для сигнализации аварий.</w:t>
      </w:r>
    </w:p>
    <w:p>
      <w:pPr>
        <w:pStyle w:val="Normal"/>
        <w:ind w:firstLine="225"/>
        <w:jc w:val="both"/>
        <w:rPr/>
      </w:pPr>
      <w:r>
        <w:rPr/>
      </w:r>
    </w:p>
    <w:p>
      <w:pPr>
        <w:pStyle w:val="Normal"/>
        <w:ind w:firstLine="225"/>
        <w:jc w:val="both"/>
        <w:rPr/>
      </w:pPr>
      <w:r>
        <w:rPr/>
        <w:t>13.34. На линиях водопроводных сетей в контролируемых точках следует предусматривать установку приборов для измерения давления и при необходимости расхода воды и сигнализацию заданных параметров.</w:t>
      </w:r>
    </w:p>
    <w:p>
      <w:pPr>
        <w:pStyle w:val="Normal"/>
        <w:ind w:firstLine="225"/>
        <w:jc w:val="both"/>
        <w:rPr/>
      </w:pPr>
      <w:r>
        <w:rPr/>
      </w:r>
    </w:p>
    <w:p>
      <w:pPr>
        <w:pStyle w:val="Normal"/>
        <w:ind w:firstLine="225"/>
        <w:jc w:val="both"/>
        <w:rPr/>
      </w:pPr>
      <w:r>
        <w:rPr/>
        <w:t>13.35. При необходимости регулирования расходов воды следует предусматривать установку на сети поворотных затворов с дистанционным или телемеханическим управлением из пункта управления.</w:t>
      </w:r>
    </w:p>
    <w:p>
      <w:pPr>
        <w:pStyle w:val="Normal"/>
        <w:ind w:firstLine="225"/>
        <w:jc w:val="both"/>
        <w:rPr/>
      </w:pPr>
      <w:r>
        <w:rPr/>
      </w:r>
    </w:p>
    <w:p>
      <w:pPr>
        <w:pStyle w:val="Normal"/>
        <w:ind w:firstLine="225"/>
        <w:jc w:val="both"/>
        <w:rPr/>
      </w:pPr>
      <w:r>
        <w:rPr/>
      </w:r>
    </w:p>
    <w:p>
      <w:pPr>
        <w:pStyle w:val="Heading"/>
        <w:jc w:val="center"/>
        <w:rPr/>
      </w:pPr>
      <w:r>
        <w:rPr/>
        <w:t xml:space="preserve">Емкости для хранения воды </w:t>
      </w:r>
    </w:p>
    <w:p>
      <w:pPr>
        <w:pStyle w:val="Normal"/>
        <w:ind w:firstLine="270"/>
        <w:jc w:val="both"/>
        <w:rPr/>
      </w:pPr>
      <w:r>
        <w:rPr/>
      </w:r>
    </w:p>
    <w:p>
      <w:pPr>
        <w:pStyle w:val="Normal"/>
        <w:ind w:firstLine="270"/>
        <w:jc w:val="both"/>
        <w:rPr/>
      </w:pPr>
      <w:r>
        <w:rPr/>
      </w:r>
    </w:p>
    <w:p>
      <w:pPr>
        <w:pStyle w:val="Normal"/>
        <w:ind w:firstLine="225"/>
        <w:jc w:val="both"/>
        <w:rPr/>
      </w:pPr>
      <w:r>
        <w:rPr/>
        <w:t>13.36. В резервуарах и баках всех назначений следует предусматривать измерение уровней воды и их контроль (при необходимости) для использования в системах автоматики или передачи сигналов в насосную станцию или пункт управления.</w:t>
      </w:r>
    </w:p>
    <w:p>
      <w:pPr>
        <w:pStyle w:val="Normal"/>
        <w:ind w:firstLine="225"/>
        <w:jc w:val="both"/>
        <w:rPr/>
      </w:pPr>
      <w:r>
        <w:rPr/>
      </w:r>
    </w:p>
    <w:p>
      <w:pPr>
        <w:pStyle w:val="Normal"/>
        <w:ind w:firstLine="225"/>
        <w:jc w:val="both"/>
        <w:rPr/>
      </w:pPr>
      <w:r>
        <w:rPr/>
      </w:r>
    </w:p>
    <w:p>
      <w:pPr>
        <w:pStyle w:val="Heading"/>
        <w:jc w:val="center"/>
        <w:rPr/>
      </w:pPr>
      <w:r>
        <w:rPr/>
        <w:t xml:space="preserve">Системы оборотного водоснабжения </w:t>
      </w:r>
    </w:p>
    <w:p>
      <w:pPr>
        <w:pStyle w:val="Normal"/>
        <w:ind w:firstLine="270"/>
        <w:jc w:val="both"/>
        <w:rPr/>
      </w:pPr>
      <w:r>
        <w:rPr/>
      </w:r>
    </w:p>
    <w:p>
      <w:pPr>
        <w:pStyle w:val="Normal"/>
        <w:ind w:firstLine="270"/>
        <w:jc w:val="both"/>
        <w:rPr/>
      </w:pPr>
      <w:r>
        <w:rPr/>
      </w:r>
    </w:p>
    <w:p>
      <w:pPr>
        <w:pStyle w:val="Normal"/>
        <w:ind w:firstLine="225"/>
        <w:jc w:val="both"/>
        <w:rPr/>
      </w:pPr>
      <w:r>
        <w:rPr/>
        <w:t xml:space="preserve">13.37. В системах оборотного водоснабжения кроме требований п. 13.12 следует предусматривать контроль: </w:t>
      </w:r>
    </w:p>
    <w:p>
      <w:pPr>
        <w:pStyle w:val="Normal"/>
        <w:ind w:firstLine="225"/>
        <w:jc w:val="both"/>
        <w:rPr/>
      </w:pPr>
      <w:r>
        <w:rPr/>
      </w:r>
    </w:p>
    <w:p>
      <w:pPr>
        <w:pStyle w:val="Normal"/>
        <w:ind w:firstLine="225"/>
        <w:jc w:val="both"/>
        <w:rPr/>
      </w:pPr>
      <w:r>
        <w:rPr/>
        <w:t xml:space="preserve">расхода добавочной воды; </w:t>
      </w:r>
    </w:p>
    <w:p>
      <w:pPr>
        <w:pStyle w:val="Normal"/>
        <w:ind w:firstLine="225"/>
        <w:jc w:val="both"/>
        <w:rPr/>
      </w:pPr>
      <w:r>
        <w:rPr/>
      </w:r>
    </w:p>
    <w:p>
      <w:pPr>
        <w:pStyle w:val="Normal"/>
        <w:ind w:firstLine="225"/>
        <w:jc w:val="both"/>
        <w:rPr/>
      </w:pPr>
      <w:r>
        <w:rPr/>
        <w:t>уровней в камерах нагретой и охлажденной воды;</w:t>
      </w:r>
    </w:p>
    <w:p>
      <w:pPr>
        <w:pStyle w:val="Normal"/>
        <w:ind w:firstLine="225"/>
        <w:jc w:val="both"/>
        <w:rPr/>
      </w:pPr>
      <w:r>
        <w:rPr/>
      </w:r>
    </w:p>
    <w:p>
      <w:pPr>
        <w:pStyle w:val="Normal"/>
        <w:ind w:firstLine="225"/>
        <w:jc w:val="both"/>
        <w:rPr/>
      </w:pPr>
      <w:r>
        <w:rPr/>
        <w:t xml:space="preserve">температур нагретой и охлажденной воды; </w:t>
      </w:r>
    </w:p>
    <w:p>
      <w:pPr>
        <w:pStyle w:val="Normal"/>
        <w:ind w:firstLine="225"/>
        <w:jc w:val="both"/>
        <w:rPr/>
      </w:pPr>
      <w:r>
        <w:rPr/>
      </w:r>
    </w:p>
    <w:p>
      <w:pPr>
        <w:pStyle w:val="Normal"/>
        <w:ind w:firstLine="225"/>
        <w:jc w:val="both"/>
        <w:rPr/>
      </w:pPr>
      <w:r>
        <w:rPr/>
        <w:t xml:space="preserve">значения рН охлажденной воды; </w:t>
      </w:r>
    </w:p>
    <w:p>
      <w:pPr>
        <w:pStyle w:val="Normal"/>
        <w:ind w:firstLine="225"/>
        <w:jc w:val="both"/>
        <w:rPr/>
      </w:pPr>
      <w:r>
        <w:rPr/>
      </w:r>
    </w:p>
    <w:p>
      <w:pPr>
        <w:pStyle w:val="Normal"/>
        <w:ind w:firstLine="225"/>
        <w:jc w:val="both"/>
        <w:rPr/>
      </w:pPr>
      <w:r>
        <w:rPr/>
        <w:t>концентрации остаточного хлора в охлажденной воде;</w:t>
      </w:r>
    </w:p>
    <w:p>
      <w:pPr>
        <w:pStyle w:val="Normal"/>
        <w:ind w:firstLine="225"/>
        <w:jc w:val="both"/>
        <w:rPr/>
      </w:pPr>
      <w:r>
        <w:rPr/>
      </w:r>
    </w:p>
    <w:p>
      <w:pPr>
        <w:pStyle w:val="Normal"/>
        <w:ind w:firstLine="225"/>
        <w:jc w:val="both"/>
        <w:rPr/>
      </w:pPr>
      <w:r>
        <w:rPr/>
        <w:t xml:space="preserve">концентрации солей в нагретой воде. </w:t>
      </w:r>
    </w:p>
    <w:p>
      <w:pPr>
        <w:pStyle w:val="Normal"/>
        <w:ind w:firstLine="225"/>
        <w:jc w:val="both"/>
        <w:rPr/>
      </w:pPr>
      <w:r>
        <w:rPr/>
      </w:r>
    </w:p>
    <w:p>
      <w:pPr>
        <w:pStyle w:val="Normal"/>
        <w:ind w:firstLine="225"/>
        <w:jc w:val="both"/>
        <w:rPr/>
      </w:pPr>
      <w:r>
        <w:rPr/>
        <w:t>13.38. Управление насосными станциями оборотного водоснабжения следует принимать согласно пп. 13.13-13.19.</w:t>
      </w:r>
    </w:p>
    <w:p>
      <w:pPr>
        <w:pStyle w:val="Normal"/>
        <w:ind w:firstLine="225"/>
        <w:jc w:val="both"/>
        <w:rPr/>
      </w:pPr>
      <w:r>
        <w:rPr/>
      </w:r>
    </w:p>
    <w:p>
      <w:pPr>
        <w:pStyle w:val="Normal"/>
        <w:ind w:firstLine="225"/>
        <w:jc w:val="both"/>
        <w:rPr/>
      </w:pPr>
      <w:r>
        <w:rPr/>
        <w:t>13.39. Включение и отключение насосов нагретой воды следует автоматизировать в зависимости от уровня воды в приемной камере.</w:t>
      </w:r>
    </w:p>
    <w:p>
      <w:pPr>
        <w:pStyle w:val="Normal"/>
        <w:ind w:firstLine="225"/>
        <w:jc w:val="both"/>
        <w:rPr/>
      </w:pPr>
      <w:r>
        <w:rPr/>
      </w:r>
    </w:p>
    <w:p>
      <w:pPr>
        <w:pStyle w:val="Normal"/>
        <w:ind w:firstLine="225"/>
        <w:jc w:val="both"/>
        <w:rPr/>
      </w:pPr>
      <w:r>
        <w:rPr/>
        <w:t>13.40. Автоматическое регулирование подачи добавочной воды в оборотную систему должно приниматься по уровню в камере охлажденной воды.</w:t>
      </w:r>
    </w:p>
    <w:p>
      <w:pPr>
        <w:pStyle w:val="Normal"/>
        <w:ind w:firstLine="225"/>
        <w:jc w:val="both"/>
        <w:rPr/>
      </w:pPr>
      <w:r>
        <w:rPr/>
      </w:r>
    </w:p>
    <w:p>
      <w:pPr>
        <w:pStyle w:val="Normal"/>
        <w:ind w:firstLine="225"/>
        <w:jc w:val="both"/>
        <w:rPr/>
      </w:pPr>
      <w:r>
        <w:rPr/>
        <w:t>13.41. В секционных градирнях в зависимости от температуры охлажденной воды должно предусматриваться изменение числа работающих вентиляторов: на автоматизируемых насосных станциях - средствами автоматики, на остальных - из пункта управления средствами дистанционного (телемеханического) управления.</w:t>
      </w:r>
    </w:p>
    <w:p>
      <w:pPr>
        <w:pStyle w:val="Normal"/>
        <w:ind w:firstLine="225"/>
        <w:jc w:val="both"/>
        <w:rPr/>
      </w:pPr>
      <w:r>
        <w:rPr/>
      </w:r>
    </w:p>
    <w:p>
      <w:pPr>
        <w:pStyle w:val="Normal"/>
        <w:ind w:firstLine="225"/>
        <w:jc w:val="both"/>
        <w:rPr/>
      </w:pPr>
      <w:r>
        <w:rPr/>
        <w:t>13.42. При стабилизационной обработке воды необходимо автоматизировать дозирование растворов:</w:t>
      </w:r>
    </w:p>
    <w:p>
      <w:pPr>
        <w:pStyle w:val="Normal"/>
        <w:ind w:firstLine="225"/>
        <w:jc w:val="both"/>
        <w:rPr/>
      </w:pPr>
      <w:r>
        <w:rPr/>
      </w:r>
    </w:p>
    <w:p>
      <w:pPr>
        <w:pStyle w:val="Normal"/>
        <w:ind w:firstLine="225"/>
        <w:jc w:val="both"/>
        <w:rPr/>
      </w:pPr>
      <w:r>
        <w:rPr/>
        <w:t xml:space="preserve">фосфата - по расходу добавочной воды; </w:t>
      </w:r>
    </w:p>
    <w:p>
      <w:pPr>
        <w:pStyle w:val="Normal"/>
        <w:ind w:firstLine="225"/>
        <w:jc w:val="both"/>
        <w:rPr/>
      </w:pPr>
      <w:r>
        <w:rPr/>
      </w:r>
    </w:p>
    <w:p>
      <w:pPr>
        <w:pStyle w:val="Normal"/>
        <w:ind w:firstLine="225"/>
        <w:jc w:val="both"/>
        <w:rPr/>
      </w:pPr>
      <w:r>
        <w:rPr/>
        <w:t xml:space="preserve">кислоты  - по заданной величине рН; </w:t>
      </w:r>
    </w:p>
    <w:p>
      <w:pPr>
        <w:pStyle w:val="Normal"/>
        <w:ind w:firstLine="225"/>
        <w:jc w:val="both"/>
        <w:rPr/>
      </w:pPr>
      <w:r>
        <w:rPr/>
      </w:r>
    </w:p>
    <w:p>
      <w:pPr>
        <w:pStyle w:val="Normal"/>
        <w:ind w:firstLine="225"/>
        <w:jc w:val="both"/>
        <w:rPr/>
      </w:pPr>
      <w:r>
        <w:rPr/>
        <w:t>хлора и купороса - по заданной программе.</w:t>
      </w:r>
    </w:p>
    <w:p>
      <w:pPr>
        <w:pStyle w:val="Normal"/>
        <w:ind w:firstLine="225"/>
        <w:jc w:val="both"/>
        <w:rPr/>
      </w:pPr>
      <w:r>
        <w:rPr/>
      </w:r>
    </w:p>
    <w:p>
      <w:pPr>
        <w:pStyle w:val="Normal"/>
        <w:ind w:firstLine="225"/>
        <w:jc w:val="both"/>
        <w:rPr/>
      </w:pPr>
      <w:r>
        <w:rPr/>
      </w:r>
    </w:p>
    <w:p>
      <w:pPr>
        <w:pStyle w:val="Heading"/>
        <w:jc w:val="center"/>
        <w:rPr/>
      </w:pPr>
      <w:r>
        <w:rPr/>
        <w:t>Системы управления</w:t>
      </w:r>
    </w:p>
    <w:p>
      <w:pPr>
        <w:pStyle w:val="Heading"/>
        <w:jc w:val="center"/>
        <w:rPr/>
      </w:pPr>
      <w:r>
        <w:rPr/>
      </w:r>
    </w:p>
    <w:p>
      <w:pPr>
        <w:pStyle w:val="Normal"/>
        <w:ind w:firstLine="270"/>
        <w:jc w:val="both"/>
        <w:rPr/>
      </w:pPr>
      <w:r>
        <w:rPr/>
      </w:r>
    </w:p>
    <w:p>
      <w:pPr>
        <w:pStyle w:val="Normal"/>
        <w:ind w:firstLine="225"/>
        <w:jc w:val="both"/>
        <w:rPr/>
      </w:pPr>
      <w:r>
        <w:rPr/>
        <w:t>13.43. В целях обеспечения подачи воды потребителям в необходимом количестве и требуемого качества следует, как правило, предусматривать централизованную систему управления водопроводными сооружениями.</w:t>
      </w:r>
    </w:p>
    <w:p>
      <w:pPr>
        <w:pStyle w:val="Normal"/>
        <w:ind w:firstLine="225"/>
        <w:jc w:val="both"/>
        <w:rPr/>
      </w:pPr>
      <w:r>
        <w:rPr/>
      </w:r>
    </w:p>
    <w:p>
      <w:pPr>
        <w:pStyle w:val="Normal"/>
        <w:ind w:firstLine="225"/>
        <w:jc w:val="both"/>
        <w:rPr/>
      </w:pPr>
      <w:r>
        <w:rPr/>
        <w:t>13.44. Системы управления технологическими процессами следует принимать:</w:t>
      </w:r>
    </w:p>
    <w:p>
      <w:pPr>
        <w:pStyle w:val="Normal"/>
        <w:ind w:firstLine="225"/>
        <w:jc w:val="both"/>
        <w:rPr/>
      </w:pPr>
      <w:r>
        <w:rPr/>
      </w:r>
    </w:p>
    <w:p>
      <w:pPr>
        <w:pStyle w:val="Normal"/>
        <w:ind w:firstLine="225"/>
        <w:jc w:val="both"/>
        <w:rPr/>
      </w:pPr>
      <w:r>
        <w:rPr/>
        <w:t>диспетчерскую - обеспечивающую контроль и поддержание заданных режимов работы водопроводных сооружений на основе использования средств контроля, передачи, преобразования и отображения информации;</w:t>
      </w:r>
    </w:p>
    <w:p>
      <w:pPr>
        <w:pStyle w:val="Normal"/>
        <w:ind w:firstLine="225"/>
        <w:jc w:val="both"/>
        <w:rPr/>
      </w:pPr>
      <w:r>
        <w:rPr/>
      </w:r>
    </w:p>
    <w:p>
      <w:pPr>
        <w:pStyle w:val="Normal"/>
        <w:ind w:firstLine="225"/>
        <w:jc w:val="both"/>
        <w:rPr/>
      </w:pPr>
      <w:r>
        <w:rPr/>
        <w:t>автоматизированную (АСУ ТП) - включающую диспетчерскую систему управления с применением средств вычислительной техники для оценки экономичности, качества работы и расчета оптимальных режимов эксплуатации сооружений.</w:t>
      </w:r>
    </w:p>
    <w:p>
      <w:pPr>
        <w:pStyle w:val="Normal"/>
        <w:ind w:firstLine="225"/>
        <w:jc w:val="both"/>
        <w:rPr/>
      </w:pPr>
      <w:r>
        <w:rPr/>
      </w:r>
    </w:p>
    <w:p>
      <w:pPr>
        <w:pStyle w:val="Normal"/>
        <w:ind w:firstLine="225"/>
        <w:jc w:val="both"/>
        <w:rPr/>
      </w:pPr>
      <w:r>
        <w:rPr/>
        <w:t>АСУ ТП должны применяться при условии их окупаемости.</w:t>
      </w:r>
    </w:p>
    <w:p>
      <w:pPr>
        <w:pStyle w:val="Normal"/>
        <w:ind w:firstLine="225"/>
        <w:jc w:val="both"/>
        <w:rPr/>
      </w:pPr>
      <w:r>
        <w:rPr/>
      </w:r>
    </w:p>
    <w:p>
      <w:pPr>
        <w:pStyle w:val="Normal"/>
        <w:ind w:firstLine="225"/>
        <w:jc w:val="both"/>
        <w:rPr/>
      </w:pPr>
      <w:r>
        <w:rPr/>
        <w:t>13.45. Структуру диспетчерского управления следует предусматривать одноступенчатой, с одним пунктом управления. Для крупных систем водоснабжения с большим количеством сооружений, располагаемых на разных площадках, допускается двух- или многоступенчатая структура диспетчерского управления с центральным и местными пунктами управления. Необходимость такой структуры следует в каждом случае обосновывать.</w:t>
      </w:r>
    </w:p>
    <w:p>
      <w:pPr>
        <w:pStyle w:val="Normal"/>
        <w:ind w:firstLine="225"/>
        <w:jc w:val="both"/>
        <w:rPr/>
      </w:pPr>
      <w:r>
        <w:rPr/>
      </w:r>
    </w:p>
    <w:p>
      <w:pPr>
        <w:pStyle w:val="Normal"/>
        <w:ind w:firstLine="225"/>
        <w:jc w:val="both"/>
        <w:rPr/>
      </w:pPr>
      <w:r>
        <w:rPr/>
        <w:t>13.46. Диспетчерское управление системой водоснабжения должно быть составной частью диспетчеризации энергохозяйства промышленного предприятия или диспетчеризации коммунального хозяйства населенного пункта.</w:t>
      </w:r>
    </w:p>
    <w:p>
      <w:pPr>
        <w:pStyle w:val="Normal"/>
        <w:ind w:firstLine="225"/>
        <w:jc w:val="both"/>
        <w:rPr/>
      </w:pPr>
      <w:r>
        <w:rPr/>
      </w:r>
    </w:p>
    <w:p>
      <w:pPr>
        <w:pStyle w:val="Normal"/>
        <w:ind w:firstLine="225"/>
        <w:jc w:val="both"/>
        <w:rPr/>
      </w:pPr>
      <w:r>
        <w:rPr/>
        <w:t>Пункт управления системы водоснабжения должен оперативно подчиняться пункту управления промышленного предприятия или населенного пункта.</w:t>
      </w:r>
    </w:p>
    <w:p>
      <w:pPr>
        <w:pStyle w:val="Normal"/>
        <w:ind w:firstLine="225"/>
        <w:jc w:val="both"/>
        <w:rPr/>
      </w:pPr>
      <w:r>
        <w:rPr/>
      </w:r>
    </w:p>
    <w:p>
      <w:pPr>
        <w:pStyle w:val="Normal"/>
        <w:ind w:firstLine="225"/>
        <w:jc w:val="both"/>
        <w:rPr/>
      </w:pPr>
      <w:r>
        <w:rPr/>
        <w:t>Допускается предусматривать управление системой водоснабжения из объединенного для промышленного предприятия и коммунального хозяйства пункта управления при условии оснащения этого пункта самостоятельными диспетчерскими щитами и пультами управления системами водоснабжения.</w:t>
      </w:r>
    </w:p>
    <w:p>
      <w:pPr>
        <w:pStyle w:val="Normal"/>
        <w:ind w:firstLine="225"/>
        <w:jc w:val="both"/>
        <w:rPr/>
      </w:pPr>
      <w:r>
        <w:rPr/>
      </w:r>
    </w:p>
    <w:p>
      <w:pPr>
        <w:pStyle w:val="Normal"/>
        <w:ind w:firstLine="225"/>
        <w:jc w:val="both"/>
        <w:rPr/>
      </w:pPr>
      <w:r>
        <w:rPr/>
        <w:t>13.47. Диспетчерское управление необходимо сочетать с частичной или полной автоматизацией контролируемых сооружений. Объемы диспетчерского управления должны быть минимальными, но достаточными для исчерпывающей информации о протекании технологического процесса и состоянии технологического оборудования, а также оперативного управления сооружениями.</w:t>
      </w:r>
    </w:p>
    <w:p>
      <w:pPr>
        <w:pStyle w:val="Normal"/>
        <w:ind w:firstLine="225"/>
        <w:jc w:val="both"/>
        <w:rPr/>
      </w:pPr>
      <w:r>
        <w:rPr/>
      </w:r>
    </w:p>
    <w:p>
      <w:pPr>
        <w:pStyle w:val="Normal"/>
        <w:ind w:firstLine="225"/>
        <w:jc w:val="both"/>
        <w:rPr/>
      </w:pPr>
      <w:r>
        <w:rPr/>
        <w:t>13.48. На сооружениях, не оснащенных полностью средствами автоматизации и требующих присутствия постоянного дежурного персонала для местного управления и контроля, допускается устройство операторских пунктов с подчинением их службе диспетчерского управления.</w:t>
      </w:r>
    </w:p>
    <w:p>
      <w:pPr>
        <w:pStyle w:val="Normal"/>
        <w:ind w:firstLine="225"/>
        <w:jc w:val="both"/>
        <w:rPr/>
      </w:pPr>
      <w:r>
        <w:rPr/>
      </w:r>
    </w:p>
    <w:p>
      <w:pPr>
        <w:pStyle w:val="Normal"/>
        <w:ind w:firstLine="225"/>
        <w:jc w:val="both"/>
        <w:rPr/>
      </w:pPr>
      <w:r>
        <w:rPr/>
        <w:t>13.49. Диспетчерское управление системой водоснабжения должно обеспечиваться прямой телефонной связью пункта управления с контролируемыми сооружениями, различными службами эксплуатации сооружений, энергодиспетчером, управлением водопроводного хозяйства и пожарной охраной.</w:t>
      </w:r>
    </w:p>
    <w:p>
      <w:pPr>
        <w:pStyle w:val="Normal"/>
        <w:ind w:firstLine="225"/>
        <w:jc w:val="both"/>
        <w:rPr/>
      </w:pPr>
      <w:r>
        <w:rPr/>
      </w:r>
    </w:p>
    <w:p>
      <w:pPr>
        <w:pStyle w:val="Normal"/>
        <w:ind w:firstLine="225"/>
        <w:jc w:val="both"/>
        <w:rPr/>
      </w:pPr>
      <w:r>
        <w:rPr/>
        <w:t>Пункты управления и отдельные контролируемые сооружения должны также включаться в систему административно-хозяйственной телефонной связи.</w:t>
      </w:r>
    </w:p>
    <w:p>
      <w:pPr>
        <w:pStyle w:val="Normal"/>
        <w:ind w:firstLine="225"/>
        <w:jc w:val="both"/>
        <w:rPr/>
      </w:pPr>
      <w:r>
        <w:rPr/>
      </w:r>
    </w:p>
    <w:p>
      <w:pPr>
        <w:pStyle w:val="Normal"/>
        <w:ind w:firstLine="225"/>
        <w:jc w:val="both"/>
        <w:rPr/>
      </w:pPr>
      <w:r>
        <w:rPr/>
        <w:t>Пункты управления и контролируемые сооружения должны быть радиофицированы и, как правило, оснащены средствами часификации.</w:t>
      </w:r>
    </w:p>
    <w:p>
      <w:pPr>
        <w:pStyle w:val="Normal"/>
        <w:ind w:firstLine="225"/>
        <w:jc w:val="both"/>
        <w:rPr/>
      </w:pPr>
      <w:r>
        <w:rPr/>
      </w:r>
    </w:p>
    <w:p>
      <w:pPr>
        <w:pStyle w:val="Normal"/>
        <w:ind w:firstLine="225"/>
        <w:jc w:val="both"/>
        <w:rPr/>
      </w:pPr>
      <w:r>
        <w:rPr/>
        <w:t>13.50. В пунктах управления следует предусматривать:</w:t>
      </w:r>
    </w:p>
    <w:p>
      <w:pPr>
        <w:pStyle w:val="Normal"/>
        <w:ind w:firstLine="225"/>
        <w:jc w:val="both"/>
        <w:rPr/>
      </w:pPr>
      <w:r>
        <w:rPr/>
      </w:r>
    </w:p>
    <w:p>
      <w:pPr>
        <w:pStyle w:val="Normal"/>
        <w:ind w:firstLine="225"/>
        <w:jc w:val="both"/>
        <w:rPr/>
      </w:pPr>
      <w:r>
        <w:rPr/>
        <w:t>диспетчерскую - для размещения диспетчерского персонала, щита пульта, мнемосхемы, других средств отображения информации и средств связи;</w:t>
      </w:r>
    </w:p>
    <w:p>
      <w:pPr>
        <w:pStyle w:val="Normal"/>
        <w:ind w:firstLine="225"/>
        <w:jc w:val="both"/>
        <w:rPr/>
      </w:pPr>
      <w:r>
        <w:rPr/>
      </w:r>
    </w:p>
    <w:p>
      <w:pPr>
        <w:pStyle w:val="Normal"/>
        <w:ind w:firstLine="225"/>
        <w:jc w:val="both"/>
        <w:rPr/>
      </w:pPr>
      <w:r>
        <w:rPr/>
        <w:t xml:space="preserve">аппаратную - для размещения устройств телемеханики, электропитания, коммутации линии связи (кросс) каналообразующей и релейной телефонной аппаратуры; </w:t>
      </w:r>
    </w:p>
    <w:p>
      <w:pPr>
        <w:pStyle w:val="Normal"/>
        <w:ind w:firstLine="225"/>
        <w:jc w:val="both"/>
        <w:rPr/>
      </w:pPr>
      <w:r>
        <w:rPr/>
      </w:r>
    </w:p>
    <w:p>
      <w:pPr>
        <w:pStyle w:val="Normal"/>
        <w:ind w:firstLine="225"/>
        <w:jc w:val="both"/>
        <w:rPr/>
      </w:pPr>
      <w:r>
        <w:rPr/>
        <w:t xml:space="preserve">комнату отдыха персонала; </w:t>
      </w:r>
    </w:p>
    <w:p>
      <w:pPr>
        <w:pStyle w:val="Normal"/>
        <w:ind w:firstLine="225"/>
        <w:jc w:val="both"/>
        <w:rPr/>
      </w:pPr>
      <w:r>
        <w:rPr/>
      </w:r>
    </w:p>
    <w:p>
      <w:pPr>
        <w:pStyle w:val="Normal"/>
        <w:ind w:firstLine="225"/>
        <w:jc w:val="both"/>
        <w:rPr/>
      </w:pPr>
      <w:r>
        <w:rPr/>
        <w:t xml:space="preserve">мастерскую текущего ремонта аппаратуры; </w:t>
      </w:r>
    </w:p>
    <w:p>
      <w:pPr>
        <w:pStyle w:val="Normal"/>
        <w:ind w:firstLine="225"/>
        <w:jc w:val="both"/>
        <w:rPr/>
      </w:pPr>
      <w:r>
        <w:rPr/>
      </w:r>
    </w:p>
    <w:p>
      <w:pPr>
        <w:pStyle w:val="Normal"/>
        <w:ind w:firstLine="225"/>
        <w:jc w:val="both"/>
        <w:rPr/>
      </w:pPr>
      <w:r>
        <w:rPr/>
        <w:t xml:space="preserve">аккумуляторную и зарядную. </w:t>
      </w:r>
    </w:p>
    <w:p>
      <w:pPr>
        <w:pStyle w:val="Normal"/>
        <w:ind w:firstLine="225"/>
        <w:jc w:val="both"/>
        <w:rPr/>
      </w:pPr>
      <w:r>
        <w:rPr/>
      </w:r>
    </w:p>
    <w:p>
      <w:pPr>
        <w:pStyle w:val="Normal"/>
        <w:ind w:firstLine="225"/>
        <w:jc w:val="both"/>
        <w:rPr/>
      </w:pPr>
      <w:r>
        <w:rPr/>
        <w:t xml:space="preserve">Для размещения специальных технических средств АСУ ТП необходимо дополнительно предусматривать: </w:t>
      </w:r>
    </w:p>
    <w:p>
      <w:pPr>
        <w:pStyle w:val="Normal"/>
        <w:ind w:firstLine="225"/>
        <w:jc w:val="both"/>
        <w:rPr/>
      </w:pPr>
      <w:r>
        <w:rPr/>
      </w:r>
    </w:p>
    <w:p>
      <w:pPr>
        <w:pStyle w:val="Normal"/>
        <w:ind w:firstLine="225"/>
        <w:jc w:val="both"/>
        <w:rPr/>
      </w:pPr>
      <w:r>
        <w:rPr/>
        <w:t xml:space="preserve">машинный зал для ЭВМ; </w:t>
      </w:r>
    </w:p>
    <w:p>
      <w:pPr>
        <w:pStyle w:val="Normal"/>
        <w:ind w:firstLine="225"/>
        <w:jc w:val="both"/>
        <w:rPr/>
      </w:pPr>
      <w:r>
        <w:rPr/>
      </w:r>
    </w:p>
    <w:p>
      <w:pPr>
        <w:pStyle w:val="Normal"/>
        <w:ind w:firstLine="225"/>
        <w:jc w:val="both"/>
        <w:rPr/>
      </w:pPr>
      <w:r>
        <w:rPr/>
        <w:t xml:space="preserve">помещение подготовки и хранения данных; </w:t>
      </w:r>
    </w:p>
    <w:p>
      <w:pPr>
        <w:pStyle w:val="Normal"/>
        <w:ind w:firstLine="225"/>
        <w:jc w:val="both"/>
        <w:rPr/>
      </w:pPr>
      <w:r>
        <w:rPr/>
      </w:r>
    </w:p>
    <w:p>
      <w:pPr>
        <w:pStyle w:val="Normal"/>
        <w:ind w:firstLine="225"/>
        <w:jc w:val="both"/>
        <w:rPr/>
      </w:pPr>
      <w:r>
        <w:rPr/>
        <w:t xml:space="preserve">помещение для программистов и операторов. </w:t>
      </w:r>
    </w:p>
    <w:p>
      <w:pPr>
        <w:pStyle w:val="Normal"/>
        <w:ind w:firstLine="225"/>
        <w:jc w:val="both"/>
        <w:rPr/>
      </w:pPr>
      <w:r>
        <w:rPr/>
      </w:r>
    </w:p>
    <w:p>
      <w:pPr>
        <w:pStyle w:val="Normal"/>
        <w:ind w:firstLine="225"/>
        <w:jc w:val="both"/>
        <w:rPr/>
      </w:pPr>
      <w:r>
        <w:rPr/>
        <w:t>В зависимости от состава оборудования, предусмотренного для систем управления, отдельные помещения допускается объединять или исключать.</w:t>
      </w:r>
    </w:p>
    <w:p>
      <w:pPr>
        <w:pStyle w:val="Normal"/>
        <w:ind w:firstLine="225"/>
        <w:jc w:val="both"/>
        <w:rPr/>
      </w:pPr>
      <w:r>
        <w:rPr/>
      </w:r>
    </w:p>
    <w:p>
      <w:pPr>
        <w:pStyle w:val="Normal"/>
        <w:ind w:firstLine="225"/>
        <w:jc w:val="both"/>
        <w:rPr/>
      </w:pPr>
      <w:r>
        <w:rPr/>
        <w:t>13.51. Пункты управления системы водоснабжения следует размещать на площадках водопроводных сооружений в административно-бытовых зданиях, зданиях фильтров или насосных станций (при создании необходимых условий по уровню шума, вибрации и т. п.), а также в здании управления водопроводного хозяйства.</w:t>
      </w:r>
    </w:p>
    <w:p>
      <w:pPr>
        <w:pStyle w:val="Normal"/>
        <w:ind w:firstLine="225"/>
        <w:jc w:val="both"/>
        <w:rPr/>
      </w:pPr>
      <w:r>
        <w:rPr/>
      </w:r>
    </w:p>
    <w:p>
      <w:pPr>
        <w:pStyle w:val="Normal"/>
        <w:ind w:firstLine="225"/>
        <w:jc w:val="both"/>
        <w:rPr/>
      </w:pPr>
      <w:r>
        <w:rPr/>
        <w:t>13.52. При телемеханизации необходимо предусматривать диспетчерское управление:</w:t>
      </w:r>
    </w:p>
    <w:p>
      <w:pPr>
        <w:pStyle w:val="Normal"/>
        <w:ind w:firstLine="225"/>
        <w:jc w:val="both"/>
        <w:rPr/>
      </w:pPr>
      <w:r>
        <w:rPr/>
      </w:r>
    </w:p>
    <w:p>
      <w:pPr>
        <w:pStyle w:val="Normal"/>
        <w:ind w:firstLine="225"/>
        <w:jc w:val="both"/>
        <w:rPr/>
      </w:pPr>
      <w:r>
        <w:rPr/>
        <w:t>неавтоматизированными насосными агрегатами, для которых необходимо оперативное вмешательство диспетчера;</w:t>
      </w:r>
    </w:p>
    <w:p>
      <w:pPr>
        <w:pStyle w:val="Normal"/>
        <w:ind w:firstLine="225"/>
        <w:jc w:val="both"/>
        <w:rPr/>
      </w:pPr>
      <w:r>
        <w:rPr/>
      </w:r>
    </w:p>
    <w:p>
      <w:pPr>
        <w:pStyle w:val="Normal"/>
        <w:ind w:firstLine="225"/>
        <w:jc w:val="both"/>
        <w:rPr/>
      </w:pPr>
      <w:r>
        <w:rPr/>
        <w:t>автоматизированными насосными агрегатами на станциях, не допускающих перерыва в подаче воды и требующих дублированного управления;</w:t>
      </w:r>
    </w:p>
    <w:p>
      <w:pPr>
        <w:pStyle w:val="Normal"/>
        <w:ind w:firstLine="225"/>
        <w:jc w:val="both"/>
        <w:rPr/>
      </w:pPr>
      <w:r>
        <w:rPr/>
      </w:r>
    </w:p>
    <w:p>
      <w:pPr>
        <w:pStyle w:val="Normal"/>
        <w:ind w:firstLine="225"/>
        <w:jc w:val="both"/>
        <w:rPr/>
      </w:pPr>
      <w:r>
        <w:rPr/>
        <w:t xml:space="preserve">пожарными насосными агрегатами; </w:t>
      </w:r>
    </w:p>
    <w:p>
      <w:pPr>
        <w:pStyle w:val="Normal"/>
        <w:ind w:firstLine="225"/>
        <w:jc w:val="both"/>
        <w:rPr/>
      </w:pPr>
      <w:r>
        <w:rPr/>
      </w:r>
    </w:p>
    <w:p>
      <w:pPr>
        <w:pStyle w:val="Normal"/>
        <w:ind w:firstLine="225"/>
        <w:jc w:val="both"/>
        <w:rPr/>
      </w:pPr>
      <w:r>
        <w:rPr/>
        <w:t>задвижками на сетях и водоводах для оперативных переключений.</w:t>
      </w:r>
    </w:p>
    <w:p>
      <w:pPr>
        <w:pStyle w:val="Normal"/>
        <w:ind w:firstLine="225"/>
        <w:jc w:val="both"/>
        <w:rPr/>
      </w:pPr>
      <w:r>
        <w:rPr/>
      </w:r>
    </w:p>
    <w:p>
      <w:pPr>
        <w:pStyle w:val="Normal"/>
        <w:ind w:firstLine="225"/>
        <w:jc w:val="both"/>
        <w:rPr/>
      </w:pPr>
      <w:r>
        <w:rPr/>
        <w:t>13.53. При телемеханизации диспетчерского управления необходимо предусматривать передачу на пункты управления данных измерений основных технологических параметров подачи, распределения и обработки воды.</w:t>
      </w:r>
    </w:p>
    <w:p>
      <w:pPr>
        <w:pStyle w:val="Normal"/>
        <w:ind w:firstLine="225"/>
        <w:jc w:val="both"/>
        <w:rPr/>
      </w:pPr>
      <w:r>
        <w:rPr/>
      </w:r>
    </w:p>
    <w:p>
      <w:pPr>
        <w:pStyle w:val="Normal"/>
        <w:ind w:firstLine="225"/>
        <w:jc w:val="both"/>
        <w:rPr/>
      </w:pPr>
      <w:r>
        <w:rPr/>
        <w:t>В отдельных случаях допускается предусматривать только сигнализацию параметров.</w:t>
      </w:r>
    </w:p>
    <w:p>
      <w:pPr>
        <w:pStyle w:val="Normal"/>
        <w:ind w:firstLine="225"/>
        <w:jc w:val="both"/>
        <w:rPr/>
      </w:pPr>
      <w:r>
        <w:rPr/>
      </w:r>
    </w:p>
    <w:p>
      <w:pPr>
        <w:pStyle w:val="Normal"/>
        <w:ind w:firstLine="225"/>
        <w:jc w:val="both"/>
        <w:rPr/>
      </w:pPr>
      <w:r>
        <w:rPr/>
        <w:t>13.54. При телемеханизации диспетчерского управления необходимо предусматривать сигнализацию:</w:t>
      </w:r>
    </w:p>
    <w:p>
      <w:pPr>
        <w:pStyle w:val="Normal"/>
        <w:ind w:firstLine="225"/>
        <w:jc w:val="both"/>
        <w:rPr/>
      </w:pPr>
      <w:r>
        <w:rPr/>
      </w:r>
    </w:p>
    <w:p>
      <w:pPr>
        <w:pStyle w:val="Normal"/>
        <w:ind w:firstLine="225"/>
        <w:jc w:val="both"/>
        <w:rPr/>
      </w:pPr>
      <w:r>
        <w:rPr/>
        <w:t xml:space="preserve">состояния всех телеуправляемых насосных агрегатов и задвижек, а также механизмов с местным или автоматическим управлением для информации диспетчера; </w:t>
      </w:r>
    </w:p>
    <w:p>
      <w:pPr>
        <w:pStyle w:val="Normal"/>
        <w:ind w:firstLine="225"/>
        <w:jc w:val="both"/>
        <w:rPr/>
      </w:pPr>
      <w:r>
        <w:rPr/>
      </w:r>
    </w:p>
    <w:p>
      <w:pPr>
        <w:pStyle w:val="Normal"/>
        <w:ind w:firstLine="225"/>
        <w:jc w:val="both"/>
        <w:rPr/>
      </w:pPr>
      <w:r>
        <w:rPr/>
        <w:t xml:space="preserve">аварийного отключения оборудования; </w:t>
      </w:r>
    </w:p>
    <w:p>
      <w:pPr>
        <w:pStyle w:val="Normal"/>
        <w:ind w:firstLine="225"/>
        <w:jc w:val="both"/>
        <w:rPr/>
      </w:pPr>
      <w:r>
        <w:rPr/>
      </w:r>
    </w:p>
    <w:p>
      <w:pPr>
        <w:pStyle w:val="Normal"/>
        <w:ind w:firstLine="225"/>
        <w:jc w:val="both"/>
        <w:rPr/>
      </w:pPr>
      <w:r>
        <w:rPr/>
        <w:t>затопления станции;</w:t>
      </w:r>
    </w:p>
    <w:p>
      <w:pPr>
        <w:pStyle w:val="Normal"/>
        <w:ind w:firstLine="225"/>
        <w:jc w:val="both"/>
        <w:rPr/>
      </w:pPr>
      <w:r>
        <w:rPr/>
      </w:r>
    </w:p>
    <w:p>
      <w:pPr>
        <w:pStyle w:val="Normal"/>
        <w:ind w:firstLine="225"/>
        <w:jc w:val="both"/>
        <w:rPr/>
      </w:pPr>
      <w:r>
        <w:rPr/>
        <w:t>общего предупреждения и общего аварийного состояния по каждому сооружению или технологической линии;</w:t>
      </w:r>
    </w:p>
    <w:p>
      <w:pPr>
        <w:pStyle w:val="Normal"/>
        <w:ind w:firstLine="225"/>
        <w:jc w:val="both"/>
        <w:rPr/>
      </w:pPr>
      <w:r>
        <w:rPr/>
      </w:r>
    </w:p>
    <w:p>
      <w:pPr>
        <w:pStyle w:val="Normal"/>
        <w:ind w:firstLine="225"/>
        <w:jc w:val="both"/>
        <w:rPr/>
      </w:pPr>
      <w:r>
        <w:rPr/>
        <w:t>характерных и предельно допустимых значений технологических параметров;</w:t>
      </w:r>
    </w:p>
    <w:p>
      <w:pPr>
        <w:pStyle w:val="Normal"/>
        <w:ind w:firstLine="225"/>
        <w:jc w:val="both"/>
        <w:rPr/>
      </w:pPr>
      <w:r>
        <w:rPr/>
      </w:r>
    </w:p>
    <w:p>
      <w:pPr>
        <w:pStyle w:val="Normal"/>
        <w:ind w:firstLine="225"/>
        <w:jc w:val="both"/>
        <w:rPr/>
      </w:pPr>
      <w:r>
        <w:rPr/>
        <w:t xml:space="preserve">тревоги (открытия дверей и люков) на неохраняемых объектах; </w:t>
      </w:r>
    </w:p>
    <w:p>
      <w:pPr>
        <w:pStyle w:val="Normal"/>
        <w:ind w:firstLine="225"/>
        <w:jc w:val="both"/>
        <w:rPr/>
      </w:pPr>
      <w:r>
        <w:rPr/>
      </w:r>
    </w:p>
    <w:p>
      <w:pPr>
        <w:pStyle w:val="Normal"/>
        <w:ind w:firstLine="225"/>
        <w:jc w:val="both"/>
        <w:rPr/>
      </w:pPr>
      <w:r>
        <w:rPr/>
        <w:t xml:space="preserve">пожарной опасности. </w:t>
      </w:r>
    </w:p>
    <w:p>
      <w:pPr>
        <w:pStyle w:val="Normal"/>
        <w:ind w:firstLine="225"/>
        <w:jc w:val="both"/>
        <w:rPr/>
      </w:pPr>
      <w:r>
        <w:rPr/>
      </w:r>
    </w:p>
    <w:p>
      <w:pPr>
        <w:pStyle w:val="Normal"/>
        <w:ind w:firstLine="225"/>
        <w:jc w:val="both"/>
        <w:rPr/>
      </w:pPr>
      <w:r>
        <w:rPr/>
        <w:t>13.55. При создании АСУ ТП система управления должна выполнять информационно-вычислительные и управляющие функции.</w:t>
      </w:r>
    </w:p>
    <w:p>
      <w:pPr>
        <w:pStyle w:val="Normal"/>
        <w:ind w:firstLine="225"/>
        <w:jc w:val="both"/>
        <w:rPr/>
      </w:pPr>
      <w:r>
        <w:rPr/>
      </w:r>
    </w:p>
    <w:p>
      <w:pPr>
        <w:pStyle w:val="Heading"/>
        <w:jc w:val="center"/>
        <w:rPr/>
      </w:pPr>
      <w:r>
        <w:rPr/>
      </w:r>
    </w:p>
    <w:p>
      <w:pPr>
        <w:pStyle w:val="Heading"/>
        <w:jc w:val="center"/>
        <w:rPr/>
      </w:pPr>
      <w:r>
        <w:rPr/>
        <w:t>14. СТРОИТЕЛЬНЫЕ РЕШЕНИЯ</w:t>
      </w:r>
    </w:p>
    <w:p>
      <w:pPr>
        <w:pStyle w:val="Heading"/>
        <w:jc w:val="center"/>
        <w:rPr/>
      </w:pPr>
      <w:r>
        <w:rPr/>
        <w:t>И КОНСТРУКЦИИ ЗДАНИЙ И СООРУЖЕНИЙ</w:t>
      </w:r>
    </w:p>
    <w:p>
      <w:pPr>
        <w:pStyle w:val="Heading"/>
        <w:jc w:val="center"/>
        <w:rPr/>
      </w:pPr>
      <w:r>
        <w:rPr/>
      </w:r>
    </w:p>
    <w:p>
      <w:pPr>
        <w:pStyle w:val="Heading"/>
        <w:jc w:val="center"/>
        <w:rPr/>
      </w:pPr>
      <w:r>
        <w:rPr/>
        <w:t xml:space="preserve">Генеральный план </w:t>
      </w:r>
    </w:p>
    <w:p>
      <w:pPr>
        <w:pStyle w:val="Normal"/>
        <w:ind w:firstLine="270"/>
        <w:jc w:val="both"/>
        <w:rPr/>
      </w:pPr>
      <w:r>
        <w:rPr/>
      </w:r>
    </w:p>
    <w:p>
      <w:pPr>
        <w:pStyle w:val="Normal"/>
        <w:ind w:firstLine="270"/>
        <w:jc w:val="both"/>
        <w:rPr/>
      </w:pPr>
      <w:r>
        <w:rPr/>
      </w:r>
    </w:p>
    <w:p>
      <w:pPr>
        <w:pStyle w:val="Normal"/>
        <w:ind w:firstLine="225"/>
        <w:jc w:val="both"/>
        <w:rPr/>
      </w:pPr>
      <w:r>
        <w:rPr/>
        <w:t xml:space="preserve">14.1. Выбор площадок для строительства водопроводных сооружений, а также планировка и застройка их территорий должны выполняться в соответствии с технологическими требованиями, указаниями </w:t>
      </w:r>
      <w:r>
        <w:rPr>
          <w:vanish/>
        </w:rPr>
        <w:t>#M12291 5200094</w:t>
      </w:r>
      <w:r>
        <w:rPr/>
        <w:t>СНиП II-89-80*</w:t>
      </w:r>
      <w:r>
        <w:rPr>
          <w:vanish/>
        </w:rPr>
        <w:t>#S</w:t>
      </w:r>
      <w:r>
        <w:rPr/>
        <w:t xml:space="preserve"> и требованиями разделов 10 и 11.</w:t>
      </w:r>
    </w:p>
    <w:p>
      <w:pPr>
        <w:pStyle w:val="Normal"/>
        <w:ind w:firstLine="225"/>
        <w:jc w:val="both"/>
        <w:rPr/>
      </w:pPr>
      <w:r>
        <w:rPr/>
      </w:r>
    </w:p>
    <w:p>
      <w:pPr>
        <w:pStyle w:val="Normal"/>
        <w:ind w:firstLine="225"/>
        <w:jc w:val="both"/>
        <w:rPr/>
      </w:pPr>
      <w:r>
        <w:rPr/>
        <w:t>14.2. 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 обеспеченность которого принимается по табл. 11, с учетом ветрового нагона волны и высоты наката ветровой волны на откос, определяемых согласно СНиП 2.06.04-82*.</w:t>
      </w:r>
    </w:p>
    <w:p>
      <w:pPr>
        <w:pStyle w:val="Normal"/>
        <w:ind w:firstLine="225"/>
        <w:jc w:val="both"/>
        <w:rPr/>
      </w:pPr>
      <w:r>
        <w:rPr/>
      </w:r>
    </w:p>
    <w:p>
      <w:pPr>
        <w:pStyle w:val="Normal"/>
        <w:ind w:firstLine="225"/>
        <w:jc w:val="both"/>
        <w:rPr/>
      </w:pPr>
      <w:r>
        <w:rPr/>
        <w:t xml:space="preserve">14.3. Расходные склады для хранения сильнодействующих ядовитых веществ (СДЯВ) на площадке водопроводных сооружений надлежит размещать от зданий и сооружений (не относящихся к складскому хозяйству) с постоянным пребыванием людей и от водоемов и водотоков на расстоянии не менее 30 м; от зданий без постоянного пребывания людей - согласно </w:t>
      </w:r>
      <w:r>
        <w:rPr>
          <w:vanish/>
        </w:rPr>
        <w:t>#M12291 5200094</w:t>
      </w:r>
      <w:r>
        <w:rPr/>
        <w:t>СНиП II-89-80*</w:t>
      </w:r>
      <w:r>
        <w:rPr>
          <w:vanish/>
        </w:rPr>
        <w:t>#S</w:t>
      </w:r>
      <w:r>
        <w:rPr/>
        <w:t>; от жилых, общественных и производственных зданий (вне площадки) при хранении СДЯВ в стационарных емкостях (цистернах, танках) -  не менее 300 м и при хранении в контейнерах или баллонах -  не менее 100 м.</w:t>
      </w:r>
    </w:p>
    <w:p>
      <w:pPr>
        <w:pStyle w:val="Normal"/>
        <w:ind w:firstLine="225"/>
        <w:jc w:val="both"/>
        <w:rPr/>
      </w:pPr>
      <w:r>
        <w:rPr/>
      </w:r>
    </w:p>
    <w:p>
      <w:pPr>
        <w:pStyle w:val="Normal"/>
        <w:ind w:firstLine="225"/>
        <w:jc w:val="both"/>
        <w:rPr/>
      </w:pPr>
      <w:r>
        <w:rPr/>
        <w:t>14.4. Водопроводные сооружения должны ограждаться. Для площадок станций водоподготовки, насосных станций, резервуаров и водонапорных башен с зонами санитарной охраны первого пояса следует, как правило,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4-5 нитей на кронштейнах с внутренней стороны ограждения.</w:t>
      </w:r>
    </w:p>
    <w:p>
      <w:pPr>
        <w:pStyle w:val="Normal"/>
        <w:ind w:firstLine="225"/>
        <w:jc w:val="both"/>
        <w:rPr/>
      </w:pPr>
      <w:r>
        <w:rPr/>
      </w:r>
    </w:p>
    <w:p>
      <w:pPr>
        <w:pStyle w:val="Normal"/>
        <w:ind w:firstLine="225"/>
        <w:jc w:val="both"/>
        <w:rPr/>
      </w:pPr>
      <w:r>
        <w:rPr/>
        <w:t>Примыкание к ограждению строений, кроме проходных и административно-бытовых зданий, не допускается.</w:t>
      </w:r>
    </w:p>
    <w:p>
      <w:pPr>
        <w:pStyle w:val="Normal"/>
        <w:ind w:firstLine="225"/>
        <w:jc w:val="both"/>
        <w:rPr/>
      </w:pPr>
      <w:r>
        <w:rPr/>
      </w:r>
    </w:p>
    <w:p>
      <w:pPr>
        <w:pStyle w:val="Normal"/>
        <w:ind w:firstLine="225"/>
        <w:jc w:val="both"/>
        <w:rPr/>
      </w:pPr>
      <w:r>
        <w:rPr/>
        <w:t>Для площадок сооружений забора подземной и поверхностной воды, насосных станций первого подъема и подкачки необработанной воды, а также для площадок сооружений хозяйственно-питьевого водопровода, размещаемых на территории предприятий, имеющих ограждение и сторожевую охрану, тип ограждений принимается с учетом местных условий, а также требований «Указаний по проектированию ограждений площадок и участков предприятий, зданий и сооружений» (СН 441-72*).</w:t>
      </w:r>
    </w:p>
    <w:p>
      <w:pPr>
        <w:pStyle w:val="Normal"/>
        <w:ind w:firstLine="225"/>
        <w:jc w:val="both"/>
        <w:rPr/>
      </w:pPr>
      <w:r>
        <w:rPr/>
      </w:r>
    </w:p>
    <w:p>
      <w:pPr>
        <w:pStyle w:val="Normal"/>
        <w:ind w:firstLine="225"/>
        <w:jc w:val="both"/>
        <w:rPr/>
      </w:pPr>
      <w:r>
        <w:rPr/>
      </w:r>
    </w:p>
    <w:p>
      <w:pPr>
        <w:pStyle w:val="Normal"/>
        <w:ind w:firstLine="225"/>
        <w:jc w:val="both"/>
        <w:rPr/>
      </w:pPr>
      <w:r>
        <w:rPr/>
        <w:t>Примечание. Ограждение насосных станций, работающих без разрыва струи (при отсутствии резервуаров), и водонапорных башен с глухим стволом, расположенных на территории предприятий или населенных пунктов, а также шламонаколителей станций водоподготовки допускается не предусматривать.</w:t>
      </w:r>
    </w:p>
    <w:p>
      <w:pPr>
        <w:pStyle w:val="Normal"/>
        <w:ind w:firstLine="225"/>
        <w:jc w:val="both"/>
        <w:rPr/>
      </w:pPr>
      <w:r>
        <w:rPr/>
      </w:r>
    </w:p>
    <w:p>
      <w:pPr>
        <w:pStyle w:val="Normal"/>
        <w:ind w:firstLine="225"/>
        <w:jc w:val="both"/>
        <w:rPr/>
      </w:pPr>
      <w:r>
        <w:rPr/>
      </w:r>
    </w:p>
    <w:p>
      <w:pPr>
        <w:pStyle w:val="Normal"/>
        <w:ind w:firstLine="225"/>
        <w:jc w:val="both"/>
        <w:rPr/>
      </w:pPr>
      <w:r>
        <w:rPr/>
        <w:t>14.5. На площадках водопроводных сооружений с зоной санитарной охраны первого пояса должны предусматриваться технические средства охраны:</w:t>
      </w:r>
    </w:p>
    <w:p>
      <w:pPr>
        <w:pStyle w:val="Normal"/>
        <w:ind w:firstLine="225"/>
        <w:jc w:val="both"/>
        <w:rPr/>
      </w:pPr>
      <w:r>
        <w:rPr/>
      </w:r>
    </w:p>
    <w:p>
      <w:pPr>
        <w:pStyle w:val="Normal"/>
        <w:ind w:firstLine="225"/>
        <w:jc w:val="both"/>
        <w:rPr/>
      </w:pPr>
      <w:r>
        <w:rPr/>
        <w:t>запретная зона шириной 5-10 м вдоль внутренней стороны ограждения площадки, ограждаемая колючей или гладкой проволокой на высоту 1,2 м;</w:t>
      </w:r>
    </w:p>
    <w:p>
      <w:pPr>
        <w:pStyle w:val="Normal"/>
        <w:ind w:firstLine="225"/>
        <w:jc w:val="both"/>
        <w:rPr/>
      </w:pPr>
      <w:r>
        <w:rPr/>
      </w:r>
    </w:p>
    <w:p>
      <w:pPr>
        <w:pStyle w:val="Normal"/>
        <w:ind w:firstLine="225"/>
        <w:jc w:val="both"/>
        <w:rPr/>
      </w:pPr>
      <w:r>
        <w:rPr/>
        <w:t>тропа наряда внутри запретной зоны шириной 1 м на расстоянии 1 м от ограждения запретной зоны;</w:t>
      </w:r>
    </w:p>
    <w:p>
      <w:pPr>
        <w:pStyle w:val="Normal"/>
        <w:ind w:firstLine="225"/>
        <w:jc w:val="both"/>
        <w:rPr/>
      </w:pPr>
      <w:r>
        <w:rPr/>
      </w:r>
    </w:p>
    <w:p>
      <w:pPr>
        <w:pStyle w:val="Normal"/>
        <w:ind w:firstLine="225"/>
        <w:jc w:val="both"/>
        <w:rPr/>
      </w:pPr>
      <w:r>
        <w:rPr/>
        <w:t>столбы-указатели, обозначающие границы запретной зоны и устанавливаемые не более чем через 50 м;</w:t>
      </w:r>
    </w:p>
    <w:p>
      <w:pPr>
        <w:pStyle w:val="Normal"/>
        <w:ind w:firstLine="225"/>
        <w:jc w:val="both"/>
        <w:rPr/>
      </w:pPr>
      <w:r>
        <w:rPr/>
      </w:r>
    </w:p>
    <w:p>
      <w:pPr>
        <w:pStyle w:val="Normal"/>
        <w:ind w:firstLine="225"/>
        <w:jc w:val="both"/>
        <w:rPr/>
      </w:pPr>
      <w:r>
        <w:rPr/>
        <w:t>охранное освещение по периметру ограждения, при этом светильники надлежит устанавливать над ограждением из расчета освещения подступов к ограждению, самого ограждения и части запретной зоны до тропы наряда;</w:t>
      </w:r>
    </w:p>
    <w:p>
      <w:pPr>
        <w:pStyle w:val="Normal"/>
        <w:ind w:firstLine="225"/>
        <w:jc w:val="both"/>
        <w:rPr/>
      </w:pPr>
      <w:r>
        <w:rPr/>
      </w:r>
    </w:p>
    <w:p>
      <w:pPr>
        <w:pStyle w:val="Normal"/>
        <w:ind w:firstLine="225"/>
        <w:jc w:val="both"/>
        <w:rPr/>
      </w:pPr>
      <w:r>
        <w:rPr/>
        <w:t>постовая телефонная связь и двухсторонняя электрозвонковая сигнализация постов с пунктом управления или караульным помещением, которое следует предусматривать при необходимости на водопроводах I категории (п. 4.4).</w:t>
      </w:r>
    </w:p>
    <w:p>
      <w:pPr>
        <w:pStyle w:val="Normal"/>
        <w:ind w:firstLine="225"/>
        <w:jc w:val="both"/>
        <w:rPr/>
      </w:pPr>
      <w:r>
        <w:rPr/>
      </w:r>
    </w:p>
    <w:p>
      <w:pPr>
        <w:pStyle w:val="Normal"/>
        <w:ind w:firstLine="225"/>
        <w:jc w:val="both"/>
        <w:rPr/>
      </w:pPr>
      <w:r>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согласно п. 14.4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п. 14.4.</w:t>
      </w:r>
    </w:p>
    <w:p>
      <w:pPr>
        <w:pStyle w:val="Normal"/>
        <w:ind w:firstLine="225"/>
        <w:jc w:val="both"/>
        <w:rPr/>
      </w:pPr>
      <w:r>
        <w:rPr/>
      </w:r>
    </w:p>
    <w:p>
      <w:pPr>
        <w:pStyle w:val="Normal"/>
        <w:ind w:firstLine="225"/>
        <w:jc w:val="both"/>
        <w:rPr/>
      </w:pPr>
      <w:r>
        <w:rPr/>
        <w:t>14.6. 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pPr>
        <w:pStyle w:val="Normal"/>
        <w:ind w:firstLine="225"/>
        <w:jc w:val="both"/>
        <w:rPr/>
      </w:pPr>
      <w:r>
        <w:rPr/>
      </w:r>
    </w:p>
    <w:p>
      <w:pPr>
        <w:pStyle w:val="Normal"/>
        <w:ind w:firstLine="225"/>
        <w:jc w:val="both"/>
        <w:rPr/>
      </w:pPr>
      <w:r>
        <w:rPr/>
      </w:r>
    </w:p>
    <w:p>
      <w:pPr>
        <w:pStyle w:val="Heading"/>
        <w:jc w:val="center"/>
        <w:rPr/>
      </w:pPr>
      <w:r>
        <w:rPr/>
        <w:t xml:space="preserve">Объемно-планировочные решения </w:t>
      </w:r>
    </w:p>
    <w:p>
      <w:pPr>
        <w:pStyle w:val="Normal"/>
        <w:ind w:firstLine="270"/>
        <w:jc w:val="both"/>
        <w:rPr/>
      </w:pPr>
      <w:r>
        <w:rPr/>
      </w:r>
    </w:p>
    <w:p>
      <w:pPr>
        <w:pStyle w:val="Normal"/>
        <w:ind w:firstLine="270"/>
        <w:jc w:val="both"/>
        <w:rPr/>
      </w:pPr>
      <w:r>
        <w:rPr/>
      </w:r>
    </w:p>
    <w:p>
      <w:pPr>
        <w:pStyle w:val="Normal"/>
        <w:ind w:firstLine="225"/>
        <w:jc w:val="both"/>
        <w:rPr/>
      </w:pPr>
      <w:r>
        <w:rPr/>
        <w:t xml:space="preserve">14.7. Объемно-планировочные и конструктивные решения зданий и сооружений водоснабжения надлежит принимать согласно </w:t>
      </w:r>
      <w:r>
        <w:rPr>
          <w:vanish/>
        </w:rPr>
        <w:t>#M12293 0 5200092 3704477087 78 23949 2496674701 2685059051 3363248087 4294967268 584910322</w:t>
      </w:r>
      <w:r>
        <w:rPr/>
        <w:t>СНиП 2.09.02-85</w:t>
      </w:r>
      <w:r>
        <w:rPr>
          <w:vanish/>
        </w:rPr>
        <w:t>#S</w:t>
      </w:r>
      <w:r>
        <w:rPr/>
        <w:t xml:space="preserve">, СНиП </w:t>
      </w:r>
      <w:r>
        <w:rPr>
          <w:vanish/>
        </w:rPr>
        <w:t>#M12293 1 5200093 3704477087 78 23949 2558592991 2685059051 3363248087 4294967268 584910322</w:t>
      </w:r>
      <w:r>
        <w:rPr/>
        <w:t>2.09.04-87</w:t>
      </w:r>
      <w:r>
        <w:rPr>
          <w:vanish/>
        </w:rPr>
        <w:t>#S</w:t>
      </w:r>
      <w:r>
        <w:rPr/>
        <w:t xml:space="preserve"> и СНиП </w:t>
      </w:r>
      <w:r>
        <w:rPr>
          <w:vanish/>
        </w:rPr>
        <w:t>#M12293 2 871001017 3704477087 78 23941 2496674701 2685059051 3363248087 4294967268 584910322</w:t>
      </w:r>
      <w:r>
        <w:rPr/>
        <w:t>2.01.02-85</w:t>
      </w:r>
      <w:r>
        <w:rPr>
          <w:vanish/>
        </w:rPr>
        <w:t>#S</w:t>
      </w:r>
      <w:r>
        <w:rPr/>
        <w:t>.</w:t>
      </w:r>
    </w:p>
    <w:p>
      <w:pPr>
        <w:pStyle w:val="Normal"/>
        <w:ind w:firstLine="225"/>
        <w:jc w:val="both"/>
        <w:rPr/>
      </w:pPr>
      <w:r>
        <w:rPr/>
      </w:r>
    </w:p>
    <w:p>
      <w:pPr>
        <w:pStyle w:val="Normal"/>
        <w:ind w:firstLine="225"/>
        <w:jc w:val="both"/>
        <w:rPr/>
      </w:pPr>
      <w:r>
        <w:rPr/>
        <w:t>14.8. При проектировании станций водоподготовки следует, как правило, предусматривать блокировку емкостных сооружений и помещений, связанных общим технологическим процессом.</w:t>
      </w:r>
    </w:p>
    <w:p>
      <w:pPr>
        <w:pStyle w:val="Normal"/>
        <w:ind w:firstLine="225"/>
        <w:jc w:val="both"/>
        <w:rPr/>
      </w:pPr>
      <w:r>
        <w:rPr/>
      </w:r>
    </w:p>
    <w:p>
      <w:pPr>
        <w:pStyle w:val="Normal"/>
        <w:ind w:firstLine="225"/>
        <w:jc w:val="both"/>
        <w:rPr/>
      </w:pPr>
      <w:r>
        <w:rPr/>
        <w:t>14.9. Класс ответственности и степень огнестойкости зданий и сооружений надлежит принимать по табл. 41.</w:t>
      </w:r>
    </w:p>
    <w:p>
      <w:pPr>
        <w:pStyle w:val="Normal"/>
        <w:ind w:firstLine="225"/>
        <w:jc w:val="both"/>
        <w:rPr/>
      </w:pPr>
      <w:r>
        <w:rPr/>
      </w:r>
    </w:p>
    <w:p>
      <w:pPr>
        <w:pStyle w:val="Normal"/>
        <w:jc w:val="end"/>
        <w:rPr/>
      </w:pPr>
      <w:r>
        <w:rPr/>
        <w:t xml:space="preserve">Таблица 41 </w:t>
      </w:r>
    </w:p>
    <w:p>
      <w:pPr>
        <w:pStyle w:val="Normal"/>
        <w:ind w:firstLine="270"/>
        <w:jc w:val="both"/>
        <w:rPr/>
      </w:pPr>
      <w:r>
        <w:rPr/>
      </w:r>
    </w:p>
    <w:p>
      <w:pPr>
        <w:pStyle w:val="Normal"/>
        <w:ind w:firstLine="270"/>
        <w:jc w:val="both"/>
        <w:rPr/>
      </w:pPr>
      <w:r>
        <w:rPr/>
      </w:r>
    </w:p>
    <w:tbl>
      <w:tblPr>
        <w:tblW w:w="6950" w:type="dxa"/>
        <w:jc w:val="start"/>
        <w:tblInd w:w="43" w:type="dxa"/>
        <w:tblBorders>
          <w:top w:val="single" w:sz="2" w:space="0" w:color="000000"/>
          <w:start w:val="single" w:sz="2" w:space="0" w:color="000000"/>
          <w:bottom w:val="single" w:sz="2" w:space="0" w:color="000000"/>
          <w:insideH w:val="single" w:sz="2" w:space="0" w:color="000000"/>
        </w:tblBorders>
        <w:tblCellMar>
          <w:top w:w="0" w:type="dxa"/>
          <w:start w:w="27" w:type="dxa"/>
          <w:bottom w:w="0" w:type="dxa"/>
          <w:end w:w="30" w:type="dxa"/>
        </w:tblCellMar>
      </w:tblPr>
      <w:tblGrid>
        <w:gridCol w:w="2700"/>
        <w:gridCol w:w="1515"/>
        <w:gridCol w:w="1455"/>
        <w:gridCol w:w="1280"/>
      </w:tblGrid>
      <w:tr>
        <w:trPr/>
        <w:tc>
          <w:tcPr>
            <w:tcW w:w="270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jc w:val="center"/>
              <w:rPr>
                <w:vanish/>
              </w:rPr>
            </w:pPr>
            <w:r>
              <w:rPr>
                <w:vanish/>
              </w:rPr>
              <w:t>#G0</w:t>
            </w:r>
          </w:p>
          <w:p>
            <w:pPr>
              <w:pStyle w:val="Normal"/>
              <w:jc w:val="center"/>
              <w:rPr/>
            </w:pPr>
            <w:r>
              <w:rPr/>
            </w:r>
          </w:p>
          <w:p>
            <w:pPr>
              <w:pStyle w:val="Normal"/>
              <w:jc w:val="center"/>
              <w:rPr/>
            </w:pPr>
            <w:r>
              <w:rPr/>
              <w:t xml:space="preserve">Сооружения </w:t>
            </w:r>
          </w:p>
          <w:p>
            <w:pPr>
              <w:pStyle w:val="Normal"/>
              <w:jc w:val="center"/>
              <w:rPr/>
            </w:pPr>
            <w:r>
              <w:rPr/>
            </w:r>
          </w:p>
        </w:tc>
        <w:tc>
          <w:tcPr>
            <w:tcW w:w="151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Категория сооружений по степени обеспеченности подачи воды по п. 4.4 </w:t>
            </w:r>
          </w:p>
          <w:p>
            <w:pPr>
              <w:pStyle w:val="Normal"/>
              <w:rPr/>
            </w:pPr>
            <w:r>
              <w:rPr/>
            </w:r>
          </w:p>
        </w:tc>
        <w:tc>
          <w:tcPr>
            <w:tcW w:w="145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Класс ответственности зданий, сооружений и конструкций </w:t>
            </w:r>
          </w:p>
          <w:p>
            <w:pPr>
              <w:pStyle w:val="Normal"/>
              <w:rPr/>
            </w:pPr>
            <w:r>
              <w:rPr/>
            </w:r>
          </w:p>
        </w:tc>
        <w:tc>
          <w:tcPr>
            <w:tcW w:w="12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snapToGrid w:val="false"/>
              <w:rPr/>
            </w:pPr>
            <w:r>
              <w:rPr/>
            </w:r>
          </w:p>
          <w:p>
            <w:pPr>
              <w:pStyle w:val="Normal"/>
              <w:rPr/>
            </w:pPr>
            <w:r>
              <w:rPr/>
              <w:t xml:space="preserve">Степень огнестойкости </w:t>
            </w:r>
          </w:p>
          <w:p>
            <w:pPr>
              <w:pStyle w:val="Normal"/>
              <w:rPr/>
            </w:pPr>
            <w:r>
              <w:rPr/>
            </w:r>
          </w:p>
        </w:tc>
      </w:tr>
      <w:tr>
        <w:trPr/>
        <w:tc>
          <w:tcPr>
            <w:tcW w:w="2700" w:type="dxa"/>
            <w:tcBorders>
              <w:start w:val="single" w:sz="2" w:space="0" w:color="000000"/>
            </w:tcBorders>
            <w:shd w:fill="auto" w:val="clear"/>
            <w:tcMar>
              <w:start w:w="27" w:type="dxa"/>
            </w:tcMar>
          </w:tcPr>
          <w:p>
            <w:pPr>
              <w:pStyle w:val="Normal"/>
              <w:snapToGrid w:val="false"/>
              <w:jc w:val="both"/>
              <w:rPr/>
            </w:pPr>
            <w:r>
              <w:rPr/>
            </w:r>
          </w:p>
          <w:p>
            <w:pPr>
              <w:pStyle w:val="Normal"/>
              <w:jc w:val="both"/>
              <w:rPr/>
            </w:pPr>
            <w:r>
              <w:rPr/>
              <w:t xml:space="preserve">1. Водозаборы </w:t>
            </w:r>
          </w:p>
          <w:p>
            <w:pPr>
              <w:pStyle w:val="Normal"/>
              <w:jc w:val="both"/>
              <w:rPr/>
            </w:pPr>
            <w:r>
              <w:rPr/>
            </w:r>
          </w:p>
        </w:tc>
        <w:tc>
          <w:tcPr>
            <w:tcW w:w="1515" w:type="dxa"/>
            <w:tcBorders>
              <w:start w:val="single" w:sz="2" w:space="0" w:color="000000"/>
            </w:tcBorders>
            <w:shd w:fill="auto" w:val="clear"/>
            <w:tcMar>
              <w:start w:w="27" w:type="dxa"/>
            </w:tcMar>
          </w:tcPr>
          <w:p>
            <w:pPr>
              <w:pStyle w:val="Normal"/>
              <w:snapToGrid w:val="false"/>
              <w:jc w:val="center"/>
              <w:rPr/>
            </w:pPr>
            <w:r>
              <w:rPr/>
            </w:r>
          </w:p>
          <w:p>
            <w:pPr>
              <w:pStyle w:val="Normal"/>
              <w:jc w:val="center"/>
              <w:rPr/>
            </w:pPr>
            <w:r>
              <w:rPr/>
              <w:t xml:space="preserve">I </w:t>
            </w:r>
          </w:p>
          <w:p>
            <w:pPr>
              <w:pStyle w:val="Normal"/>
              <w:jc w:val="center"/>
              <w:rPr/>
            </w:pPr>
            <w:r>
              <w:rPr/>
            </w:r>
          </w:p>
        </w:tc>
        <w:tc>
          <w:tcPr>
            <w:tcW w:w="1455" w:type="dxa"/>
            <w:tcBorders>
              <w:start w:val="single" w:sz="2" w:space="0" w:color="000000"/>
            </w:tcBorders>
            <w:shd w:fill="auto" w:val="clear"/>
            <w:tcMar>
              <w:start w:w="27" w:type="dxa"/>
            </w:tcMar>
          </w:tcPr>
          <w:p>
            <w:pPr>
              <w:pStyle w:val="Normal"/>
              <w:snapToGrid w:val="false"/>
              <w:rPr/>
            </w:pPr>
            <w:r>
              <w:rPr/>
            </w:r>
          </w:p>
          <w:p>
            <w:pPr>
              <w:pStyle w:val="Normal"/>
              <w:rPr/>
            </w:pPr>
            <w:r>
              <w:rPr/>
              <w:t xml:space="preserve">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snapToGrid w:val="false"/>
              <w:rPr/>
            </w:pPr>
            <w:r>
              <w:rPr/>
            </w:r>
          </w:p>
          <w:p>
            <w:pPr>
              <w:pStyle w:val="Normal"/>
              <w:rPr/>
            </w:pPr>
            <w:r>
              <w:rPr/>
              <w:t xml:space="preserve">II </w:t>
            </w:r>
          </w:p>
          <w:p>
            <w:pPr>
              <w:pStyle w:val="Normal"/>
              <w:rPr/>
            </w:pPr>
            <w:r>
              <w:rPr/>
            </w:r>
          </w:p>
        </w:tc>
      </w:tr>
      <w:tr>
        <w:trPr/>
        <w:tc>
          <w:tcPr>
            <w:tcW w:w="2700" w:type="dxa"/>
            <w:tcBorders>
              <w:start w:val="single" w:sz="2" w:space="0" w:color="000000"/>
            </w:tcBorders>
            <w:shd w:fill="auto" w:val="clear"/>
            <w:tcMar>
              <w:start w:w="27" w:type="dxa"/>
            </w:tcMar>
          </w:tcPr>
          <w:p>
            <w:pPr>
              <w:pStyle w:val="Normal"/>
              <w:rPr/>
            </w:pPr>
            <w:r>
              <w:rPr/>
              <w:t xml:space="preserve">  </w:t>
            </w:r>
          </w:p>
          <w:p>
            <w:pPr>
              <w:pStyle w:val="Normal"/>
              <w:rPr/>
            </w:pPr>
            <w:r>
              <w:rPr/>
            </w:r>
          </w:p>
        </w:tc>
        <w:tc>
          <w:tcPr>
            <w:tcW w:w="1515" w:type="dxa"/>
            <w:tcBorders>
              <w:start w:val="single" w:sz="2" w:space="0" w:color="000000"/>
            </w:tcBorders>
            <w:shd w:fill="auto" w:val="clear"/>
            <w:tcMar>
              <w:start w:w="27" w:type="dxa"/>
            </w:tcMar>
          </w:tcPr>
          <w:p>
            <w:pPr>
              <w:pStyle w:val="Normal"/>
              <w:jc w:val="center"/>
              <w:rPr/>
            </w:pPr>
            <w:r>
              <w:rPr/>
              <w:t xml:space="preserve">II </w:t>
            </w:r>
          </w:p>
          <w:p>
            <w:pPr>
              <w:pStyle w:val="Normal"/>
              <w:jc w:val="center"/>
              <w:rPr/>
            </w:pPr>
            <w:r>
              <w:rPr/>
            </w:r>
          </w:p>
        </w:tc>
        <w:tc>
          <w:tcPr>
            <w:tcW w:w="1455" w:type="dxa"/>
            <w:tcBorders>
              <w:start w:val="single" w:sz="2" w:space="0" w:color="000000"/>
            </w:tcBorders>
            <w:shd w:fill="auto" w:val="clear"/>
            <w:tcMar>
              <w:start w:w="27" w:type="dxa"/>
            </w:tcMar>
          </w:tcPr>
          <w:p>
            <w:pPr>
              <w:pStyle w:val="Normal"/>
              <w:rPr/>
            </w:pPr>
            <w:r>
              <w:rPr/>
              <w:t xml:space="preserve">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III </w:t>
            </w:r>
          </w:p>
          <w:p>
            <w:pPr>
              <w:pStyle w:val="Normal"/>
              <w:rPr/>
            </w:pPr>
            <w:r>
              <w:rPr/>
            </w:r>
          </w:p>
        </w:tc>
      </w:tr>
      <w:tr>
        <w:trPr/>
        <w:tc>
          <w:tcPr>
            <w:tcW w:w="2700" w:type="dxa"/>
            <w:tcBorders>
              <w:start w:val="single" w:sz="2" w:space="0" w:color="000000"/>
            </w:tcBorders>
            <w:shd w:fill="auto" w:val="clear"/>
            <w:tcMar>
              <w:start w:w="27" w:type="dxa"/>
            </w:tcMar>
          </w:tcPr>
          <w:p>
            <w:pPr>
              <w:pStyle w:val="Normal"/>
              <w:rPr/>
            </w:pPr>
            <w:r>
              <w:rPr/>
              <w:t xml:space="preserve">  </w:t>
            </w:r>
          </w:p>
          <w:p>
            <w:pPr>
              <w:pStyle w:val="Normal"/>
              <w:rPr/>
            </w:pPr>
            <w:r>
              <w:rPr/>
            </w:r>
          </w:p>
        </w:tc>
        <w:tc>
          <w:tcPr>
            <w:tcW w:w="1515" w:type="dxa"/>
            <w:tcBorders>
              <w:start w:val="single" w:sz="2" w:space="0" w:color="000000"/>
            </w:tcBorders>
            <w:shd w:fill="auto" w:val="clear"/>
            <w:tcMar>
              <w:start w:w="27" w:type="dxa"/>
            </w:tcMar>
          </w:tcPr>
          <w:p>
            <w:pPr>
              <w:pStyle w:val="Normal"/>
              <w:jc w:val="center"/>
              <w:rPr/>
            </w:pPr>
            <w:r>
              <w:rPr/>
              <w:t xml:space="preserve">III </w:t>
            </w:r>
          </w:p>
          <w:p>
            <w:pPr>
              <w:pStyle w:val="Normal"/>
              <w:jc w:val="center"/>
              <w:rPr/>
            </w:pPr>
            <w:r>
              <w:rPr/>
            </w:r>
          </w:p>
        </w:tc>
        <w:tc>
          <w:tcPr>
            <w:tcW w:w="1455" w:type="dxa"/>
            <w:tcBorders>
              <w:start w:val="single" w:sz="2" w:space="0" w:color="000000"/>
            </w:tcBorders>
            <w:shd w:fill="auto" w:val="clear"/>
            <w:tcMar>
              <w:start w:w="27" w:type="dxa"/>
            </w:tcMar>
          </w:tcPr>
          <w:p>
            <w:pPr>
              <w:pStyle w:val="Normal"/>
              <w:rPr/>
            </w:pPr>
            <w:r>
              <w:rPr/>
              <w:t xml:space="preserve">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IV </w:t>
            </w:r>
          </w:p>
          <w:p>
            <w:pPr>
              <w:pStyle w:val="Normal"/>
              <w:rPr/>
            </w:pPr>
            <w:r>
              <w:rPr/>
            </w:r>
          </w:p>
        </w:tc>
      </w:tr>
      <w:tr>
        <w:trPr/>
        <w:tc>
          <w:tcPr>
            <w:tcW w:w="2700" w:type="dxa"/>
            <w:tcBorders>
              <w:start w:val="single" w:sz="2" w:space="0" w:color="000000"/>
            </w:tcBorders>
            <w:shd w:fill="auto" w:val="clear"/>
            <w:tcMar>
              <w:start w:w="27" w:type="dxa"/>
            </w:tcMar>
          </w:tcPr>
          <w:p>
            <w:pPr>
              <w:pStyle w:val="Normal"/>
              <w:jc w:val="both"/>
              <w:rPr/>
            </w:pPr>
            <w:r>
              <w:rPr/>
              <w:t xml:space="preserve">2. Насосные станции </w:t>
            </w:r>
          </w:p>
          <w:p>
            <w:pPr>
              <w:pStyle w:val="Normal"/>
              <w:jc w:val="both"/>
              <w:rPr/>
            </w:pPr>
            <w:r>
              <w:rPr/>
            </w:r>
          </w:p>
        </w:tc>
        <w:tc>
          <w:tcPr>
            <w:tcW w:w="1515" w:type="dxa"/>
            <w:tcBorders>
              <w:start w:val="single" w:sz="2" w:space="0" w:color="000000"/>
            </w:tcBorders>
            <w:shd w:fill="auto" w:val="clear"/>
            <w:tcMar>
              <w:start w:w="27" w:type="dxa"/>
            </w:tcMar>
          </w:tcPr>
          <w:p>
            <w:pPr>
              <w:pStyle w:val="Normal"/>
              <w:jc w:val="center"/>
              <w:rPr/>
            </w:pPr>
            <w:r>
              <w:rPr/>
              <w:t xml:space="preserve">I </w:t>
            </w:r>
          </w:p>
          <w:p>
            <w:pPr>
              <w:pStyle w:val="Normal"/>
              <w:jc w:val="center"/>
              <w:rPr/>
            </w:pPr>
            <w:r>
              <w:rPr/>
            </w:r>
          </w:p>
        </w:tc>
        <w:tc>
          <w:tcPr>
            <w:tcW w:w="1455" w:type="dxa"/>
            <w:tcBorders>
              <w:start w:val="single" w:sz="2" w:space="0" w:color="000000"/>
            </w:tcBorders>
            <w:shd w:fill="auto" w:val="clear"/>
            <w:tcMar>
              <w:start w:w="27" w:type="dxa"/>
            </w:tcMar>
          </w:tcPr>
          <w:p>
            <w:pPr>
              <w:pStyle w:val="Normal"/>
              <w:rPr/>
            </w:pPr>
            <w:r>
              <w:rPr/>
              <w:t xml:space="preserve">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I </w:t>
            </w:r>
          </w:p>
          <w:p>
            <w:pPr>
              <w:pStyle w:val="Normal"/>
              <w:rPr/>
            </w:pPr>
            <w:r>
              <w:rPr/>
            </w:r>
          </w:p>
        </w:tc>
      </w:tr>
      <w:tr>
        <w:trPr/>
        <w:tc>
          <w:tcPr>
            <w:tcW w:w="2700" w:type="dxa"/>
            <w:tcBorders>
              <w:start w:val="single" w:sz="2" w:space="0" w:color="000000"/>
            </w:tcBorders>
            <w:shd w:fill="auto" w:val="clear"/>
            <w:tcMar>
              <w:start w:w="27" w:type="dxa"/>
            </w:tcMar>
          </w:tcPr>
          <w:p>
            <w:pPr>
              <w:pStyle w:val="Normal"/>
              <w:rPr/>
            </w:pPr>
            <w:r>
              <w:rPr/>
              <w:t xml:space="preserve">  </w:t>
            </w:r>
          </w:p>
          <w:p>
            <w:pPr>
              <w:pStyle w:val="Normal"/>
              <w:rPr/>
            </w:pPr>
            <w:r>
              <w:rPr/>
            </w:r>
          </w:p>
        </w:tc>
        <w:tc>
          <w:tcPr>
            <w:tcW w:w="1515" w:type="dxa"/>
            <w:tcBorders>
              <w:start w:val="single" w:sz="2" w:space="0" w:color="000000"/>
            </w:tcBorders>
            <w:shd w:fill="auto" w:val="clear"/>
            <w:tcMar>
              <w:start w:w="27" w:type="dxa"/>
            </w:tcMar>
          </w:tcPr>
          <w:p>
            <w:pPr>
              <w:pStyle w:val="Normal"/>
              <w:jc w:val="center"/>
              <w:rPr/>
            </w:pPr>
            <w:r>
              <w:rPr/>
              <w:t xml:space="preserve">II </w:t>
            </w:r>
          </w:p>
          <w:p>
            <w:pPr>
              <w:pStyle w:val="Normal"/>
              <w:jc w:val="center"/>
              <w:rPr/>
            </w:pPr>
            <w:r>
              <w:rPr/>
            </w:r>
          </w:p>
        </w:tc>
        <w:tc>
          <w:tcPr>
            <w:tcW w:w="1455" w:type="dxa"/>
            <w:tcBorders>
              <w:start w:val="single" w:sz="2" w:space="0" w:color="000000"/>
            </w:tcBorders>
            <w:shd w:fill="auto" w:val="clear"/>
            <w:tcMar>
              <w:start w:w="27" w:type="dxa"/>
            </w:tcMar>
          </w:tcPr>
          <w:p>
            <w:pPr>
              <w:pStyle w:val="Normal"/>
              <w:rPr/>
            </w:pPr>
            <w:r>
              <w:rPr/>
              <w:t xml:space="preserve">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II </w:t>
            </w:r>
          </w:p>
          <w:p>
            <w:pPr>
              <w:pStyle w:val="Normal"/>
              <w:rPr/>
            </w:pPr>
            <w:r>
              <w:rPr/>
            </w:r>
          </w:p>
        </w:tc>
      </w:tr>
      <w:tr>
        <w:trPr/>
        <w:tc>
          <w:tcPr>
            <w:tcW w:w="2700" w:type="dxa"/>
            <w:tcBorders>
              <w:start w:val="single" w:sz="2" w:space="0" w:color="000000"/>
            </w:tcBorders>
            <w:shd w:fill="auto" w:val="clear"/>
            <w:tcMar>
              <w:start w:w="27" w:type="dxa"/>
            </w:tcMar>
          </w:tcPr>
          <w:p>
            <w:pPr>
              <w:pStyle w:val="Normal"/>
              <w:rPr/>
            </w:pPr>
            <w:r>
              <w:rPr/>
              <w:t xml:space="preserve">  </w:t>
            </w:r>
          </w:p>
          <w:p>
            <w:pPr>
              <w:pStyle w:val="Normal"/>
              <w:rPr/>
            </w:pPr>
            <w:r>
              <w:rPr/>
            </w:r>
          </w:p>
        </w:tc>
        <w:tc>
          <w:tcPr>
            <w:tcW w:w="1515" w:type="dxa"/>
            <w:tcBorders>
              <w:start w:val="single" w:sz="2" w:space="0" w:color="000000"/>
            </w:tcBorders>
            <w:shd w:fill="auto" w:val="clear"/>
            <w:tcMar>
              <w:start w:w="27" w:type="dxa"/>
            </w:tcMar>
          </w:tcPr>
          <w:p>
            <w:pPr>
              <w:pStyle w:val="Normal"/>
              <w:jc w:val="center"/>
              <w:rPr/>
            </w:pPr>
            <w:r>
              <w:rPr/>
              <w:t xml:space="preserve">III </w:t>
            </w:r>
          </w:p>
          <w:p>
            <w:pPr>
              <w:pStyle w:val="Normal"/>
              <w:jc w:val="center"/>
              <w:rPr/>
            </w:pPr>
            <w:r>
              <w:rPr/>
            </w:r>
          </w:p>
        </w:tc>
        <w:tc>
          <w:tcPr>
            <w:tcW w:w="1455" w:type="dxa"/>
            <w:tcBorders>
              <w:start w:val="single" w:sz="2" w:space="0" w:color="000000"/>
            </w:tcBorders>
            <w:shd w:fill="auto" w:val="clear"/>
            <w:tcMar>
              <w:start w:w="27" w:type="dxa"/>
            </w:tcMar>
          </w:tcPr>
          <w:p>
            <w:pPr>
              <w:pStyle w:val="Normal"/>
              <w:rPr/>
            </w:pPr>
            <w:r>
              <w:rPr/>
              <w:t xml:space="preserve">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III </w:t>
            </w:r>
          </w:p>
          <w:p>
            <w:pPr>
              <w:pStyle w:val="Normal"/>
              <w:rPr/>
            </w:pPr>
            <w:r>
              <w:rPr/>
            </w:r>
          </w:p>
        </w:tc>
      </w:tr>
      <w:tr>
        <w:trPr/>
        <w:tc>
          <w:tcPr>
            <w:tcW w:w="2700" w:type="dxa"/>
            <w:tcBorders>
              <w:start w:val="single" w:sz="2" w:space="0" w:color="000000"/>
            </w:tcBorders>
            <w:shd w:fill="auto" w:val="clear"/>
            <w:tcMar>
              <w:start w:w="27" w:type="dxa"/>
            </w:tcMar>
          </w:tcPr>
          <w:p>
            <w:pPr>
              <w:pStyle w:val="Normal"/>
              <w:jc w:val="both"/>
              <w:rPr/>
            </w:pPr>
            <w:r>
              <w:rPr/>
              <w:t xml:space="preserve">3. Станции водоподготовки </w:t>
            </w:r>
          </w:p>
          <w:p>
            <w:pPr>
              <w:pStyle w:val="Normal"/>
              <w:jc w:val="both"/>
              <w:rPr/>
            </w:pPr>
            <w:r>
              <w:rPr/>
            </w:r>
          </w:p>
        </w:tc>
        <w:tc>
          <w:tcPr>
            <w:tcW w:w="1515" w:type="dxa"/>
            <w:tcBorders>
              <w:start w:val="single" w:sz="2" w:space="0" w:color="000000"/>
            </w:tcBorders>
            <w:shd w:fill="auto" w:val="clear"/>
            <w:tcMar>
              <w:start w:w="27" w:type="dxa"/>
            </w:tcMar>
          </w:tcPr>
          <w:p>
            <w:pPr>
              <w:pStyle w:val="Normal"/>
              <w:jc w:val="center"/>
              <w:rPr/>
            </w:pPr>
            <w:r>
              <w:rPr/>
              <w:t xml:space="preserve">II </w:t>
            </w:r>
          </w:p>
          <w:p>
            <w:pPr>
              <w:pStyle w:val="Normal"/>
              <w:jc w:val="center"/>
              <w:rPr/>
            </w:pPr>
            <w:r>
              <w:rPr/>
            </w:r>
          </w:p>
        </w:tc>
        <w:tc>
          <w:tcPr>
            <w:tcW w:w="1455" w:type="dxa"/>
            <w:tcBorders>
              <w:start w:val="single" w:sz="2" w:space="0" w:color="000000"/>
            </w:tcBorders>
            <w:shd w:fill="auto" w:val="clear"/>
            <w:tcMar>
              <w:start w:w="27" w:type="dxa"/>
            </w:tcMar>
          </w:tcPr>
          <w:p>
            <w:pPr>
              <w:pStyle w:val="Normal"/>
              <w:rPr/>
            </w:pPr>
            <w:r>
              <w:rPr/>
              <w:t xml:space="preserve">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II-III </w:t>
            </w:r>
          </w:p>
          <w:p>
            <w:pPr>
              <w:pStyle w:val="Normal"/>
              <w:rPr/>
            </w:pPr>
            <w:r>
              <w:rPr/>
            </w:r>
          </w:p>
        </w:tc>
      </w:tr>
      <w:tr>
        <w:trPr/>
        <w:tc>
          <w:tcPr>
            <w:tcW w:w="2700" w:type="dxa"/>
            <w:tcBorders>
              <w:start w:val="single" w:sz="2" w:space="0" w:color="000000"/>
            </w:tcBorders>
            <w:shd w:fill="auto" w:val="clear"/>
            <w:tcMar>
              <w:start w:w="27" w:type="dxa"/>
            </w:tcMar>
          </w:tcPr>
          <w:p>
            <w:pPr>
              <w:pStyle w:val="Normal"/>
              <w:jc w:val="both"/>
              <w:rPr/>
            </w:pPr>
            <w:r>
              <w:rPr/>
              <w:t xml:space="preserve">4. Отдельно стоящие хлораторные </w:t>
            </w:r>
          </w:p>
          <w:p>
            <w:pPr>
              <w:pStyle w:val="Normal"/>
              <w:jc w:val="both"/>
              <w:rPr/>
            </w:pPr>
            <w:r>
              <w:rPr/>
            </w:r>
          </w:p>
        </w:tc>
        <w:tc>
          <w:tcPr>
            <w:tcW w:w="1515" w:type="dxa"/>
            <w:tcBorders>
              <w:start w:val="single" w:sz="2" w:space="0" w:color="000000"/>
            </w:tcBorders>
            <w:shd w:fill="auto" w:val="clear"/>
            <w:tcMar>
              <w:start w:w="27" w:type="dxa"/>
            </w:tcMar>
          </w:tcPr>
          <w:p>
            <w:pPr>
              <w:pStyle w:val="Normal"/>
              <w:jc w:val="center"/>
              <w:rPr/>
            </w:pPr>
            <w:r>
              <w:rPr/>
              <w:t xml:space="preserve">I </w:t>
            </w:r>
          </w:p>
          <w:p>
            <w:pPr>
              <w:pStyle w:val="Normal"/>
              <w:jc w:val="center"/>
              <w:rPr/>
            </w:pPr>
            <w:r>
              <w:rPr/>
            </w:r>
          </w:p>
        </w:tc>
        <w:tc>
          <w:tcPr>
            <w:tcW w:w="1455" w:type="dxa"/>
            <w:tcBorders>
              <w:start w:val="single" w:sz="2" w:space="0" w:color="000000"/>
            </w:tcBorders>
            <w:shd w:fill="auto" w:val="clear"/>
            <w:tcMar>
              <w:start w:w="27" w:type="dxa"/>
            </w:tcMar>
          </w:tcPr>
          <w:p>
            <w:pPr>
              <w:pStyle w:val="Normal"/>
              <w:rPr/>
            </w:pPr>
            <w:r>
              <w:rPr/>
              <w:t xml:space="preserve">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II </w:t>
            </w:r>
          </w:p>
          <w:p>
            <w:pPr>
              <w:pStyle w:val="Normal"/>
              <w:rPr/>
            </w:pPr>
            <w:r>
              <w:rPr/>
            </w:r>
          </w:p>
        </w:tc>
      </w:tr>
      <w:tr>
        <w:trPr/>
        <w:tc>
          <w:tcPr>
            <w:tcW w:w="2700" w:type="dxa"/>
            <w:tcBorders>
              <w:start w:val="single" w:sz="2" w:space="0" w:color="000000"/>
            </w:tcBorders>
            <w:shd w:fill="auto" w:val="clear"/>
            <w:tcMar>
              <w:start w:w="27" w:type="dxa"/>
            </w:tcMar>
          </w:tcPr>
          <w:p>
            <w:pPr>
              <w:pStyle w:val="Normal"/>
              <w:jc w:val="both"/>
              <w:rPr/>
            </w:pPr>
            <w:r>
              <w:rPr/>
              <w:t xml:space="preserve">5. Емкости для хранения воды при количестве: </w:t>
            </w:r>
          </w:p>
          <w:p>
            <w:pPr>
              <w:pStyle w:val="Normal"/>
              <w:ind w:firstLine="225"/>
              <w:jc w:val="both"/>
              <w:rPr/>
            </w:pPr>
            <w:r>
              <w:rPr/>
              <w:t xml:space="preserve">до 2 или при наличии пожарного объема воды </w:t>
            </w:r>
          </w:p>
          <w:p>
            <w:pPr>
              <w:pStyle w:val="Normal"/>
              <w:ind w:firstLine="225"/>
              <w:jc w:val="both"/>
              <w:rPr/>
            </w:pPr>
            <w:r>
              <w:rPr/>
            </w:r>
          </w:p>
        </w:tc>
        <w:tc>
          <w:tcPr>
            <w:tcW w:w="1515" w:type="dxa"/>
            <w:tcBorders>
              <w:start w:val="single" w:sz="2" w:space="0" w:color="000000"/>
            </w:tcBorders>
            <w:shd w:fill="auto" w:val="clear"/>
            <w:tcMar>
              <w:start w:w="27" w:type="dxa"/>
            </w:tcMar>
          </w:tcPr>
          <w:p>
            <w:pPr>
              <w:pStyle w:val="Normal"/>
              <w:snapToGrid w:val="false"/>
              <w:jc w:val="center"/>
              <w:rPr/>
            </w:pPr>
            <w:r>
              <w:rPr/>
            </w:r>
          </w:p>
          <w:p>
            <w:pPr>
              <w:pStyle w:val="Normal"/>
              <w:jc w:val="center"/>
              <w:rPr/>
            </w:pPr>
            <w:r>
              <w:rPr/>
            </w:r>
          </w:p>
          <w:p>
            <w:pPr>
              <w:pStyle w:val="Normal"/>
              <w:jc w:val="center"/>
              <w:rPr/>
            </w:pPr>
            <w:r>
              <w:rPr/>
              <w:t xml:space="preserve">I </w:t>
            </w:r>
          </w:p>
          <w:p>
            <w:pPr>
              <w:pStyle w:val="Normal"/>
              <w:jc w:val="center"/>
              <w:rPr/>
            </w:pPr>
            <w:r>
              <w:rPr/>
            </w:r>
          </w:p>
        </w:tc>
        <w:tc>
          <w:tcPr>
            <w:tcW w:w="1455" w:type="dxa"/>
            <w:tcBorders>
              <w:start w:val="single" w:sz="2" w:space="0" w:color="000000"/>
            </w:tcBorders>
            <w:shd w:fill="auto" w:val="clear"/>
            <w:tcMar>
              <w:start w:w="27" w:type="dxa"/>
            </w:tcMar>
          </w:tcPr>
          <w:p>
            <w:pPr>
              <w:pStyle w:val="Normal"/>
              <w:snapToGrid w:val="false"/>
              <w:rPr/>
            </w:pPr>
            <w:r>
              <w:rPr/>
            </w:r>
          </w:p>
          <w:p>
            <w:pPr>
              <w:pStyle w:val="Normal"/>
              <w:rPr/>
            </w:pPr>
            <w:r>
              <w:rPr/>
            </w:r>
          </w:p>
          <w:p>
            <w:pPr>
              <w:pStyle w:val="Normal"/>
              <w:rPr/>
            </w:pPr>
            <w:r>
              <w:rPr/>
              <w:t xml:space="preserve">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snapToGrid w:val="false"/>
              <w:rPr/>
            </w:pPr>
            <w:r>
              <w:rPr/>
            </w:r>
          </w:p>
          <w:p>
            <w:pPr>
              <w:pStyle w:val="Normal"/>
              <w:rPr/>
            </w:pPr>
            <w:r>
              <w:rPr/>
            </w:r>
          </w:p>
          <w:p>
            <w:pPr>
              <w:pStyle w:val="Normal"/>
              <w:rPr/>
            </w:pPr>
            <w:r>
              <w:rPr/>
              <w:t xml:space="preserve">Не нормируется </w:t>
            </w:r>
          </w:p>
          <w:p>
            <w:pPr>
              <w:pStyle w:val="Normal"/>
              <w:rPr/>
            </w:pPr>
            <w:r>
              <w:rPr/>
            </w:r>
          </w:p>
        </w:tc>
      </w:tr>
      <w:tr>
        <w:trPr/>
        <w:tc>
          <w:tcPr>
            <w:tcW w:w="2700" w:type="dxa"/>
            <w:tcBorders>
              <w:start w:val="single" w:sz="2" w:space="0" w:color="000000"/>
            </w:tcBorders>
            <w:shd w:fill="auto" w:val="clear"/>
            <w:tcMar>
              <w:start w:w="27" w:type="dxa"/>
            </w:tcMar>
          </w:tcPr>
          <w:p>
            <w:pPr>
              <w:pStyle w:val="Normal"/>
              <w:ind w:firstLine="225"/>
              <w:jc w:val="both"/>
              <w:rPr/>
            </w:pPr>
            <w:r>
              <w:rPr/>
              <w:t xml:space="preserve">свыше 2 или без пожарного объема воды </w:t>
            </w:r>
          </w:p>
          <w:p>
            <w:pPr>
              <w:pStyle w:val="Normal"/>
              <w:ind w:firstLine="225"/>
              <w:jc w:val="both"/>
              <w:rPr/>
            </w:pPr>
            <w:r>
              <w:rPr/>
            </w:r>
          </w:p>
        </w:tc>
        <w:tc>
          <w:tcPr>
            <w:tcW w:w="1515" w:type="dxa"/>
            <w:tcBorders>
              <w:start w:val="single" w:sz="2" w:space="0" w:color="000000"/>
            </w:tcBorders>
            <w:shd w:fill="auto" w:val="clear"/>
            <w:tcMar>
              <w:start w:w="27" w:type="dxa"/>
            </w:tcMar>
          </w:tcPr>
          <w:p>
            <w:pPr>
              <w:pStyle w:val="Normal"/>
              <w:jc w:val="center"/>
              <w:rPr/>
            </w:pPr>
            <w:r>
              <w:rPr/>
              <w:t xml:space="preserve">II </w:t>
            </w:r>
          </w:p>
          <w:p>
            <w:pPr>
              <w:pStyle w:val="Normal"/>
              <w:jc w:val="center"/>
              <w:rPr/>
            </w:pPr>
            <w:r>
              <w:rPr/>
            </w:r>
          </w:p>
        </w:tc>
        <w:tc>
          <w:tcPr>
            <w:tcW w:w="1455" w:type="dxa"/>
            <w:tcBorders>
              <w:start w:val="single" w:sz="2" w:space="0" w:color="000000"/>
            </w:tcBorders>
            <w:shd w:fill="auto" w:val="clear"/>
            <w:tcMar>
              <w:start w:w="27" w:type="dxa"/>
            </w:tcMar>
          </w:tcPr>
          <w:p>
            <w:pPr>
              <w:pStyle w:val="Normal"/>
              <w:rPr/>
            </w:pPr>
            <w:r>
              <w:rPr/>
              <w:t xml:space="preserve">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То же </w:t>
            </w:r>
          </w:p>
          <w:p>
            <w:pPr>
              <w:pStyle w:val="Normal"/>
              <w:rPr/>
            </w:pPr>
            <w:r>
              <w:rPr/>
            </w:r>
          </w:p>
        </w:tc>
      </w:tr>
      <w:tr>
        <w:trPr/>
        <w:tc>
          <w:tcPr>
            <w:tcW w:w="2700" w:type="dxa"/>
            <w:tcBorders>
              <w:start w:val="single" w:sz="2" w:space="0" w:color="000000"/>
            </w:tcBorders>
            <w:shd w:fill="auto" w:val="clear"/>
            <w:tcMar>
              <w:start w:w="27" w:type="dxa"/>
            </w:tcMar>
          </w:tcPr>
          <w:p>
            <w:pPr>
              <w:pStyle w:val="Normal"/>
              <w:jc w:val="both"/>
              <w:rPr/>
            </w:pPr>
            <w:r>
              <w:rPr/>
              <w:t xml:space="preserve">6. Водоводы </w:t>
            </w:r>
          </w:p>
          <w:p>
            <w:pPr>
              <w:pStyle w:val="Normal"/>
              <w:jc w:val="both"/>
              <w:rPr/>
            </w:pPr>
            <w:r>
              <w:rPr/>
            </w:r>
          </w:p>
        </w:tc>
        <w:tc>
          <w:tcPr>
            <w:tcW w:w="1515" w:type="dxa"/>
            <w:tcBorders>
              <w:start w:val="single" w:sz="2" w:space="0" w:color="000000"/>
            </w:tcBorders>
            <w:shd w:fill="auto" w:val="clear"/>
            <w:tcMar>
              <w:start w:w="27" w:type="dxa"/>
            </w:tcMar>
          </w:tcPr>
          <w:p>
            <w:pPr>
              <w:pStyle w:val="Normal"/>
              <w:jc w:val="center"/>
              <w:rPr/>
            </w:pPr>
            <w:r>
              <w:rPr/>
              <w:t xml:space="preserve">I-III </w:t>
            </w:r>
          </w:p>
          <w:p>
            <w:pPr>
              <w:pStyle w:val="Normal"/>
              <w:jc w:val="center"/>
              <w:rPr/>
            </w:pPr>
            <w:r>
              <w:rPr/>
            </w:r>
          </w:p>
        </w:tc>
        <w:tc>
          <w:tcPr>
            <w:tcW w:w="1455" w:type="dxa"/>
            <w:tcBorders>
              <w:start w:val="single" w:sz="2" w:space="0" w:color="000000"/>
            </w:tcBorders>
            <w:shd w:fill="auto" w:val="clear"/>
            <w:tcMar>
              <w:start w:w="27" w:type="dxa"/>
            </w:tcMar>
          </w:tcPr>
          <w:p>
            <w:pPr>
              <w:pStyle w:val="Normal"/>
              <w:rPr/>
            </w:pPr>
            <w:r>
              <w:rPr/>
              <w:t xml:space="preserve">I-III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rPr/>
            </w:pPr>
            <w:r>
              <w:rPr/>
              <w:t>«</w:t>
            </w:r>
          </w:p>
          <w:p>
            <w:pPr>
              <w:pStyle w:val="Normal"/>
              <w:rPr/>
            </w:pPr>
            <w:r>
              <w:rPr/>
            </w:r>
          </w:p>
        </w:tc>
      </w:tr>
      <w:tr>
        <w:trPr/>
        <w:tc>
          <w:tcPr>
            <w:tcW w:w="2700" w:type="dxa"/>
            <w:tcBorders>
              <w:start w:val="single" w:sz="2" w:space="0" w:color="000000"/>
            </w:tcBorders>
            <w:shd w:fill="auto" w:val="clear"/>
            <w:tcMar>
              <w:start w:w="27" w:type="dxa"/>
            </w:tcMar>
          </w:tcPr>
          <w:p>
            <w:pPr>
              <w:pStyle w:val="Normal"/>
              <w:jc w:val="both"/>
              <w:rPr/>
            </w:pPr>
            <w:r>
              <w:rPr/>
              <w:t xml:space="preserve">7. Водопроводные сети, колодцы </w:t>
            </w:r>
          </w:p>
          <w:p>
            <w:pPr>
              <w:pStyle w:val="Normal"/>
              <w:jc w:val="both"/>
              <w:rPr/>
            </w:pPr>
            <w:r>
              <w:rPr/>
            </w:r>
          </w:p>
        </w:tc>
        <w:tc>
          <w:tcPr>
            <w:tcW w:w="1515" w:type="dxa"/>
            <w:tcBorders>
              <w:start w:val="single" w:sz="2" w:space="0" w:color="000000"/>
            </w:tcBorders>
            <w:shd w:fill="auto" w:val="clear"/>
            <w:tcMar>
              <w:start w:w="27" w:type="dxa"/>
            </w:tcMar>
          </w:tcPr>
          <w:p>
            <w:pPr>
              <w:pStyle w:val="Normal"/>
              <w:jc w:val="center"/>
              <w:rPr/>
            </w:pPr>
            <w:r>
              <w:rPr/>
              <w:t xml:space="preserve">III </w:t>
            </w:r>
          </w:p>
          <w:p>
            <w:pPr>
              <w:pStyle w:val="Normal"/>
              <w:jc w:val="center"/>
              <w:rPr/>
            </w:pPr>
            <w:r>
              <w:rPr/>
            </w:r>
          </w:p>
        </w:tc>
        <w:tc>
          <w:tcPr>
            <w:tcW w:w="1455" w:type="dxa"/>
            <w:tcBorders>
              <w:start w:val="single" w:sz="2" w:space="0" w:color="000000"/>
            </w:tcBorders>
            <w:shd w:fill="auto" w:val="clear"/>
            <w:tcMar>
              <w:start w:w="27" w:type="dxa"/>
            </w:tcMar>
          </w:tcPr>
          <w:p>
            <w:pPr>
              <w:pStyle w:val="Normal"/>
              <w:rPr/>
            </w:pPr>
            <w:r>
              <w:rPr/>
              <w:t xml:space="preserve">III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rPr/>
            </w:pPr>
            <w:r>
              <w:rPr/>
              <w:t>«</w:t>
            </w:r>
          </w:p>
          <w:p>
            <w:pPr>
              <w:pStyle w:val="Normal"/>
              <w:rPr/>
            </w:pPr>
            <w:r>
              <w:rPr/>
            </w:r>
          </w:p>
        </w:tc>
      </w:tr>
      <w:tr>
        <w:trPr/>
        <w:tc>
          <w:tcPr>
            <w:tcW w:w="2700" w:type="dxa"/>
            <w:tcBorders>
              <w:start w:val="single" w:sz="2" w:space="0" w:color="000000"/>
            </w:tcBorders>
            <w:shd w:fill="auto" w:val="clear"/>
            <w:tcMar>
              <w:start w:w="27" w:type="dxa"/>
            </w:tcMar>
          </w:tcPr>
          <w:p>
            <w:pPr>
              <w:pStyle w:val="Normal"/>
              <w:jc w:val="both"/>
              <w:rPr/>
            </w:pPr>
            <w:r>
              <w:rPr/>
              <w:t xml:space="preserve">8. Водонапорные башни </w:t>
            </w:r>
          </w:p>
          <w:p>
            <w:pPr>
              <w:pStyle w:val="Normal"/>
              <w:jc w:val="both"/>
              <w:rPr/>
            </w:pPr>
            <w:r>
              <w:rPr/>
            </w:r>
          </w:p>
        </w:tc>
        <w:tc>
          <w:tcPr>
            <w:tcW w:w="1515" w:type="dxa"/>
            <w:tcBorders>
              <w:start w:val="single" w:sz="2" w:space="0" w:color="000000"/>
            </w:tcBorders>
            <w:shd w:fill="auto" w:val="clear"/>
            <w:tcMar>
              <w:start w:w="27" w:type="dxa"/>
            </w:tcMar>
          </w:tcPr>
          <w:p>
            <w:pPr>
              <w:pStyle w:val="Normal"/>
              <w:jc w:val="center"/>
              <w:rPr/>
            </w:pPr>
            <w:r>
              <w:rPr/>
              <w:t xml:space="preserve">III </w:t>
            </w:r>
          </w:p>
          <w:p>
            <w:pPr>
              <w:pStyle w:val="Normal"/>
              <w:jc w:val="center"/>
              <w:rPr/>
            </w:pPr>
            <w:r>
              <w:rPr/>
            </w:r>
          </w:p>
        </w:tc>
        <w:tc>
          <w:tcPr>
            <w:tcW w:w="1455" w:type="dxa"/>
            <w:tcBorders>
              <w:start w:val="single" w:sz="2" w:space="0" w:color="000000"/>
            </w:tcBorders>
            <w:shd w:fill="auto" w:val="clear"/>
            <w:tcMar>
              <w:start w:w="27" w:type="dxa"/>
            </w:tcMar>
          </w:tcPr>
          <w:p>
            <w:pPr>
              <w:pStyle w:val="Normal"/>
              <w:rPr/>
            </w:pPr>
            <w:r>
              <w:rPr/>
              <w:t xml:space="preserve">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II </w:t>
            </w:r>
          </w:p>
          <w:p>
            <w:pPr>
              <w:pStyle w:val="Normal"/>
              <w:rPr/>
            </w:pPr>
            <w:r>
              <w:rPr/>
            </w:r>
          </w:p>
        </w:tc>
      </w:tr>
      <w:tr>
        <w:trPr/>
        <w:tc>
          <w:tcPr>
            <w:tcW w:w="2700" w:type="dxa"/>
            <w:tcBorders>
              <w:start w:val="single" w:sz="2" w:space="0" w:color="000000"/>
            </w:tcBorders>
            <w:shd w:fill="auto" w:val="clear"/>
            <w:tcMar>
              <w:start w:w="27" w:type="dxa"/>
            </w:tcMar>
          </w:tcPr>
          <w:p>
            <w:pPr>
              <w:pStyle w:val="Normal"/>
              <w:jc w:val="both"/>
              <w:rPr/>
            </w:pPr>
            <w:r>
              <w:rPr/>
              <w:t xml:space="preserve">9. Охладители оборотной воды:  </w:t>
            </w:r>
          </w:p>
          <w:p>
            <w:pPr>
              <w:pStyle w:val="Normal"/>
              <w:ind w:firstLine="225"/>
              <w:jc w:val="both"/>
              <w:rPr/>
            </w:pPr>
            <w:r>
              <w:rPr/>
              <w:t xml:space="preserve">градирни </w:t>
            </w:r>
          </w:p>
          <w:p>
            <w:pPr>
              <w:pStyle w:val="Normal"/>
              <w:ind w:firstLine="225"/>
              <w:jc w:val="both"/>
              <w:rPr/>
            </w:pPr>
            <w:r>
              <w:rPr/>
            </w:r>
          </w:p>
        </w:tc>
        <w:tc>
          <w:tcPr>
            <w:tcW w:w="1515" w:type="dxa"/>
            <w:tcBorders>
              <w:start w:val="single" w:sz="2" w:space="0" w:color="000000"/>
            </w:tcBorders>
            <w:shd w:fill="auto" w:val="clear"/>
            <w:tcMar>
              <w:start w:w="27" w:type="dxa"/>
            </w:tcMar>
          </w:tcPr>
          <w:p>
            <w:pPr>
              <w:pStyle w:val="Normal"/>
              <w:snapToGrid w:val="false"/>
              <w:jc w:val="center"/>
              <w:rPr/>
            </w:pPr>
            <w:r>
              <w:rPr/>
            </w:r>
          </w:p>
          <w:p>
            <w:pPr>
              <w:pStyle w:val="Normal"/>
              <w:jc w:val="center"/>
              <w:rPr/>
            </w:pPr>
            <w:r>
              <w:rPr/>
            </w:r>
          </w:p>
          <w:p>
            <w:pPr>
              <w:pStyle w:val="Normal"/>
              <w:jc w:val="center"/>
              <w:rPr/>
            </w:pPr>
            <w:r>
              <w:rPr/>
              <w:t xml:space="preserve">II </w:t>
            </w:r>
          </w:p>
          <w:p>
            <w:pPr>
              <w:pStyle w:val="Normal"/>
              <w:jc w:val="center"/>
              <w:rPr/>
            </w:pPr>
            <w:r>
              <w:rPr/>
            </w:r>
          </w:p>
        </w:tc>
        <w:tc>
          <w:tcPr>
            <w:tcW w:w="1455" w:type="dxa"/>
            <w:tcBorders>
              <w:start w:val="single" w:sz="2" w:space="0" w:color="000000"/>
            </w:tcBorders>
            <w:shd w:fill="auto" w:val="clear"/>
            <w:tcMar>
              <w:start w:w="27" w:type="dxa"/>
            </w:tcMar>
          </w:tcPr>
          <w:p>
            <w:pPr>
              <w:pStyle w:val="Normal"/>
              <w:snapToGrid w:val="false"/>
              <w:rPr/>
            </w:pPr>
            <w:r>
              <w:rPr/>
            </w:r>
          </w:p>
          <w:p>
            <w:pPr>
              <w:pStyle w:val="Normal"/>
              <w:rPr/>
            </w:pPr>
            <w:r>
              <w:rPr/>
            </w:r>
          </w:p>
          <w:p>
            <w:pPr>
              <w:pStyle w:val="Normal"/>
              <w:rPr/>
            </w:pPr>
            <w:r>
              <w:rPr/>
              <w:t xml:space="preserve">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snapToGrid w:val="false"/>
              <w:rPr/>
            </w:pPr>
            <w:r>
              <w:rPr/>
            </w:r>
          </w:p>
          <w:p>
            <w:pPr>
              <w:pStyle w:val="Normal"/>
              <w:rPr/>
            </w:pPr>
            <w:r>
              <w:rPr/>
            </w:r>
          </w:p>
          <w:p>
            <w:pPr>
              <w:pStyle w:val="Normal"/>
              <w:rPr/>
            </w:pPr>
            <w:r>
              <w:rPr/>
              <w:t xml:space="preserve">II-V </w:t>
            </w:r>
          </w:p>
          <w:p>
            <w:pPr>
              <w:pStyle w:val="Normal"/>
              <w:rPr/>
            </w:pPr>
            <w:r>
              <w:rPr/>
            </w:r>
          </w:p>
        </w:tc>
      </w:tr>
      <w:tr>
        <w:trPr/>
        <w:tc>
          <w:tcPr>
            <w:tcW w:w="2700" w:type="dxa"/>
            <w:tcBorders>
              <w:start w:val="single" w:sz="2" w:space="0" w:color="000000"/>
            </w:tcBorders>
            <w:shd w:fill="auto" w:val="clear"/>
            <w:tcMar>
              <w:start w:w="27" w:type="dxa"/>
            </w:tcMar>
          </w:tcPr>
          <w:p>
            <w:pPr>
              <w:pStyle w:val="Normal"/>
              <w:ind w:firstLine="225"/>
              <w:jc w:val="both"/>
              <w:rPr/>
            </w:pPr>
            <w:r>
              <w:rPr/>
              <w:t xml:space="preserve">брызгальные бассейны </w:t>
            </w:r>
          </w:p>
          <w:p>
            <w:pPr>
              <w:pStyle w:val="Normal"/>
              <w:ind w:firstLine="225"/>
              <w:jc w:val="both"/>
              <w:rPr/>
            </w:pPr>
            <w:r>
              <w:rPr/>
            </w:r>
          </w:p>
        </w:tc>
        <w:tc>
          <w:tcPr>
            <w:tcW w:w="1515" w:type="dxa"/>
            <w:tcBorders>
              <w:start w:val="single" w:sz="2" w:space="0" w:color="000000"/>
            </w:tcBorders>
            <w:shd w:fill="auto" w:val="clear"/>
            <w:tcMar>
              <w:start w:w="27" w:type="dxa"/>
            </w:tcMar>
          </w:tcPr>
          <w:p>
            <w:pPr>
              <w:pStyle w:val="Normal"/>
              <w:jc w:val="center"/>
              <w:rPr/>
            </w:pPr>
            <w:r>
              <w:rPr/>
              <w:t xml:space="preserve">II </w:t>
            </w:r>
          </w:p>
          <w:p>
            <w:pPr>
              <w:pStyle w:val="Normal"/>
              <w:jc w:val="center"/>
              <w:rPr/>
            </w:pPr>
            <w:r>
              <w:rPr/>
            </w:r>
          </w:p>
        </w:tc>
        <w:tc>
          <w:tcPr>
            <w:tcW w:w="1455" w:type="dxa"/>
            <w:tcBorders>
              <w:start w:val="single" w:sz="2" w:space="0" w:color="000000"/>
            </w:tcBorders>
            <w:shd w:fill="auto" w:val="clear"/>
            <w:tcMar>
              <w:start w:w="27" w:type="dxa"/>
            </w:tcMar>
          </w:tcPr>
          <w:p>
            <w:pPr>
              <w:pStyle w:val="Normal"/>
              <w:rPr/>
            </w:pPr>
            <w:r>
              <w:rPr/>
              <w:t xml:space="preserve">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He нормируется </w:t>
            </w:r>
          </w:p>
          <w:p>
            <w:pPr>
              <w:pStyle w:val="Normal"/>
              <w:rPr/>
            </w:pPr>
            <w:r>
              <w:rPr/>
            </w:r>
          </w:p>
        </w:tc>
      </w:tr>
      <w:tr>
        <w:trPr/>
        <w:tc>
          <w:tcPr>
            <w:tcW w:w="2700" w:type="dxa"/>
            <w:tcBorders>
              <w:start w:val="single" w:sz="2" w:space="0" w:color="000000"/>
            </w:tcBorders>
            <w:shd w:fill="auto" w:val="clear"/>
            <w:tcMar>
              <w:start w:w="27" w:type="dxa"/>
            </w:tcMar>
          </w:tcPr>
          <w:p>
            <w:pPr>
              <w:pStyle w:val="Normal"/>
              <w:jc w:val="both"/>
              <w:rPr/>
            </w:pPr>
            <w:r>
              <w:rPr/>
              <w:t xml:space="preserve">10. Отделения приготовления реагентов, склады </w:t>
            </w:r>
          </w:p>
          <w:p>
            <w:pPr>
              <w:pStyle w:val="Normal"/>
              <w:jc w:val="both"/>
              <w:rPr/>
            </w:pPr>
            <w:r>
              <w:rPr/>
            </w:r>
          </w:p>
        </w:tc>
        <w:tc>
          <w:tcPr>
            <w:tcW w:w="1515" w:type="dxa"/>
            <w:tcBorders>
              <w:start w:val="single" w:sz="2" w:space="0" w:color="000000"/>
            </w:tcBorders>
            <w:shd w:fill="auto" w:val="clear"/>
            <w:tcMar>
              <w:start w:w="27" w:type="dxa"/>
            </w:tcMar>
          </w:tcPr>
          <w:p>
            <w:pPr>
              <w:pStyle w:val="Normal"/>
              <w:jc w:val="center"/>
              <w:rPr/>
            </w:pPr>
            <w:r>
              <w:rPr/>
              <w:t xml:space="preserve">II </w:t>
            </w:r>
          </w:p>
          <w:p>
            <w:pPr>
              <w:pStyle w:val="Normal"/>
              <w:jc w:val="center"/>
              <w:rPr/>
            </w:pPr>
            <w:r>
              <w:rPr/>
            </w:r>
          </w:p>
        </w:tc>
        <w:tc>
          <w:tcPr>
            <w:tcW w:w="1455" w:type="dxa"/>
            <w:tcBorders>
              <w:start w:val="single" w:sz="2" w:space="0" w:color="000000"/>
            </w:tcBorders>
            <w:shd w:fill="auto" w:val="clear"/>
            <w:tcMar>
              <w:start w:w="27" w:type="dxa"/>
            </w:tcMar>
          </w:tcPr>
          <w:p>
            <w:pPr>
              <w:pStyle w:val="Normal"/>
              <w:rPr/>
            </w:pPr>
            <w:r>
              <w:rPr/>
              <w:t xml:space="preserve">II </w:t>
            </w:r>
          </w:p>
          <w:p>
            <w:pPr>
              <w:pStyle w:val="Normal"/>
              <w:rPr/>
            </w:pPr>
            <w:r>
              <w:rPr/>
            </w:r>
          </w:p>
        </w:tc>
        <w:tc>
          <w:tcPr>
            <w:tcW w:w="1280"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II </w:t>
            </w:r>
          </w:p>
          <w:p>
            <w:pPr>
              <w:pStyle w:val="Normal"/>
              <w:rPr/>
            </w:pPr>
            <w:r>
              <w:rPr/>
            </w:r>
          </w:p>
        </w:tc>
      </w:tr>
      <w:tr>
        <w:trPr/>
        <w:tc>
          <w:tcPr>
            <w:tcW w:w="2700" w:type="dxa"/>
            <w:tcBorders>
              <w:start w:val="single" w:sz="2" w:space="0" w:color="000000"/>
              <w:bottom w:val="single" w:sz="2" w:space="0" w:color="000000"/>
              <w:insideH w:val="single" w:sz="2" w:space="0" w:color="000000"/>
            </w:tcBorders>
            <w:shd w:fill="auto" w:val="clear"/>
            <w:tcMar>
              <w:start w:w="27" w:type="dxa"/>
            </w:tcMar>
          </w:tcPr>
          <w:p>
            <w:pPr>
              <w:pStyle w:val="Normal"/>
              <w:jc w:val="both"/>
              <w:rPr/>
            </w:pPr>
            <w:r>
              <w:rPr/>
              <w:t>11. Помещения электроустановок камеры трансформаторов, РУ, КТП, помещения щитов, диспетчерские</w:t>
            </w:r>
          </w:p>
          <w:p>
            <w:pPr>
              <w:pStyle w:val="Normal"/>
              <w:jc w:val="both"/>
              <w:rPr/>
            </w:pPr>
            <w:r>
              <w:rPr/>
            </w:r>
          </w:p>
          <w:p>
            <w:pPr>
              <w:pStyle w:val="Normal"/>
              <w:jc w:val="both"/>
              <w:rPr/>
            </w:pPr>
            <w:r>
              <w:rPr/>
            </w:r>
          </w:p>
        </w:tc>
        <w:tc>
          <w:tcPr>
            <w:tcW w:w="1515" w:type="dxa"/>
            <w:tcBorders>
              <w:start w:val="single" w:sz="2" w:space="0" w:color="000000"/>
              <w:bottom w:val="single" w:sz="2" w:space="0" w:color="000000"/>
              <w:insideH w:val="single" w:sz="2" w:space="0" w:color="000000"/>
            </w:tcBorders>
            <w:shd w:fill="auto" w:val="clear"/>
            <w:tcMar>
              <w:start w:w="27" w:type="dxa"/>
            </w:tcMar>
          </w:tcPr>
          <w:p>
            <w:pPr>
              <w:pStyle w:val="Normal"/>
              <w:jc w:val="center"/>
              <w:rPr/>
            </w:pPr>
            <w:r>
              <w:rPr/>
              <w:t xml:space="preserve">III </w:t>
            </w:r>
          </w:p>
          <w:p>
            <w:pPr>
              <w:pStyle w:val="Normal"/>
              <w:jc w:val="center"/>
              <w:rPr/>
            </w:pPr>
            <w:r>
              <w:rPr/>
            </w:r>
          </w:p>
        </w:tc>
        <w:tc>
          <w:tcPr>
            <w:tcW w:w="14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II </w:t>
            </w:r>
          </w:p>
          <w:p>
            <w:pPr>
              <w:pStyle w:val="Normal"/>
              <w:rPr/>
            </w:pPr>
            <w:r>
              <w:rPr/>
            </w:r>
          </w:p>
        </w:tc>
        <w:tc>
          <w:tcPr>
            <w:tcW w:w="128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II </w:t>
            </w:r>
          </w:p>
          <w:p>
            <w:pPr>
              <w:pStyle w:val="Normal"/>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Примечание. Вспомогательные здания и бытовые помещения следует относить ко II классу ответственности и II степени огнестойкости.</w:t>
      </w:r>
    </w:p>
    <w:p>
      <w:pPr>
        <w:pStyle w:val="Normal"/>
        <w:ind w:firstLine="225"/>
        <w:jc w:val="both"/>
        <w:rPr/>
      </w:pPr>
      <w:r>
        <w:rPr/>
      </w:r>
    </w:p>
    <w:p>
      <w:pPr>
        <w:pStyle w:val="Normal"/>
        <w:ind w:firstLine="225"/>
        <w:jc w:val="both"/>
        <w:rPr/>
      </w:pPr>
      <w:r>
        <w:rPr/>
      </w:r>
    </w:p>
    <w:p>
      <w:pPr>
        <w:pStyle w:val="Normal"/>
        <w:ind w:firstLine="225"/>
        <w:jc w:val="both"/>
        <w:rPr/>
      </w:pPr>
      <w:r>
        <w:rPr/>
        <w:t>По степени пожарной опасности здания и сооружения водоснабжения надлежит относить к производству категории Д, отделения углевания и аммиачных - к производству категории В.</w:t>
      </w:r>
    </w:p>
    <w:p>
      <w:pPr>
        <w:pStyle w:val="Normal"/>
        <w:ind w:firstLine="225"/>
        <w:jc w:val="both"/>
        <w:rPr/>
      </w:pPr>
      <w:r>
        <w:rPr/>
      </w:r>
    </w:p>
    <w:p>
      <w:pPr>
        <w:pStyle w:val="Normal"/>
        <w:ind w:firstLine="225"/>
        <w:jc w:val="both"/>
        <w:rPr/>
      </w:pPr>
      <w:r>
        <w:rPr/>
        <w:t>14.10. Группы санитарной характеристики производственных процессов, данные для расчета отопления, вентиляции и освещения зданий и помещений следует принимать по табл. 44.</w:t>
      </w:r>
    </w:p>
    <w:p>
      <w:pPr>
        <w:pStyle w:val="Normal"/>
        <w:ind w:firstLine="225"/>
        <w:jc w:val="both"/>
        <w:rPr/>
      </w:pPr>
      <w:r>
        <w:rPr/>
      </w:r>
    </w:p>
    <w:p>
      <w:pPr>
        <w:pStyle w:val="Normal"/>
        <w:ind w:firstLine="225"/>
        <w:jc w:val="both"/>
        <w:rPr/>
      </w:pPr>
      <w:r>
        <w:rPr/>
        <w:t>14.11. Размеры прямоугольных и диаметры круглых в плане емкостных сооружений надлежит принимать кратными 3 м, а по высоте - 0,6 м. При длине стороны или диаметре сооружений до 9 м, а также для емкостных сооружений, встроенных в здания (независимо от их размеров), допускается принимать размеры прямоугольных сооружений кратными 1,5 м, круглых - 1 м.</w:t>
      </w:r>
    </w:p>
    <w:p>
      <w:pPr>
        <w:pStyle w:val="Normal"/>
        <w:ind w:firstLine="225"/>
        <w:jc w:val="both"/>
        <w:rPr/>
      </w:pPr>
      <w:r>
        <w:rPr/>
      </w:r>
    </w:p>
    <w:p>
      <w:pPr>
        <w:pStyle w:val="Normal"/>
        <w:ind w:firstLine="225"/>
        <w:jc w:val="both"/>
        <w:rPr/>
      </w:pPr>
      <w:r>
        <w:rPr/>
        <w:t>14.12. Подземные емкостные сооружения, имеющие обвалование грунтом высотой менее 0,5 м над спланированной поверхностью территории, должны иметь ограждение от возможного заезда транспорта или механизмов.</w:t>
      </w:r>
    </w:p>
    <w:p>
      <w:pPr>
        <w:pStyle w:val="Normal"/>
        <w:ind w:firstLine="225"/>
        <w:jc w:val="both"/>
        <w:rPr/>
      </w:pPr>
      <w:r>
        <w:rPr/>
      </w:r>
    </w:p>
    <w:p>
      <w:pPr>
        <w:pStyle w:val="Normal"/>
        <w:ind w:firstLine="225"/>
        <w:jc w:val="both"/>
        <w:rPr/>
      </w:pPr>
      <w:r>
        <w:rPr/>
        <w:t>14.13. Открытые емкостные сооружения, если их стены возвышаются над отметкой пола, площадки или планировки менее чем на 0,75 м, должны иметь по внешнему периметру дополнительное ограждение, при этом общая высота до верха ограждения должна быть не менее 0,75 м. Для стен, ширина верхней части которых более 300 мм, допускается возвышение над полом, площадкой или планировкой не менее 0,6 м без ограждения. Отметка пола или планировки должна быть ниже верха стен открытых емкостных сооружений не менее чем на 0,15 м.</w:t>
      </w:r>
    </w:p>
    <w:p>
      <w:pPr>
        <w:pStyle w:val="Normal"/>
        <w:ind w:firstLine="225"/>
        <w:jc w:val="both"/>
        <w:rPr/>
      </w:pPr>
      <w:r>
        <w:rPr/>
      </w:r>
    </w:p>
    <w:p>
      <w:pPr>
        <w:pStyle w:val="Normal"/>
        <w:ind w:firstLine="225"/>
        <w:jc w:val="both"/>
        <w:rPr/>
      </w:pPr>
      <w:r>
        <w:rPr/>
        <w:t>14.14. Допускается опирание ограждающих и несущих конструкций здания на стены встроенных емкостей, не предназначенных для хранения агрессивных жидкостей.</w:t>
      </w:r>
    </w:p>
    <w:p>
      <w:pPr>
        <w:pStyle w:val="Normal"/>
        <w:ind w:firstLine="225"/>
        <w:jc w:val="both"/>
        <w:rPr/>
      </w:pPr>
      <w:r>
        <w:rPr/>
      </w:r>
    </w:p>
    <w:p>
      <w:pPr>
        <w:pStyle w:val="Normal"/>
        <w:ind w:firstLine="225"/>
        <w:jc w:val="both"/>
        <w:rPr/>
      </w:pPr>
      <w:r>
        <w:rPr/>
        <w:t>14.15. Лестницы для выхода из заглубленных помещений должны быть шириной не менее 0,9 м с углом наклона не более 45 град., из помещений длиной до 12 м -  не более 60 град. Для подъема на площадки обслуживания ширина лестниц должна быть не менее 0,7 м, угол наклона - не более 60 град.</w:t>
      </w:r>
    </w:p>
    <w:p>
      <w:pPr>
        <w:pStyle w:val="Normal"/>
        <w:ind w:firstLine="225"/>
        <w:jc w:val="both"/>
        <w:rPr/>
      </w:pPr>
      <w:r>
        <w:rPr/>
      </w:r>
    </w:p>
    <w:p>
      <w:pPr>
        <w:pStyle w:val="Normal"/>
        <w:ind w:firstLine="225"/>
        <w:jc w:val="both"/>
        <w:rPr/>
      </w:pPr>
      <w:r>
        <w:rPr/>
        <w:t>Для одиночных переходов через трубы и для подъема к отдельным задвижкам и затворам допускается применять лестницы шириной 0,5 м с углом наклона более 60 град. или стремянки.</w:t>
      </w:r>
    </w:p>
    <w:p>
      <w:pPr>
        <w:pStyle w:val="Normal"/>
        <w:ind w:firstLine="225"/>
        <w:jc w:val="both"/>
        <w:rPr/>
      </w:pPr>
      <w:r>
        <w:rPr/>
      </w:r>
    </w:p>
    <w:p>
      <w:pPr>
        <w:pStyle w:val="Normal"/>
        <w:ind w:firstLine="225"/>
        <w:jc w:val="both"/>
        <w:rPr/>
      </w:pPr>
      <w:r>
        <w:rPr/>
        <w:t>14.16. Спуск в колодцы, приямки и емкостные сооружения на глубину до 10 м допускается устраивать вертикальным по ходовым скобам или стремянкам. При этом на стремянках высотой более 4 м следует предусматривать защитные ограждения. В колодцах защитные ограждения допускается не предусматривать.</w:t>
      </w:r>
    </w:p>
    <w:p>
      <w:pPr>
        <w:pStyle w:val="Normal"/>
        <w:ind w:firstLine="225"/>
        <w:jc w:val="both"/>
        <w:rPr/>
      </w:pPr>
      <w:r>
        <w:rPr/>
      </w:r>
    </w:p>
    <w:p>
      <w:pPr>
        <w:pStyle w:val="Normal"/>
        <w:ind w:firstLine="225"/>
        <w:jc w:val="both"/>
        <w:rPr/>
      </w:pPr>
      <w:r>
        <w:rPr/>
        <w:t>14.17. Внутренняя отделка помещений должна приниматься согласно рекомендуемому прил. 13.</w:t>
      </w:r>
    </w:p>
    <w:p>
      <w:pPr>
        <w:pStyle w:val="Normal"/>
        <w:ind w:firstLine="225"/>
        <w:jc w:val="both"/>
        <w:rPr/>
      </w:pPr>
      <w:r>
        <w:rPr/>
      </w:r>
    </w:p>
    <w:p>
      <w:pPr>
        <w:pStyle w:val="Heading"/>
        <w:jc w:val="center"/>
        <w:rPr/>
      </w:pPr>
      <w:r>
        <w:rPr/>
      </w:r>
    </w:p>
    <w:p>
      <w:pPr>
        <w:pStyle w:val="Heading"/>
        <w:jc w:val="center"/>
        <w:rPr/>
      </w:pPr>
      <w:r>
        <w:rPr/>
        <w:t xml:space="preserve">Конструкции и материалы </w:t>
      </w:r>
    </w:p>
    <w:p>
      <w:pPr>
        <w:pStyle w:val="Normal"/>
        <w:ind w:firstLine="270"/>
        <w:jc w:val="both"/>
        <w:rPr/>
      </w:pPr>
      <w:r>
        <w:rPr/>
      </w:r>
    </w:p>
    <w:p>
      <w:pPr>
        <w:pStyle w:val="Normal"/>
        <w:ind w:firstLine="270"/>
        <w:jc w:val="both"/>
        <w:rPr/>
      </w:pPr>
      <w:r>
        <w:rPr/>
      </w:r>
    </w:p>
    <w:p>
      <w:pPr>
        <w:pStyle w:val="Normal"/>
        <w:ind w:firstLine="225"/>
        <w:jc w:val="both"/>
        <w:rPr/>
      </w:pPr>
      <w:r>
        <w:rPr/>
        <w:t>14.18. Емкостные сооружения надлежит проектировать, как правило, из сборно-монолитного железобетона. При обосновании допускается применение других материалов, обеспечивающих надлежащие эксплуатационные качества сооружений. Стены железобетонных цилиндрических емкостных сооружений диаметром более 9 м следует проектировать, как правило, предварительно обжатыми.</w:t>
      </w:r>
    </w:p>
    <w:p>
      <w:pPr>
        <w:pStyle w:val="Normal"/>
        <w:ind w:firstLine="225"/>
        <w:jc w:val="both"/>
        <w:rPr/>
      </w:pPr>
      <w:r>
        <w:rPr/>
      </w:r>
    </w:p>
    <w:p>
      <w:pPr>
        <w:pStyle w:val="Normal"/>
        <w:ind w:firstLine="225"/>
        <w:jc w:val="both"/>
        <w:rPr/>
      </w:pPr>
      <w:r>
        <w:rPr/>
        <w:t>Для стволов водонапорных башен допускается применять сталь или местные несгораемые материалы, а для баков -  сталь.</w:t>
      </w:r>
    </w:p>
    <w:p>
      <w:pPr>
        <w:pStyle w:val="Normal"/>
        <w:ind w:firstLine="225"/>
        <w:jc w:val="both"/>
        <w:rPr/>
      </w:pPr>
      <w:r>
        <w:rPr/>
      </w:r>
    </w:p>
    <w:p>
      <w:pPr>
        <w:pStyle w:val="Normal"/>
        <w:ind w:firstLine="225"/>
        <w:jc w:val="both"/>
        <w:rPr/>
      </w:pPr>
      <w:r>
        <w:rPr/>
        <w:t>Для резервуаров применение стали не допускается, кроме районов, оговоренных в ТП 101-81*.</w:t>
      </w:r>
    </w:p>
    <w:p>
      <w:pPr>
        <w:pStyle w:val="Normal"/>
        <w:ind w:firstLine="225"/>
        <w:jc w:val="both"/>
        <w:rPr/>
      </w:pPr>
      <w:r>
        <w:rPr/>
      </w:r>
    </w:p>
    <w:p>
      <w:pPr>
        <w:pStyle w:val="Normal"/>
        <w:ind w:firstLine="225"/>
        <w:jc w:val="both"/>
        <w:rPr/>
      </w:pPr>
      <w:r>
        <w:rPr/>
        <w:t>14.19. В емкостных сооружениях длиной до 50 м, располагаемых в неотапливаемых зданиях или на открытом воздухе, и длиной до 70 м, располагаемых в отапливаемых зданиях или полностью обвалованных грунтом, температурно-усадочные швы допускается не предусматривать при условии, если температура наружного воздуха наиболее холодных суток не ниже минус 40 град.С и температура воды в емкостном сооружении не превышает 40 град.С.</w:t>
      </w:r>
    </w:p>
    <w:p>
      <w:pPr>
        <w:pStyle w:val="Normal"/>
        <w:ind w:firstLine="225"/>
        <w:jc w:val="both"/>
        <w:rPr/>
      </w:pPr>
      <w:r>
        <w:rPr/>
      </w:r>
    </w:p>
    <w:p>
      <w:pPr>
        <w:pStyle w:val="Normal"/>
        <w:ind w:firstLine="225"/>
        <w:jc w:val="both"/>
        <w:rPr/>
      </w:pPr>
      <w:r>
        <w:rPr/>
        <w:t>При этом в сооружениях длиной соответственно более 25 и 40 м следует предусматривать устройство одного-двух временных швов шириной 0,5-1 м, замоноличиваемых при положительной температуре в самое холодное время строительного периода; бетонирование днища между этими швами должно производиться непрерывно.</w:t>
      </w:r>
    </w:p>
    <w:p>
      <w:pPr>
        <w:pStyle w:val="Normal"/>
        <w:ind w:firstLine="225"/>
        <w:jc w:val="both"/>
        <w:rPr/>
      </w:pPr>
      <w:r>
        <w:rPr/>
      </w:r>
    </w:p>
    <w:p>
      <w:pPr>
        <w:pStyle w:val="Normal"/>
        <w:ind w:firstLine="225"/>
        <w:jc w:val="both"/>
        <w:rPr/>
      </w:pPr>
      <w:r>
        <w:rPr/>
        <w:t>14.20. Герметичность ограждающих конструкций подземных частей зданий не должна допускать наличия увлажненных участков (без выделения капельной влаги) площадью более 20 % внутренней поверхности ограждающих конструкций.</w:t>
      </w:r>
    </w:p>
    <w:p>
      <w:pPr>
        <w:pStyle w:val="Normal"/>
        <w:ind w:firstLine="225"/>
        <w:jc w:val="both"/>
        <w:rPr/>
      </w:pPr>
      <w:r>
        <w:rPr/>
      </w:r>
    </w:p>
    <w:p>
      <w:pPr>
        <w:pStyle w:val="Normal"/>
        <w:ind w:firstLine="225"/>
        <w:jc w:val="both"/>
        <w:rPr/>
      </w:pPr>
      <w:r>
        <w:rPr/>
        <w:t>Ограждающие конструкции емкостных сооружений должны обеспечивать требования, предъявляемые при гидравлических испытаниях этих сооружений.</w:t>
      </w:r>
    </w:p>
    <w:p>
      <w:pPr>
        <w:pStyle w:val="Normal"/>
        <w:ind w:firstLine="225"/>
        <w:jc w:val="both"/>
        <w:rPr/>
      </w:pPr>
      <w:r>
        <w:rPr/>
      </w:r>
    </w:p>
    <w:p>
      <w:pPr>
        <w:pStyle w:val="Normal"/>
        <w:ind w:firstLine="225"/>
        <w:jc w:val="both"/>
        <w:rPr/>
      </w:pPr>
      <w:r>
        <w:rPr/>
        <w:t>Ограждающие конструкции резервуаров для питьевой воды, кроме того, должны полностью исключать возможность попадания в резервуар атмосферной и грунтовой воды, а также пыли.</w:t>
      </w:r>
    </w:p>
    <w:p>
      <w:pPr>
        <w:pStyle w:val="Normal"/>
        <w:ind w:firstLine="225"/>
        <w:jc w:val="both"/>
        <w:rPr/>
      </w:pPr>
      <w:r>
        <w:rPr/>
      </w:r>
    </w:p>
    <w:p>
      <w:pPr>
        <w:pStyle w:val="Normal"/>
        <w:ind w:firstLine="225"/>
        <w:jc w:val="both"/>
        <w:rPr/>
      </w:pPr>
      <w:r>
        <w:rPr/>
        <w:t>14.21. Для закрытых емкостных сооружений необходимо проектировать утепление стен и покрытий в зависимости от климатических условий, температуры поступающей воды и технологического режима их работы.</w:t>
      </w:r>
    </w:p>
    <w:p>
      <w:pPr>
        <w:pStyle w:val="Normal"/>
        <w:ind w:firstLine="225"/>
        <w:jc w:val="both"/>
        <w:rPr/>
      </w:pPr>
      <w:r>
        <w:rPr/>
      </w:r>
    </w:p>
    <w:p>
      <w:pPr>
        <w:pStyle w:val="Normal"/>
        <w:ind w:firstLine="225"/>
        <w:jc w:val="both"/>
        <w:rPr/>
      </w:pPr>
      <w:r>
        <w:rPr/>
        <w:t>Утепление следует предусматривать, как правило, обсыпкой грунтом, при этом толщина слоя грунта на покрытии должна быть не менее 0,5 м. Допускается применение утеплителей из искусственных материалов.</w:t>
      </w:r>
    </w:p>
    <w:p>
      <w:pPr>
        <w:pStyle w:val="Normal"/>
        <w:ind w:firstLine="225"/>
        <w:jc w:val="both"/>
        <w:rPr/>
      </w:pPr>
      <w:r>
        <w:rPr/>
      </w:r>
    </w:p>
    <w:p>
      <w:pPr>
        <w:pStyle w:val="Normal"/>
        <w:ind w:firstLine="225"/>
        <w:jc w:val="both"/>
        <w:rPr/>
      </w:pPr>
      <w:r>
        <w:rPr/>
        <w:t>Следует предусматривать мероприятия, предохраняющие от промерзания грунт основания под днищами при опорожнении емкости в зимнее время, а также во время строительства.</w:t>
      </w:r>
    </w:p>
    <w:p>
      <w:pPr>
        <w:pStyle w:val="Normal"/>
        <w:ind w:firstLine="225"/>
        <w:jc w:val="both"/>
        <w:rPr/>
      </w:pPr>
      <w:r>
        <w:rPr/>
      </w:r>
    </w:p>
    <w:p>
      <w:pPr>
        <w:pStyle w:val="Normal"/>
        <w:ind w:firstLine="225"/>
        <w:jc w:val="both"/>
        <w:rPr/>
      </w:pPr>
      <w:r>
        <w:rPr/>
        <w:t>14.22. В резервуарах, предназначенных для хранения питьевой воды, внутренние поверхности бетонных и железобетонных конструкций, соприкасающиеся с водой, должны отвечать требованиям не ниже категории АI по ГОСТ 13015-81.</w:t>
      </w:r>
    </w:p>
    <w:p>
      <w:pPr>
        <w:pStyle w:val="Normal"/>
        <w:ind w:firstLine="225"/>
        <w:jc w:val="both"/>
        <w:rPr/>
      </w:pPr>
      <w:r>
        <w:rPr/>
      </w:r>
    </w:p>
    <w:p>
      <w:pPr>
        <w:pStyle w:val="Normal"/>
        <w:ind w:firstLine="225"/>
        <w:jc w:val="both"/>
        <w:rPr/>
      </w:pPr>
      <w:r>
        <w:rPr/>
        <w:t>14.23. При проектировании контактных осветлителей для подготовки воды на хозяйственно-питьевые нужды следует предусматривать остекленные перегородки высотой от пола площадок обслуживания не менее 2,5 м, отделяющие осветлители от коридора управления; при этом нижняя часть перегородки на высоту 1-1,2 м должна быть глухой.</w:t>
      </w:r>
    </w:p>
    <w:p>
      <w:pPr>
        <w:pStyle w:val="Normal"/>
        <w:ind w:firstLine="225"/>
        <w:jc w:val="both"/>
        <w:rPr/>
      </w:pPr>
      <w:r>
        <w:rPr/>
      </w:r>
    </w:p>
    <w:p>
      <w:pPr>
        <w:pStyle w:val="Normal"/>
        <w:ind w:firstLine="225"/>
        <w:jc w:val="both"/>
        <w:rPr/>
      </w:pPr>
      <w:r>
        <w:rPr/>
        <w:t>Для днищ контактных осветлителей без поддерживающих слоев следует применять бетоны не ниже класса В25.</w:t>
      </w:r>
    </w:p>
    <w:p>
      <w:pPr>
        <w:pStyle w:val="Normal"/>
        <w:ind w:firstLine="225"/>
        <w:jc w:val="both"/>
        <w:rPr/>
      </w:pPr>
      <w:r>
        <w:rPr/>
      </w:r>
    </w:p>
    <w:p>
      <w:pPr>
        <w:pStyle w:val="Normal"/>
        <w:ind w:firstLine="225"/>
        <w:jc w:val="both"/>
        <w:rPr/>
      </w:pPr>
      <w:r>
        <w:rPr/>
        <w:t>14.24. Марки бетона по морозостойкости и водонепроницаемости для железобетонных конструкций емкостных сооружений и градирен должны удовлетворять требованиям, приведенным в табл. 42.</w:t>
      </w:r>
    </w:p>
    <w:p>
      <w:pPr>
        <w:pStyle w:val="Normal"/>
        <w:ind w:firstLine="225"/>
        <w:jc w:val="both"/>
        <w:rPr/>
      </w:pPr>
      <w:r>
        <w:rPr/>
      </w:r>
    </w:p>
    <w:p>
      <w:pPr>
        <w:pStyle w:val="Normal"/>
        <w:jc w:val="end"/>
        <w:rPr/>
      </w:pPr>
      <w:r>
        <w:rPr/>
        <w:t>Таблица 42</w:t>
      </w:r>
    </w:p>
    <w:p>
      <w:pPr>
        <w:pStyle w:val="Normal"/>
        <w:jc w:val="end"/>
        <w:rPr/>
      </w:pPr>
      <w:r>
        <w:rPr/>
      </w:r>
    </w:p>
    <w:p>
      <w:pPr>
        <w:pStyle w:val="Normal"/>
        <w:jc w:val="end"/>
        <w:rPr/>
      </w:pPr>
      <w:r>
        <w:rPr/>
      </w:r>
    </w:p>
    <w:tbl>
      <w:tblPr>
        <w:tblW w:w="11705"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5355"/>
        <w:gridCol w:w="990"/>
        <w:gridCol w:w="1200"/>
        <w:gridCol w:w="1005"/>
        <w:gridCol w:w="15"/>
        <w:gridCol w:w="960"/>
        <w:gridCol w:w="15"/>
        <w:gridCol w:w="2150"/>
        <w:gridCol w:w="15"/>
      </w:tblGrid>
      <w:tr>
        <w:trPr/>
        <w:tc>
          <w:tcPr>
            <w:tcW w:w="5355" w:type="dxa"/>
            <w:tcBorders>
              <w:top w:val="single" w:sz="2" w:space="0" w:color="000000"/>
              <w:start w:val="single" w:sz="2" w:space="0" w:color="000000"/>
            </w:tcBorders>
            <w:shd w:fill="auto" w:val="clear"/>
            <w:tcMar>
              <w:start w:w="102" w:type="dxa"/>
            </w:tcMar>
          </w:tcPr>
          <w:p>
            <w:pPr>
              <w:pStyle w:val="Normal"/>
              <w:rPr/>
            </w:pPr>
            <w:r>
              <w:rPr>
                <w:vanish/>
              </w:rPr>
              <w:t>#G0</w:t>
            </w:r>
            <w:r>
              <w:rPr/>
              <w:t xml:space="preserve">  </w:t>
            </w:r>
          </w:p>
          <w:p>
            <w:pPr>
              <w:pStyle w:val="Normal"/>
              <w:rPr/>
            </w:pPr>
            <w:r>
              <w:rPr/>
            </w:r>
          </w:p>
        </w:tc>
        <w:tc>
          <w:tcPr>
            <w:tcW w:w="6350" w:type="dxa"/>
            <w:gridSpan w:val="7"/>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jc w:val="center"/>
              <w:rPr/>
            </w:pPr>
            <w:r>
              <w:rPr/>
              <w:t xml:space="preserve">Требуемая марка бетона </w:t>
            </w:r>
          </w:p>
          <w:p>
            <w:pPr>
              <w:pStyle w:val="Normal"/>
              <w:jc w:val="center"/>
              <w:rPr/>
            </w:pPr>
            <w:r>
              <w:rPr/>
            </w:r>
          </w:p>
        </w:tc>
      </w:tr>
      <w:tr>
        <w:trPr/>
        <w:tc>
          <w:tcPr>
            <w:tcW w:w="5355" w:type="dxa"/>
            <w:tcBorders>
              <w:start w:val="single" w:sz="2" w:space="0" w:color="000000"/>
            </w:tcBorders>
            <w:shd w:fill="auto" w:val="clear"/>
            <w:tcMar>
              <w:start w:w="102" w:type="dxa"/>
            </w:tcMar>
          </w:tcPr>
          <w:p>
            <w:pPr>
              <w:pStyle w:val="Normal"/>
              <w:rPr/>
            </w:pPr>
            <w:r>
              <w:rPr/>
              <w:t xml:space="preserve">Конструкции и условия их эксплуатации </w:t>
            </w:r>
          </w:p>
          <w:p>
            <w:pPr>
              <w:pStyle w:val="Normal"/>
              <w:rPr/>
            </w:pPr>
            <w:r>
              <w:rPr/>
            </w:r>
          </w:p>
        </w:tc>
        <w:tc>
          <w:tcPr>
            <w:tcW w:w="4170" w:type="dxa"/>
            <w:gridSpan w:val="5"/>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по морозостойкости при расчетной температуре наружного воздуха </w:t>
            </w:r>
          </w:p>
          <w:p>
            <w:pPr>
              <w:pStyle w:val="Normal"/>
              <w:rPr/>
            </w:pPr>
            <w:r>
              <w:rPr/>
            </w:r>
          </w:p>
        </w:tc>
        <w:tc>
          <w:tcPr>
            <w:tcW w:w="218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  </w:t>
            </w:r>
          </w:p>
          <w:p>
            <w:pPr>
              <w:pStyle w:val="Normal"/>
              <w:rPr/>
            </w:pPr>
            <w:r>
              <w:rPr/>
            </w:r>
          </w:p>
        </w:tc>
      </w:tr>
      <w:tr>
        <w:trPr/>
        <w:tc>
          <w:tcPr>
            <w:tcW w:w="535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99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минус 5 град.С </w:t>
            </w:r>
          </w:p>
          <w:p>
            <w:pPr>
              <w:pStyle w:val="Normal"/>
              <w:jc w:val="center"/>
              <w:rPr/>
            </w:pPr>
            <w:r>
              <w:rPr/>
              <w:t xml:space="preserve">и выше </w:t>
            </w:r>
          </w:p>
          <w:p>
            <w:pPr>
              <w:pStyle w:val="Normal"/>
              <w:jc w:val="center"/>
              <w:rPr/>
            </w:pPr>
            <w:r>
              <w:rPr/>
            </w:r>
          </w:p>
        </w:tc>
        <w:tc>
          <w:tcPr>
            <w:tcW w:w="12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ниже минус 5 град.С</w:t>
            </w:r>
          </w:p>
          <w:p>
            <w:pPr>
              <w:pStyle w:val="Normal"/>
              <w:rPr/>
            </w:pPr>
            <w:r>
              <w:rPr/>
              <w:t xml:space="preserve">до минус 20 град.С </w:t>
            </w:r>
          </w:p>
          <w:p>
            <w:pPr>
              <w:pStyle w:val="Normal"/>
              <w:rPr/>
            </w:pPr>
            <w:r>
              <w:rPr/>
            </w:r>
          </w:p>
        </w:tc>
        <w:tc>
          <w:tcPr>
            <w:tcW w:w="100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ниже минус 20 град.С</w:t>
            </w:r>
          </w:p>
          <w:p>
            <w:pPr>
              <w:pStyle w:val="Normal"/>
              <w:rPr/>
            </w:pPr>
            <w:r>
              <w:rPr/>
              <w:t xml:space="preserve">до минус 40 град.С </w:t>
            </w:r>
          </w:p>
          <w:p>
            <w:pPr>
              <w:pStyle w:val="Normal"/>
              <w:rPr/>
            </w:pPr>
            <w:r>
              <w:rPr/>
            </w:r>
          </w:p>
        </w:tc>
        <w:tc>
          <w:tcPr>
            <w:tcW w:w="975"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ниже минус 40 град.С </w:t>
            </w:r>
          </w:p>
          <w:p>
            <w:pPr>
              <w:pStyle w:val="Normal"/>
              <w:rPr/>
            </w:pPr>
            <w:r>
              <w:rPr/>
            </w:r>
          </w:p>
        </w:tc>
        <w:tc>
          <w:tcPr>
            <w:tcW w:w="2180" w:type="dxa"/>
            <w:gridSpan w:val="2"/>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по водонепроницаемости </w:t>
            </w:r>
          </w:p>
          <w:p>
            <w:pPr>
              <w:pStyle w:val="Normal"/>
              <w:rPr/>
            </w:pPr>
            <w:r>
              <w:rPr/>
            </w:r>
          </w:p>
        </w:tc>
      </w:tr>
      <w:tr>
        <w:trPr/>
        <w:tc>
          <w:tcPr>
            <w:tcW w:w="5355" w:type="dxa"/>
            <w:tcBorders>
              <w:start w:val="single" w:sz="2" w:space="0" w:color="000000"/>
            </w:tcBorders>
            <w:shd w:fill="auto" w:val="clear"/>
            <w:tcMar>
              <w:start w:w="102" w:type="dxa"/>
            </w:tcMar>
          </w:tcPr>
          <w:p>
            <w:pPr>
              <w:pStyle w:val="Normal"/>
              <w:snapToGrid w:val="false"/>
              <w:jc w:val="both"/>
              <w:rPr/>
            </w:pPr>
            <w:r>
              <w:rPr/>
            </w:r>
          </w:p>
          <w:p>
            <w:pPr>
              <w:pStyle w:val="Normal"/>
              <w:jc w:val="both"/>
              <w:rPr/>
            </w:pPr>
            <w:r>
              <w:rPr/>
            </w:r>
          </w:p>
          <w:p>
            <w:pPr>
              <w:pStyle w:val="Normal"/>
              <w:jc w:val="center"/>
              <w:rPr/>
            </w:pPr>
            <w:r>
              <w:rPr/>
              <w:t>I. Емкостные сооружения</w:t>
            </w:r>
          </w:p>
          <w:p>
            <w:pPr>
              <w:pStyle w:val="Normal"/>
              <w:jc w:val="center"/>
              <w:rPr/>
            </w:pPr>
            <w:r>
              <w:rPr/>
            </w:r>
          </w:p>
          <w:p>
            <w:pPr>
              <w:pStyle w:val="Normal"/>
              <w:jc w:val="center"/>
              <w:rPr/>
            </w:pPr>
            <w:r>
              <w:rPr/>
            </w:r>
          </w:p>
        </w:tc>
        <w:tc>
          <w:tcPr>
            <w:tcW w:w="990"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1200"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975" w:type="dxa"/>
            <w:gridSpan w:val="2"/>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218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  </w:t>
            </w:r>
          </w:p>
          <w:p>
            <w:pPr>
              <w:pStyle w:val="Normal"/>
              <w:rPr/>
            </w:pPr>
            <w:r>
              <w:rPr/>
            </w:r>
          </w:p>
        </w:tc>
      </w:tr>
      <w:tr>
        <w:trPr/>
        <w:tc>
          <w:tcPr>
            <w:tcW w:w="5355" w:type="dxa"/>
            <w:tcBorders>
              <w:start w:val="single" w:sz="2" w:space="0" w:color="000000"/>
            </w:tcBorders>
            <w:shd w:fill="auto" w:val="clear"/>
            <w:tcMar>
              <w:start w:w="102" w:type="dxa"/>
            </w:tcMar>
          </w:tcPr>
          <w:p>
            <w:pPr>
              <w:pStyle w:val="Normal"/>
              <w:jc w:val="both"/>
              <w:rPr/>
            </w:pPr>
            <w:r>
              <w:rPr/>
              <w:t>1. Конструкции, подвергающиеся чередующемуся замораживанию при переменном уровне воды, с постоянным воздействием воздушной среды:</w:t>
            </w:r>
          </w:p>
          <w:p>
            <w:pPr>
              <w:pStyle w:val="Normal"/>
              <w:ind w:firstLine="225"/>
              <w:jc w:val="both"/>
              <w:rPr/>
            </w:pPr>
            <w:r>
              <w:rPr/>
            </w:r>
          </w:p>
          <w:p>
            <w:pPr>
              <w:pStyle w:val="Normal"/>
              <w:ind w:firstLine="225"/>
              <w:jc w:val="both"/>
              <w:rPr/>
            </w:pPr>
            <w:r>
              <w:rPr/>
            </w:r>
          </w:p>
        </w:tc>
        <w:tc>
          <w:tcPr>
            <w:tcW w:w="990" w:type="dxa"/>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r>
          </w:p>
        </w:tc>
        <w:tc>
          <w:tcPr>
            <w:tcW w:w="1200"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tc>
        <w:tc>
          <w:tcPr>
            <w:tcW w:w="1005"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tc>
        <w:tc>
          <w:tcPr>
            <w:tcW w:w="975" w:type="dxa"/>
            <w:gridSpan w:val="2"/>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tc>
        <w:tc>
          <w:tcPr>
            <w:tcW w:w="2180" w:type="dxa"/>
            <w:gridSpan w:val="2"/>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tc>
      </w:tr>
      <w:tr>
        <w:trPr/>
        <w:tc>
          <w:tcPr>
            <w:tcW w:w="5355" w:type="dxa"/>
            <w:tcBorders>
              <w:start w:val="single" w:sz="2" w:space="0" w:color="000000"/>
            </w:tcBorders>
            <w:shd w:fill="auto" w:val="clear"/>
            <w:tcMar>
              <w:start w:w="102" w:type="dxa"/>
            </w:tcMar>
          </w:tcPr>
          <w:p>
            <w:pPr>
              <w:pStyle w:val="Normal"/>
              <w:ind w:firstLine="225"/>
              <w:jc w:val="both"/>
              <w:rPr/>
            </w:pPr>
            <w:r>
              <w:rPr/>
              <w:t xml:space="preserve">а) тонкостенные конструкции типа лотков </w:t>
            </w:r>
          </w:p>
          <w:p>
            <w:pPr>
              <w:pStyle w:val="Normal"/>
              <w:rPr/>
            </w:pPr>
            <w:r>
              <w:rPr/>
              <w:t xml:space="preserve">  </w:t>
            </w:r>
          </w:p>
          <w:p>
            <w:pPr>
              <w:pStyle w:val="Normal"/>
              <w:rPr/>
            </w:pPr>
            <w:r>
              <w:rPr/>
            </w:r>
          </w:p>
        </w:tc>
        <w:tc>
          <w:tcPr>
            <w:tcW w:w="990" w:type="dxa"/>
            <w:tcBorders>
              <w:start w:val="single" w:sz="2" w:space="0" w:color="000000"/>
            </w:tcBorders>
            <w:shd w:fill="auto" w:val="clear"/>
            <w:tcMar>
              <w:start w:w="102" w:type="dxa"/>
            </w:tcMar>
          </w:tcPr>
          <w:p>
            <w:pPr>
              <w:pStyle w:val="Normal"/>
              <w:jc w:val="center"/>
              <w:rPr/>
            </w:pPr>
            <w:r>
              <w:rPr/>
              <w:t xml:space="preserve">F 150 </w:t>
            </w:r>
          </w:p>
          <w:p>
            <w:pPr>
              <w:pStyle w:val="Normal"/>
              <w:rPr/>
            </w:pPr>
            <w:r>
              <w:rPr/>
              <w:t xml:space="preserve">  </w:t>
            </w:r>
          </w:p>
          <w:p>
            <w:pPr>
              <w:pStyle w:val="Normal"/>
              <w:rPr/>
            </w:pPr>
            <w:r>
              <w:rPr/>
            </w:r>
          </w:p>
        </w:tc>
        <w:tc>
          <w:tcPr>
            <w:tcW w:w="1200" w:type="dxa"/>
            <w:tcBorders>
              <w:start w:val="single" w:sz="2" w:space="0" w:color="000000"/>
            </w:tcBorders>
            <w:shd w:fill="auto" w:val="clear"/>
            <w:tcMar>
              <w:start w:w="102" w:type="dxa"/>
            </w:tcMar>
          </w:tcPr>
          <w:p>
            <w:pPr>
              <w:pStyle w:val="Normal"/>
              <w:jc w:val="center"/>
              <w:rPr/>
            </w:pPr>
            <w:r>
              <w:rPr/>
              <w:t xml:space="preserve">F 200 </w:t>
            </w:r>
          </w:p>
          <w:p>
            <w:pPr>
              <w:pStyle w:val="Normal"/>
              <w:rPr/>
            </w:pPr>
            <w:r>
              <w:rPr/>
              <w:t xml:space="preserve">  </w:t>
            </w:r>
          </w:p>
          <w:p>
            <w:pPr>
              <w:pStyle w:val="Normal"/>
              <w:rPr/>
            </w:pPr>
            <w:r>
              <w:rPr/>
            </w:r>
          </w:p>
        </w:tc>
        <w:tc>
          <w:tcPr>
            <w:tcW w:w="1005" w:type="dxa"/>
            <w:tcBorders>
              <w:start w:val="single" w:sz="2" w:space="0" w:color="000000"/>
            </w:tcBorders>
            <w:shd w:fill="auto" w:val="clear"/>
            <w:tcMar>
              <w:start w:w="102" w:type="dxa"/>
            </w:tcMar>
          </w:tcPr>
          <w:p>
            <w:pPr>
              <w:pStyle w:val="Normal"/>
              <w:jc w:val="center"/>
              <w:rPr/>
            </w:pPr>
            <w:r>
              <w:rPr/>
              <w:t xml:space="preserve">F 300 </w:t>
            </w:r>
          </w:p>
          <w:p>
            <w:pPr>
              <w:pStyle w:val="Normal"/>
              <w:rPr/>
            </w:pPr>
            <w:r>
              <w:rPr/>
              <w:t xml:space="preserve">  </w:t>
            </w:r>
          </w:p>
          <w:p>
            <w:pPr>
              <w:pStyle w:val="Normal"/>
              <w:rPr/>
            </w:pPr>
            <w:r>
              <w:rPr/>
            </w:r>
          </w:p>
        </w:tc>
        <w:tc>
          <w:tcPr>
            <w:tcW w:w="975" w:type="dxa"/>
            <w:gridSpan w:val="2"/>
            <w:tcBorders>
              <w:start w:val="single" w:sz="2" w:space="0" w:color="000000"/>
            </w:tcBorders>
            <w:shd w:fill="auto" w:val="clear"/>
            <w:tcMar>
              <w:start w:w="102" w:type="dxa"/>
            </w:tcMar>
          </w:tcPr>
          <w:p>
            <w:pPr>
              <w:pStyle w:val="Normal"/>
              <w:jc w:val="center"/>
              <w:rPr/>
            </w:pPr>
            <w:r>
              <w:rPr/>
              <w:t xml:space="preserve">F 400 </w:t>
            </w:r>
          </w:p>
          <w:p>
            <w:pPr>
              <w:pStyle w:val="Normal"/>
              <w:rPr/>
            </w:pPr>
            <w:r>
              <w:rPr/>
              <w:t xml:space="preserve">  </w:t>
            </w:r>
          </w:p>
          <w:p>
            <w:pPr>
              <w:pStyle w:val="Normal"/>
              <w:rPr/>
            </w:pPr>
            <w:r>
              <w:rPr/>
            </w:r>
          </w:p>
        </w:tc>
        <w:tc>
          <w:tcPr>
            <w:tcW w:w="2180" w:type="dxa"/>
            <w:gridSpan w:val="2"/>
            <w:tcBorders>
              <w:start w:val="single" w:sz="2" w:space="0" w:color="000000"/>
              <w:end w:val="single" w:sz="2" w:space="0" w:color="000000"/>
              <w:insideV w:val="single" w:sz="2" w:space="0" w:color="000000"/>
            </w:tcBorders>
            <w:shd w:fill="auto" w:val="clear"/>
            <w:tcMar>
              <w:start w:w="102" w:type="dxa"/>
            </w:tcMar>
          </w:tcPr>
          <w:p>
            <w:pPr>
              <w:pStyle w:val="Normal"/>
              <w:jc w:val="center"/>
              <w:rPr/>
            </w:pPr>
            <w:r>
              <w:rPr/>
              <w:t>При градиентах напора:</w:t>
            </w:r>
          </w:p>
          <w:p>
            <w:pPr>
              <w:pStyle w:val="Normal"/>
              <w:jc w:val="center"/>
              <w:rPr/>
            </w:pPr>
            <w:r>
              <w:rPr/>
              <w:t>до 30 - W4</w:t>
            </w:r>
          </w:p>
          <w:p>
            <w:pPr>
              <w:pStyle w:val="Normal"/>
              <w:jc w:val="center"/>
              <w:rPr/>
            </w:pPr>
            <w:r>
              <w:rPr/>
              <w:t>от 30 до 50 - W6</w:t>
            </w:r>
          </w:p>
          <w:p>
            <w:pPr>
              <w:pStyle w:val="Normal"/>
              <w:jc w:val="center"/>
              <w:rPr/>
            </w:pPr>
            <w:r>
              <w:rPr/>
              <w:t xml:space="preserve">свыше 50 - W8 </w:t>
            </w:r>
          </w:p>
          <w:p>
            <w:pPr>
              <w:pStyle w:val="Normal"/>
              <w:rPr/>
            </w:pPr>
            <w:r>
              <w:rPr/>
              <w:t xml:space="preserve">  </w:t>
            </w:r>
          </w:p>
          <w:p>
            <w:pPr>
              <w:pStyle w:val="Normal"/>
              <w:rPr/>
            </w:pPr>
            <w:r>
              <w:rPr/>
            </w:r>
          </w:p>
        </w:tc>
      </w:tr>
      <w:tr>
        <w:trPr/>
        <w:tc>
          <w:tcPr>
            <w:tcW w:w="5355" w:type="dxa"/>
            <w:tcBorders>
              <w:start w:val="single" w:sz="2" w:space="0" w:color="000000"/>
            </w:tcBorders>
            <w:shd w:fill="auto" w:val="clear"/>
            <w:tcMar>
              <w:start w:w="102" w:type="dxa"/>
            </w:tcMar>
          </w:tcPr>
          <w:p>
            <w:pPr>
              <w:pStyle w:val="Normal"/>
              <w:ind w:firstLine="225"/>
              <w:jc w:val="both"/>
              <w:rPr/>
            </w:pPr>
            <w:r>
              <w:rPr/>
              <w:t>б) прочие конструкции открытых сооружений (облицовка откосов водоемов, водозаборных сооружений)</w:t>
            </w:r>
          </w:p>
          <w:p>
            <w:pPr>
              <w:pStyle w:val="Normal"/>
              <w:ind w:firstLine="225"/>
              <w:jc w:val="both"/>
              <w:rPr/>
            </w:pPr>
            <w:r>
              <w:rPr/>
            </w:r>
          </w:p>
          <w:p>
            <w:pPr>
              <w:pStyle w:val="Normal"/>
              <w:ind w:firstLine="225"/>
              <w:jc w:val="both"/>
              <w:rPr/>
            </w:pPr>
            <w:r>
              <w:rPr/>
            </w:r>
          </w:p>
        </w:tc>
        <w:tc>
          <w:tcPr>
            <w:tcW w:w="990" w:type="dxa"/>
            <w:tcBorders>
              <w:start w:val="single" w:sz="2" w:space="0" w:color="000000"/>
            </w:tcBorders>
            <w:shd w:fill="auto" w:val="clear"/>
            <w:tcMar>
              <w:start w:w="102" w:type="dxa"/>
            </w:tcMar>
          </w:tcPr>
          <w:p>
            <w:pPr>
              <w:pStyle w:val="Normal"/>
              <w:jc w:val="center"/>
              <w:rPr/>
            </w:pPr>
            <w:r>
              <w:rPr/>
              <w:t xml:space="preserve">F 100 </w:t>
            </w:r>
          </w:p>
          <w:p>
            <w:pPr>
              <w:pStyle w:val="Normal"/>
              <w:jc w:val="center"/>
              <w:rPr/>
            </w:pPr>
            <w:r>
              <w:rPr/>
            </w:r>
          </w:p>
        </w:tc>
        <w:tc>
          <w:tcPr>
            <w:tcW w:w="1200" w:type="dxa"/>
            <w:tcBorders>
              <w:start w:val="single" w:sz="2" w:space="0" w:color="000000"/>
            </w:tcBorders>
            <w:shd w:fill="auto" w:val="clear"/>
            <w:tcMar>
              <w:start w:w="102" w:type="dxa"/>
            </w:tcMar>
          </w:tcPr>
          <w:p>
            <w:pPr>
              <w:pStyle w:val="Normal"/>
              <w:rPr/>
            </w:pPr>
            <w:r>
              <w:rPr/>
              <w:t xml:space="preserve">F 150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F 200 </w:t>
            </w:r>
          </w:p>
          <w:p>
            <w:pPr>
              <w:pStyle w:val="Normal"/>
              <w:rPr/>
            </w:pPr>
            <w:r>
              <w:rPr/>
            </w:r>
          </w:p>
        </w:tc>
        <w:tc>
          <w:tcPr>
            <w:tcW w:w="975" w:type="dxa"/>
            <w:gridSpan w:val="2"/>
            <w:tcBorders>
              <w:start w:val="single" w:sz="2" w:space="0" w:color="000000"/>
            </w:tcBorders>
            <w:shd w:fill="auto" w:val="clear"/>
            <w:tcMar>
              <w:start w:w="102" w:type="dxa"/>
            </w:tcMar>
          </w:tcPr>
          <w:p>
            <w:pPr>
              <w:pStyle w:val="Normal"/>
              <w:rPr/>
            </w:pPr>
            <w:r>
              <w:rPr/>
              <w:t xml:space="preserve">F 300 </w:t>
            </w:r>
          </w:p>
          <w:p>
            <w:pPr>
              <w:pStyle w:val="Normal"/>
              <w:rPr/>
            </w:pPr>
            <w:r>
              <w:rPr/>
            </w:r>
          </w:p>
        </w:tc>
        <w:tc>
          <w:tcPr>
            <w:tcW w:w="218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То же </w:t>
            </w:r>
          </w:p>
          <w:p>
            <w:pPr>
              <w:pStyle w:val="Normal"/>
              <w:rPr/>
            </w:pPr>
            <w:r>
              <w:rPr/>
            </w:r>
          </w:p>
        </w:tc>
      </w:tr>
      <w:tr>
        <w:trPr/>
        <w:tc>
          <w:tcPr>
            <w:tcW w:w="5355" w:type="dxa"/>
            <w:tcBorders>
              <w:start w:val="single" w:sz="2" w:space="0" w:color="000000"/>
            </w:tcBorders>
            <w:shd w:fill="auto" w:val="clear"/>
            <w:tcMar>
              <w:start w:w="102" w:type="dxa"/>
            </w:tcMar>
          </w:tcPr>
          <w:p>
            <w:pPr>
              <w:pStyle w:val="Normal"/>
              <w:jc w:val="both"/>
              <w:rPr/>
            </w:pPr>
            <w:r>
              <w:rPr/>
              <w:t>2. То же, при постоянном уровне воды (стены открытых емкостных сооружений)</w:t>
            </w:r>
          </w:p>
          <w:p>
            <w:pPr>
              <w:pStyle w:val="Normal"/>
              <w:jc w:val="both"/>
              <w:rPr/>
            </w:pPr>
            <w:r>
              <w:rPr/>
            </w:r>
          </w:p>
          <w:p>
            <w:pPr>
              <w:pStyle w:val="Normal"/>
              <w:jc w:val="both"/>
              <w:rPr/>
            </w:pPr>
            <w:r>
              <w:rPr/>
            </w:r>
          </w:p>
        </w:tc>
        <w:tc>
          <w:tcPr>
            <w:tcW w:w="990" w:type="dxa"/>
            <w:tcBorders>
              <w:start w:val="single" w:sz="2" w:space="0" w:color="000000"/>
            </w:tcBorders>
            <w:shd w:fill="auto" w:val="clear"/>
            <w:tcMar>
              <w:start w:w="102" w:type="dxa"/>
            </w:tcMar>
          </w:tcPr>
          <w:p>
            <w:pPr>
              <w:pStyle w:val="Normal"/>
              <w:jc w:val="center"/>
              <w:rPr/>
            </w:pPr>
            <w:r>
              <w:rPr/>
              <w:t xml:space="preserve">F 75 </w:t>
            </w:r>
          </w:p>
          <w:p>
            <w:pPr>
              <w:pStyle w:val="Normal"/>
              <w:jc w:val="center"/>
              <w:rPr/>
            </w:pPr>
            <w:r>
              <w:rPr/>
            </w:r>
          </w:p>
        </w:tc>
        <w:tc>
          <w:tcPr>
            <w:tcW w:w="1200" w:type="dxa"/>
            <w:tcBorders>
              <w:start w:val="single" w:sz="2" w:space="0" w:color="000000"/>
            </w:tcBorders>
            <w:shd w:fill="auto" w:val="clear"/>
            <w:tcMar>
              <w:start w:w="102" w:type="dxa"/>
            </w:tcMar>
          </w:tcPr>
          <w:p>
            <w:pPr>
              <w:pStyle w:val="Normal"/>
              <w:rPr/>
            </w:pPr>
            <w:r>
              <w:rPr/>
              <w:t xml:space="preserve">F 100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F 150 </w:t>
            </w:r>
          </w:p>
          <w:p>
            <w:pPr>
              <w:pStyle w:val="Normal"/>
              <w:rPr/>
            </w:pPr>
            <w:r>
              <w:rPr/>
            </w:r>
          </w:p>
        </w:tc>
        <w:tc>
          <w:tcPr>
            <w:tcW w:w="975" w:type="dxa"/>
            <w:gridSpan w:val="2"/>
            <w:tcBorders>
              <w:start w:val="single" w:sz="2" w:space="0" w:color="000000"/>
            </w:tcBorders>
            <w:shd w:fill="auto" w:val="clear"/>
            <w:tcMar>
              <w:start w:w="102" w:type="dxa"/>
            </w:tcMar>
          </w:tcPr>
          <w:p>
            <w:pPr>
              <w:pStyle w:val="Normal"/>
              <w:rPr/>
            </w:pPr>
            <w:r>
              <w:rPr/>
              <w:t xml:space="preserve">F 200 </w:t>
            </w:r>
          </w:p>
          <w:p>
            <w:pPr>
              <w:pStyle w:val="Normal"/>
              <w:rPr/>
            </w:pPr>
            <w:r>
              <w:rPr/>
            </w:r>
          </w:p>
        </w:tc>
        <w:tc>
          <w:tcPr>
            <w:tcW w:w="218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w:t>
            </w:r>
          </w:p>
          <w:p>
            <w:pPr>
              <w:pStyle w:val="Normal"/>
              <w:rPr/>
            </w:pPr>
            <w:r>
              <w:rPr/>
            </w:r>
          </w:p>
        </w:tc>
      </w:tr>
      <w:tr>
        <w:trPr/>
        <w:tc>
          <w:tcPr>
            <w:tcW w:w="5355" w:type="dxa"/>
            <w:tcBorders>
              <w:start w:val="single" w:sz="2" w:space="0" w:color="000000"/>
            </w:tcBorders>
            <w:shd w:fill="auto" w:val="clear"/>
            <w:tcMar>
              <w:start w:w="102" w:type="dxa"/>
            </w:tcMar>
          </w:tcPr>
          <w:p>
            <w:pPr>
              <w:pStyle w:val="Normal"/>
              <w:jc w:val="both"/>
              <w:rPr/>
            </w:pPr>
            <w:r>
              <w:rPr/>
              <w:t>3. Конструкции, заглубленные в грунт или обсыпанные грунтом и находящиеся в зоне сезонного промерзания (ограждающие конструкции емкостей и колодцев)</w:t>
            </w:r>
          </w:p>
          <w:p>
            <w:pPr>
              <w:pStyle w:val="Normal"/>
              <w:jc w:val="both"/>
              <w:rPr/>
            </w:pPr>
            <w:r>
              <w:rPr/>
            </w:r>
          </w:p>
          <w:p>
            <w:pPr>
              <w:pStyle w:val="Normal"/>
              <w:jc w:val="both"/>
              <w:rPr/>
            </w:pPr>
            <w:r>
              <w:rPr/>
            </w:r>
          </w:p>
        </w:tc>
        <w:tc>
          <w:tcPr>
            <w:tcW w:w="990" w:type="dxa"/>
            <w:tcBorders>
              <w:start w:val="single" w:sz="2" w:space="0" w:color="000000"/>
            </w:tcBorders>
            <w:shd w:fill="auto" w:val="clear"/>
            <w:tcMar>
              <w:start w:w="102" w:type="dxa"/>
            </w:tcMar>
          </w:tcPr>
          <w:p>
            <w:pPr>
              <w:pStyle w:val="Normal"/>
              <w:jc w:val="center"/>
              <w:rPr/>
            </w:pPr>
            <w:r>
              <w:rPr/>
              <w:t xml:space="preserve">F 50 </w:t>
            </w:r>
          </w:p>
          <w:p>
            <w:pPr>
              <w:pStyle w:val="Normal"/>
              <w:jc w:val="center"/>
              <w:rPr/>
            </w:pPr>
            <w:r>
              <w:rPr/>
            </w:r>
          </w:p>
        </w:tc>
        <w:tc>
          <w:tcPr>
            <w:tcW w:w="1200" w:type="dxa"/>
            <w:tcBorders>
              <w:start w:val="single" w:sz="2" w:space="0" w:color="000000"/>
            </w:tcBorders>
            <w:shd w:fill="auto" w:val="clear"/>
            <w:tcMar>
              <w:start w:w="102" w:type="dxa"/>
            </w:tcMar>
          </w:tcPr>
          <w:p>
            <w:pPr>
              <w:pStyle w:val="Normal"/>
              <w:rPr/>
            </w:pPr>
            <w:r>
              <w:rPr/>
              <w:t xml:space="preserve">F 75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F 100 </w:t>
            </w:r>
          </w:p>
          <w:p>
            <w:pPr>
              <w:pStyle w:val="Normal"/>
              <w:rPr/>
            </w:pPr>
            <w:r>
              <w:rPr/>
            </w:r>
          </w:p>
        </w:tc>
        <w:tc>
          <w:tcPr>
            <w:tcW w:w="975" w:type="dxa"/>
            <w:gridSpan w:val="2"/>
            <w:tcBorders>
              <w:start w:val="single" w:sz="2" w:space="0" w:color="000000"/>
            </w:tcBorders>
            <w:shd w:fill="auto" w:val="clear"/>
            <w:tcMar>
              <w:start w:w="102" w:type="dxa"/>
            </w:tcMar>
          </w:tcPr>
          <w:p>
            <w:pPr>
              <w:pStyle w:val="Normal"/>
              <w:rPr/>
            </w:pPr>
            <w:r>
              <w:rPr/>
              <w:t xml:space="preserve">F 150 </w:t>
            </w:r>
          </w:p>
          <w:p>
            <w:pPr>
              <w:pStyle w:val="Normal"/>
              <w:rPr/>
            </w:pPr>
            <w:r>
              <w:rPr/>
            </w:r>
          </w:p>
        </w:tc>
        <w:tc>
          <w:tcPr>
            <w:tcW w:w="218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w:t>
            </w:r>
          </w:p>
          <w:p>
            <w:pPr>
              <w:pStyle w:val="Normal"/>
              <w:rPr/>
            </w:pPr>
            <w:r>
              <w:rPr/>
            </w:r>
          </w:p>
        </w:tc>
      </w:tr>
      <w:tr>
        <w:trPr/>
        <w:tc>
          <w:tcPr>
            <w:tcW w:w="5355" w:type="dxa"/>
            <w:tcBorders>
              <w:start w:val="single" w:sz="2" w:space="0" w:color="000000"/>
            </w:tcBorders>
            <w:shd w:fill="auto" w:val="clear"/>
            <w:tcMar>
              <w:start w:w="102" w:type="dxa"/>
            </w:tcMar>
          </w:tcPr>
          <w:p>
            <w:pPr>
              <w:pStyle w:val="Normal"/>
              <w:jc w:val="both"/>
              <w:rPr/>
            </w:pPr>
            <w:r>
              <w:rPr/>
              <w:t>4. Конструкции, расположенные в отапливаемых помещениях (фильтры, осветлители, баки для реагентов), постоянно находящиеся под водой (водоприемники, днища емкостных сооружений) или заглубленные ниже глубины промерзания</w:t>
            </w:r>
          </w:p>
          <w:p>
            <w:pPr>
              <w:pStyle w:val="Normal"/>
              <w:jc w:val="both"/>
              <w:rPr/>
            </w:pPr>
            <w:r>
              <w:rPr/>
            </w:r>
          </w:p>
          <w:p>
            <w:pPr>
              <w:pStyle w:val="Normal"/>
              <w:jc w:val="both"/>
              <w:rPr/>
            </w:pPr>
            <w:r>
              <w:rPr/>
            </w:r>
          </w:p>
        </w:tc>
        <w:tc>
          <w:tcPr>
            <w:tcW w:w="99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20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005" w:type="dxa"/>
            <w:tcBorders>
              <w:start w:val="single" w:sz="2" w:space="0" w:color="000000"/>
            </w:tcBorders>
            <w:shd w:fill="auto" w:val="clear"/>
            <w:tcMar>
              <w:start w:w="102" w:type="dxa"/>
            </w:tcMar>
          </w:tcPr>
          <w:p>
            <w:pPr>
              <w:pStyle w:val="Normal"/>
              <w:jc w:val="center"/>
              <w:rPr/>
            </w:pPr>
            <w:r>
              <w:rPr/>
              <w:t xml:space="preserve">F 50 </w:t>
            </w:r>
          </w:p>
          <w:p>
            <w:pPr>
              <w:pStyle w:val="Normal"/>
              <w:jc w:val="center"/>
              <w:rPr/>
            </w:pPr>
            <w:r>
              <w:rPr/>
            </w:r>
          </w:p>
        </w:tc>
        <w:tc>
          <w:tcPr>
            <w:tcW w:w="975" w:type="dxa"/>
            <w:gridSpan w:val="2"/>
            <w:tcBorders>
              <w:start w:val="single" w:sz="2" w:space="0" w:color="000000"/>
            </w:tcBorders>
            <w:shd w:fill="auto" w:val="clear"/>
            <w:tcMar>
              <w:start w:w="102" w:type="dxa"/>
            </w:tcMar>
          </w:tcPr>
          <w:p>
            <w:pPr>
              <w:pStyle w:val="Normal"/>
              <w:rPr/>
            </w:pPr>
            <w:r>
              <w:rPr/>
              <w:t xml:space="preserve">F 75 </w:t>
            </w:r>
          </w:p>
          <w:p>
            <w:pPr>
              <w:pStyle w:val="Normal"/>
              <w:rPr/>
            </w:pPr>
            <w:r>
              <w:rPr/>
            </w:r>
          </w:p>
        </w:tc>
        <w:tc>
          <w:tcPr>
            <w:tcW w:w="218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w:t>
            </w:r>
          </w:p>
          <w:p>
            <w:pPr>
              <w:pStyle w:val="Normal"/>
              <w:rPr/>
            </w:pPr>
            <w:r>
              <w:rPr/>
            </w:r>
          </w:p>
        </w:tc>
      </w:tr>
      <w:tr>
        <w:trPr/>
        <w:tc>
          <w:tcPr>
            <w:tcW w:w="5355" w:type="dxa"/>
            <w:tcBorders>
              <w:start w:val="single" w:sz="2" w:space="0" w:color="000000"/>
            </w:tcBorders>
            <w:shd w:fill="auto" w:val="clear"/>
            <w:tcMar>
              <w:start w:w="102" w:type="dxa"/>
            </w:tcMar>
          </w:tcPr>
          <w:p>
            <w:pPr>
              <w:pStyle w:val="Normal"/>
              <w:rPr/>
            </w:pPr>
            <w:r>
              <w:rPr/>
              <w:t>II. Градирни</w:t>
            </w:r>
          </w:p>
          <w:p>
            <w:pPr>
              <w:pStyle w:val="Normal"/>
              <w:rPr/>
            </w:pPr>
            <w:r>
              <w:rPr/>
            </w:r>
          </w:p>
          <w:p>
            <w:pPr>
              <w:pStyle w:val="Normal"/>
              <w:rPr/>
            </w:pPr>
            <w:r>
              <w:rPr/>
            </w:r>
          </w:p>
        </w:tc>
        <w:tc>
          <w:tcPr>
            <w:tcW w:w="990"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1200"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975" w:type="dxa"/>
            <w:gridSpan w:val="2"/>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218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  </w:t>
            </w:r>
          </w:p>
          <w:p>
            <w:pPr>
              <w:pStyle w:val="Normal"/>
              <w:rPr/>
            </w:pPr>
            <w:r>
              <w:rPr/>
            </w:r>
          </w:p>
        </w:tc>
      </w:tr>
      <w:tr>
        <w:trPr/>
        <w:tc>
          <w:tcPr>
            <w:tcW w:w="5355" w:type="dxa"/>
            <w:tcBorders>
              <w:start w:val="single" w:sz="2" w:space="0" w:color="000000"/>
            </w:tcBorders>
            <w:shd w:fill="auto" w:val="clear"/>
            <w:tcMar>
              <w:start w:w="102" w:type="dxa"/>
            </w:tcMar>
          </w:tcPr>
          <w:p>
            <w:pPr>
              <w:pStyle w:val="Normal"/>
              <w:jc w:val="both"/>
              <w:rPr/>
            </w:pPr>
            <w:r>
              <w:rPr/>
              <w:t>5. Надземные конструкции (кроме вытяжных башен) и стены водосборных бассейнов при тепловой нагрузке в зимнее время на 1 кв.м площади орошения 50 тыс. ккал/ч и более</w:t>
            </w:r>
          </w:p>
          <w:p>
            <w:pPr>
              <w:pStyle w:val="Normal"/>
              <w:jc w:val="both"/>
              <w:rPr/>
            </w:pPr>
            <w:r>
              <w:rPr/>
            </w:r>
          </w:p>
          <w:p>
            <w:pPr>
              <w:pStyle w:val="Normal"/>
              <w:jc w:val="both"/>
              <w:rPr/>
            </w:pPr>
            <w:r>
              <w:rPr/>
            </w:r>
          </w:p>
        </w:tc>
        <w:tc>
          <w:tcPr>
            <w:tcW w:w="990" w:type="dxa"/>
            <w:tcBorders>
              <w:start w:val="single" w:sz="2" w:space="0" w:color="000000"/>
            </w:tcBorders>
            <w:shd w:fill="auto" w:val="clear"/>
            <w:tcMar>
              <w:start w:w="102" w:type="dxa"/>
            </w:tcMar>
          </w:tcPr>
          <w:p>
            <w:pPr>
              <w:pStyle w:val="Normal"/>
              <w:jc w:val="center"/>
              <w:rPr/>
            </w:pPr>
            <w:r>
              <w:rPr/>
              <w:t xml:space="preserve">F 100 </w:t>
            </w:r>
          </w:p>
          <w:p>
            <w:pPr>
              <w:pStyle w:val="Normal"/>
              <w:jc w:val="center"/>
              <w:rPr/>
            </w:pPr>
            <w:r>
              <w:rPr/>
            </w:r>
          </w:p>
        </w:tc>
        <w:tc>
          <w:tcPr>
            <w:tcW w:w="1200" w:type="dxa"/>
            <w:tcBorders>
              <w:start w:val="single" w:sz="2" w:space="0" w:color="000000"/>
            </w:tcBorders>
            <w:shd w:fill="auto" w:val="clear"/>
            <w:tcMar>
              <w:start w:w="102" w:type="dxa"/>
            </w:tcMar>
          </w:tcPr>
          <w:p>
            <w:pPr>
              <w:pStyle w:val="Normal"/>
              <w:rPr/>
            </w:pPr>
            <w:r>
              <w:rPr/>
              <w:t xml:space="preserve">F 200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F 300 </w:t>
            </w:r>
          </w:p>
          <w:p>
            <w:pPr>
              <w:pStyle w:val="Normal"/>
              <w:rPr/>
            </w:pPr>
            <w:r>
              <w:rPr/>
            </w:r>
          </w:p>
        </w:tc>
        <w:tc>
          <w:tcPr>
            <w:tcW w:w="975" w:type="dxa"/>
            <w:gridSpan w:val="2"/>
            <w:tcBorders>
              <w:start w:val="single" w:sz="2" w:space="0" w:color="000000"/>
            </w:tcBorders>
            <w:shd w:fill="auto" w:val="clear"/>
            <w:tcMar>
              <w:start w:w="102" w:type="dxa"/>
            </w:tcMar>
          </w:tcPr>
          <w:p>
            <w:pPr>
              <w:pStyle w:val="Normal"/>
              <w:rPr/>
            </w:pPr>
            <w:r>
              <w:rPr/>
              <w:t xml:space="preserve">F 400 </w:t>
            </w:r>
          </w:p>
          <w:p>
            <w:pPr>
              <w:pStyle w:val="Normal"/>
              <w:rPr/>
            </w:pPr>
            <w:r>
              <w:rPr/>
            </w:r>
          </w:p>
        </w:tc>
        <w:tc>
          <w:tcPr>
            <w:tcW w:w="218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W8 </w:t>
            </w:r>
          </w:p>
          <w:p>
            <w:pPr>
              <w:pStyle w:val="Normal"/>
              <w:rPr/>
            </w:pPr>
            <w:r>
              <w:rPr/>
            </w:r>
          </w:p>
        </w:tc>
      </w:tr>
      <w:tr>
        <w:trPr/>
        <w:tc>
          <w:tcPr>
            <w:tcW w:w="5355" w:type="dxa"/>
            <w:tcBorders>
              <w:start w:val="single" w:sz="2" w:space="0" w:color="000000"/>
            </w:tcBorders>
            <w:shd w:fill="auto" w:val="clear"/>
            <w:tcMar>
              <w:start w:w="102" w:type="dxa"/>
            </w:tcMar>
          </w:tcPr>
          <w:p>
            <w:pPr>
              <w:pStyle w:val="Normal"/>
              <w:jc w:val="both"/>
              <w:rPr/>
            </w:pPr>
            <w:r>
              <w:rPr/>
              <w:t>6. То же, при тепловой нагрузке менее 50 тыс. ккал/ч</w:t>
            </w:r>
          </w:p>
          <w:p>
            <w:pPr>
              <w:pStyle w:val="Normal"/>
              <w:jc w:val="both"/>
              <w:rPr/>
            </w:pPr>
            <w:r>
              <w:rPr/>
            </w:r>
          </w:p>
          <w:p>
            <w:pPr>
              <w:pStyle w:val="Normal"/>
              <w:jc w:val="both"/>
              <w:rPr/>
            </w:pPr>
            <w:r>
              <w:rPr/>
            </w:r>
          </w:p>
        </w:tc>
        <w:tc>
          <w:tcPr>
            <w:tcW w:w="990" w:type="dxa"/>
            <w:tcBorders>
              <w:start w:val="single" w:sz="2" w:space="0" w:color="000000"/>
            </w:tcBorders>
            <w:shd w:fill="auto" w:val="clear"/>
            <w:tcMar>
              <w:start w:w="102" w:type="dxa"/>
            </w:tcMar>
          </w:tcPr>
          <w:p>
            <w:pPr>
              <w:pStyle w:val="Normal"/>
              <w:jc w:val="center"/>
              <w:rPr/>
            </w:pPr>
            <w:r>
              <w:rPr/>
              <w:t xml:space="preserve">F 200 </w:t>
            </w:r>
          </w:p>
          <w:p>
            <w:pPr>
              <w:pStyle w:val="Normal"/>
              <w:jc w:val="center"/>
              <w:rPr/>
            </w:pPr>
            <w:r>
              <w:rPr/>
            </w:r>
          </w:p>
        </w:tc>
        <w:tc>
          <w:tcPr>
            <w:tcW w:w="1200" w:type="dxa"/>
            <w:tcBorders>
              <w:start w:val="single" w:sz="2" w:space="0" w:color="000000"/>
            </w:tcBorders>
            <w:shd w:fill="auto" w:val="clear"/>
            <w:tcMar>
              <w:start w:w="102" w:type="dxa"/>
            </w:tcMar>
          </w:tcPr>
          <w:p>
            <w:pPr>
              <w:pStyle w:val="Normal"/>
              <w:rPr/>
            </w:pPr>
            <w:r>
              <w:rPr/>
              <w:t xml:space="preserve">F 300 </w:t>
            </w:r>
          </w:p>
          <w:p>
            <w:pPr>
              <w:pStyle w:val="Normal"/>
              <w:rPr/>
            </w:pPr>
            <w:r>
              <w:rPr/>
            </w:r>
          </w:p>
        </w:tc>
        <w:tc>
          <w:tcPr>
            <w:tcW w:w="1005" w:type="dxa"/>
            <w:tcBorders>
              <w:start w:val="single" w:sz="2" w:space="0" w:color="000000"/>
            </w:tcBorders>
            <w:shd w:fill="auto" w:val="clear"/>
            <w:tcMar>
              <w:start w:w="102" w:type="dxa"/>
            </w:tcMar>
          </w:tcPr>
          <w:p>
            <w:pPr>
              <w:pStyle w:val="Normal"/>
              <w:rPr/>
            </w:pPr>
            <w:r>
              <w:rPr/>
              <w:t xml:space="preserve">F 400 </w:t>
            </w:r>
          </w:p>
          <w:p>
            <w:pPr>
              <w:pStyle w:val="Normal"/>
              <w:rPr/>
            </w:pPr>
            <w:r>
              <w:rPr/>
            </w:r>
          </w:p>
        </w:tc>
        <w:tc>
          <w:tcPr>
            <w:tcW w:w="975" w:type="dxa"/>
            <w:gridSpan w:val="2"/>
            <w:tcBorders>
              <w:start w:val="single" w:sz="2" w:space="0" w:color="000000"/>
            </w:tcBorders>
            <w:shd w:fill="auto" w:val="clear"/>
            <w:tcMar>
              <w:start w:w="102" w:type="dxa"/>
            </w:tcMar>
          </w:tcPr>
          <w:p>
            <w:pPr>
              <w:pStyle w:val="Normal"/>
              <w:rPr/>
            </w:pPr>
            <w:r>
              <w:rPr/>
              <w:t xml:space="preserve">F 400 </w:t>
            </w:r>
          </w:p>
          <w:p>
            <w:pPr>
              <w:pStyle w:val="Normal"/>
              <w:rPr/>
            </w:pPr>
            <w:r>
              <w:rPr/>
            </w:r>
          </w:p>
        </w:tc>
        <w:tc>
          <w:tcPr>
            <w:tcW w:w="2180"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W8 </w:t>
            </w:r>
          </w:p>
          <w:p>
            <w:pPr>
              <w:pStyle w:val="Normal"/>
              <w:rPr/>
            </w:pPr>
            <w:r>
              <w:rPr/>
            </w:r>
          </w:p>
        </w:tc>
      </w:tr>
      <w:tr>
        <w:trPr/>
        <w:tc>
          <w:tcPr>
            <w:tcW w:w="5355" w:type="dxa"/>
            <w:tcBorders>
              <w:start w:val="single" w:sz="2" w:space="0" w:color="000000"/>
            </w:tcBorders>
            <w:shd w:fill="auto" w:val="clear"/>
            <w:tcMar>
              <w:start w:w="102" w:type="dxa"/>
            </w:tcMar>
          </w:tcPr>
          <w:p>
            <w:pPr>
              <w:pStyle w:val="Normal"/>
              <w:jc w:val="both"/>
              <w:rPr/>
            </w:pPr>
            <w:r>
              <w:rPr/>
              <w:t>7. Вытяжные башни</w:t>
            </w:r>
          </w:p>
          <w:p>
            <w:pPr>
              <w:pStyle w:val="Normal"/>
              <w:jc w:val="both"/>
              <w:rPr/>
            </w:pPr>
            <w:r>
              <w:rPr/>
            </w:r>
          </w:p>
          <w:p>
            <w:pPr>
              <w:pStyle w:val="Normal"/>
              <w:jc w:val="both"/>
              <w:rPr/>
            </w:pPr>
            <w:r>
              <w:rPr/>
            </w:r>
          </w:p>
        </w:tc>
        <w:tc>
          <w:tcPr>
            <w:tcW w:w="990" w:type="dxa"/>
            <w:tcBorders>
              <w:start w:val="single" w:sz="2" w:space="0" w:color="000000"/>
            </w:tcBorders>
            <w:shd w:fill="auto" w:val="clear"/>
            <w:tcMar>
              <w:start w:w="102" w:type="dxa"/>
            </w:tcMar>
          </w:tcPr>
          <w:p>
            <w:pPr>
              <w:pStyle w:val="Normal"/>
              <w:jc w:val="center"/>
              <w:rPr/>
            </w:pPr>
            <w:r>
              <w:rPr/>
              <w:t xml:space="preserve">F 300 </w:t>
            </w:r>
          </w:p>
          <w:p>
            <w:pPr>
              <w:pStyle w:val="Normal"/>
              <w:jc w:val="center"/>
              <w:rPr/>
            </w:pPr>
            <w:r>
              <w:rPr/>
            </w:r>
          </w:p>
        </w:tc>
        <w:tc>
          <w:tcPr>
            <w:tcW w:w="1200" w:type="dxa"/>
            <w:tcBorders>
              <w:start w:val="single" w:sz="2" w:space="0" w:color="000000"/>
            </w:tcBorders>
            <w:shd w:fill="auto" w:val="clear"/>
            <w:tcMar>
              <w:start w:w="102" w:type="dxa"/>
            </w:tcMar>
          </w:tcPr>
          <w:p>
            <w:pPr>
              <w:pStyle w:val="Normal"/>
              <w:rPr/>
            </w:pPr>
            <w:r>
              <w:rPr/>
              <w:t xml:space="preserve">F 400 </w:t>
            </w:r>
          </w:p>
          <w:p>
            <w:pPr>
              <w:pStyle w:val="Normal"/>
              <w:rPr/>
            </w:pPr>
            <w:r>
              <w:rPr/>
            </w:r>
          </w:p>
        </w:tc>
        <w:tc>
          <w:tcPr>
            <w:tcW w:w="1995" w:type="dxa"/>
            <w:gridSpan w:val="4"/>
            <w:tcBorders>
              <w:start w:val="single" w:sz="2" w:space="0" w:color="000000"/>
            </w:tcBorders>
            <w:shd w:fill="auto" w:val="clear"/>
            <w:tcMar>
              <w:start w:w="102" w:type="dxa"/>
            </w:tcMar>
          </w:tcPr>
          <w:p>
            <w:pPr>
              <w:pStyle w:val="Normal"/>
              <w:rPr/>
            </w:pPr>
            <w:r>
              <w:rPr/>
              <w:t xml:space="preserve">Не применяются </w:t>
            </w:r>
          </w:p>
          <w:p>
            <w:pPr>
              <w:pStyle w:val="Normal"/>
              <w:rPr/>
            </w:pPr>
            <w:r>
              <w:rPr/>
            </w:r>
          </w:p>
        </w:tc>
        <w:tc>
          <w:tcPr>
            <w:tcW w:w="215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W8 </w:t>
            </w:r>
          </w:p>
          <w:p>
            <w:pPr>
              <w:pStyle w:val="Normal"/>
              <w:rPr/>
            </w:pPr>
            <w:r>
              <w:rPr/>
            </w:r>
          </w:p>
        </w:tc>
      </w:tr>
      <w:tr>
        <w:trPr/>
        <w:tc>
          <w:tcPr>
            <w:tcW w:w="5355" w:type="dxa"/>
            <w:tcBorders>
              <w:start w:val="single" w:sz="2" w:space="0" w:color="000000"/>
            </w:tcBorders>
            <w:shd w:fill="auto" w:val="clear"/>
            <w:tcMar>
              <w:start w:w="102" w:type="dxa"/>
            </w:tcMar>
          </w:tcPr>
          <w:p>
            <w:pPr>
              <w:pStyle w:val="Normal"/>
              <w:jc w:val="both"/>
              <w:rPr/>
            </w:pPr>
            <w:r>
              <w:rPr/>
              <w:t>8. Днища водосборных бассейнов при тепловой нагрузке на 1 кв.м площади орошения 50 тыс. ккал/ч и более</w:t>
            </w:r>
          </w:p>
          <w:p>
            <w:pPr>
              <w:pStyle w:val="Normal"/>
              <w:jc w:val="both"/>
              <w:rPr/>
            </w:pPr>
            <w:r>
              <w:rPr/>
            </w:r>
          </w:p>
          <w:p>
            <w:pPr>
              <w:pStyle w:val="Normal"/>
              <w:jc w:val="both"/>
              <w:rPr/>
            </w:pPr>
            <w:r>
              <w:rPr/>
            </w:r>
          </w:p>
        </w:tc>
        <w:tc>
          <w:tcPr>
            <w:tcW w:w="990" w:type="dxa"/>
            <w:tcBorders>
              <w:start w:val="single" w:sz="2" w:space="0" w:color="000000"/>
            </w:tcBorders>
            <w:shd w:fill="auto" w:val="clear"/>
            <w:tcMar>
              <w:start w:w="102" w:type="dxa"/>
            </w:tcMar>
          </w:tcPr>
          <w:p>
            <w:pPr>
              <w:pStyle w:val="Normal"/>
              <w:jc w:val="center"/>
              <w:rPr/>
            </w:pPr>
            <w:r>
              <w:rPr/>
              <w:t xml:space="preserve">F 50 </w:t>
            </w:r>
          </w:p>
          <w:p>
            <w:pPr>
              <w:pStyle w:val="Normal"/>
              <w:jc w:val="center"/>
              <w:rPr/>
            </w:pPr>
            <w:r>
              <w:rPr/>
            </w:r>
          </w:p>
        </w:tc>
        <w:tc>
          <w:tcPr>
            <w:tcW w:w="1200" w:type="dxa"/>
            <w:tcBorders>
              <w:start w:val="single" w:sz="2" w:space="0" w:color="000000"/>
            </w:tcBorders>
            <w:shd w:fill="auto" w:val="clear"/>
            <w:tcMar>
              <w:start w:w="102" w:type="dxa"/>
            </w:tcMar>
          </w:tcPr>
          <w:p>
            <w:pPr>
              <w:pStyle w:val="Normal"/>
              <w:rPr/>
            </w:pPr>
            <w:r>
              <w:rPr/>
              <w:t xml:space="preserve">F 100 </w:t>
            </w:r>
          </w:p>
          <w:p>
            <w:pPr>
              <w:pStyle w:val="Normal"/>
              <w:rPr/>
            </w:pPr>
            <w:r>
              <w:rPr/>
            </w:r>
          </w:p>
        </w:tc>
        <w:tc>
          <w:tcPr>
            <w:tcW w:w="1020" w:type="dxa"/>
            <w:gridSpan w:val="2"/>
            <w:tcBorders>
              <w:start w:val="single" w:sz="2" w:space="0" w:color="000000"/>
            </w:tcBorders>
            <w:shd w:fill="auto" w:val="clear"/>
            <w:tcMar>
              <w:start w:w="102" w:type="dxa"/>
            </w:tcMar>
          </w:tcPr>
          <w:p>
            <w:pPr>
              <w:pStyle w:val="Normal"/>
              <w:rPr/>
            </w:pPr>
            <w:r>
              <w:rPr/>
              <w:t xml:space="preserve">F 150 </w:t>
            </w:r>
          </w:p>
          <w:p>
            <w:pPr>
              <w:pStyle w:val="Normal"/>
              <w:rPr/>
            </w:pPr>
            <w:r>
              <w:rPr/>
            </w:r>
          </w:p>
        </w:tc>
        <w:tc>
          <w:tcPr>
            <w:tcW w:w="975" w:type="dxa"/>
            <w:gridSpan w:val="2"/>
            <w:tcBorders>
              <w:start w:val="single" w:sz="2" w:space="0" w:color="000000"/>
            </w:tcBorders>
            <w:shd w:fill="auto" w:val="clear"/>
            <w:tcMar>
              <w:start w:w="102" w:type="dxa"/>
            </w:tcMar>
          </w:tcPr>
          <w:p>
            <w:pPr>
              <w:pStyle w:val="Normal"/>
              <w:rPr/>
            </w:pPr>
            <w:r>
              <w:rPr/>
              <w:t xml:space="preserve">F 200 </w:t>
            </w:r>
          </w:p>
          <w:p>
            <w:pPr>
              <w:pStyle w:val="Normal"/>
              <w:rPr/>
            </w:pPr>
            <w:r>
              <w:rPr/>
            </w:r>
          </w:p>
        </w:tc>
        <w:tc>
          <w:tcPr>
            <w:tcW w:w="215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W6 </w:t>
            </w:r>
          </w:p>
          <w:p>
            <w:pPr>
              <w:pStyle w:val="Normal"/>
              <w:rPr/>
            </w:pPr>
            <w:r>
              <w:rPr/>
            </w:r>
          </w:p>
        </w:tc>
      </w:tr>
      <w:tr>
        <w:trPr/>
        <w:tc>
          <w:tcPr>
            <w:tcW w:w="5355" w:type="dxa"/>
            <w:tcBorders>
              <w:start w:val="single" w:sz="2" w:space="0" w:color="000000"/>
              <w:bottom w:val="single" w:sz="2" w:space="0" w:color="000000"/>
              <w:insideH w:val="single" w:sz="2" w:space="0" w:color="000000"/>
            </w:tcBorders>
            <w:shd w:fill="auto" w:val="clear"/>
            <w:tcMar>
              <w:start w:w="102" w:type="dxa"/>
            </w:tcMar>
          </w:tcPr>
          <w:p>
            <w:pPr>
              <w:pStyle w:val="Normal"/>
              <w:jc w:val="both"/>
              <w:rPr/>
            </w:pPr>
            <w:r>
              <w:rPr/>
              <w:t>9. То же, при тепловой нагрузке менее 50 тыс. ккал/ч</w:t>
            </w:r>
          </w:p>
          <w:p>
            <w:pPr>
              <w:pStyle w:val="Normal"/>
              <w:jc w:val="both"/>
              <w:rPr/>
            </w:pPr>
            <w:r>
              <w:rPr/>
            </w:r>
          </w:p>
          <w:p>
            <w:pPr>
              <w:pStyle w:val="Normal"/>
              <w:jc w:val="both"/>
              <w:rPr/>
            </w:pPr>
            <w:r>
              <w:rPr/>
            </w:r>
          </w:p>
        </w:tc>
        <w:tc>
          <w:tcPr>
            <w:tcW w:w="99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F 100 </w:t>
            </w:r>
          </w:p>
          <w:p>
            <w:pPr>
              <w:pStyle w:val="Normal"/>
              <w:jc w:val="center"/>
              <w:rPr/>
            </w:pPr>
            <w:r>
              <w:rPr/>
            </w:r>
          </w:p>
        </w:tc>
        <w:tc>
          <w:tcPr>
            <w:tcW w:w="120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F 150 </w:t>
            </w:r>
          </w:p>
          <w:p>
            <w:pPr>
              <w:pStyle w:val="Normal"/>
              <w:rPr/>
            </w:pPr>
            <w:r>
              <w:rPr/>
            </w:r>
          </w:p>
        </w:tc>
        <w:tc>
          <w:tcPr>
            <w:tcW w:w="1020"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F 200 </w:t>
            </w:r>
          </w:p>
          <w:p>
            <w:pPr>
              <w:pStyle w:val="Normal"/>
              <w:rPr/>
            </w:pPr>
            <w:r>
              <w:rPr/>
            </w:r>
          </w:p>
        </w:tc>
        <w:tc>
          <w:tcPr>
            <w:tcW w:w="975"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F 300 </w:t>
            </w:r>
          </w:p>
          <w:p>
            <w:pPr>
              <w:pStyle w:val="Normal"/>
              <w:rPr/>
            </w:pPr>
            <w:r>
              <w:rPr/>
            </w:r>
          </w:p>
        </w:tc>
        <w:tc>
          <w:tcPr>
            <w:tcW w:w="215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Для температур до минус </w:t>
            </w:r>
          </w:p>
          <w:p>
            <w:pPr>
              <w:pStyle w:val="Normal"/>
              <w:rPr/>
            </w:pPr>
            <w:r>
              <w:rPr/>
              <w:t xml:space="preserve">40 град.С -  W6; ниже минус </w:t>
            </w:r>
          </w:p>
          <w:p>
            <w:pPr>
              <w:pStyle w:val="Normal"/>
              <w:rPr/>
            </w:pPr>
            <w:r>
              <w:rPr/>
              <w:t>40 град. С -  W8</w:t>
            </w:r>
          </w:p>
          <w:p>
            <w:pPr>
              <w:pStyle w:val="Normal"/>
              <w:rPr/>
            </w:pPr>
            <w:r>
              <w:rPr/>
            </w:r>
          </w:p>
          <w:p>
            <w:pPr>
              <w:pStyle w:val="Normal"/>
              <w:rPr/>
            </w:pPr>
            <w:r>
              <w:rPr/>
            </w:r>
          </w:p>
        </w:tc>
      </w:tr>
    </w:tbl>
    <w:p>
      <w:pPr>
        <w:pStyle w:val="Normal"/>
        <w:jc w:val="both"/>
        <w:rPr/>
      </w:pPr>
      <w:r>
        <w:rPr/>
      </w:r>
    </w:p>
    <w:p>
      <w:pPr>
        <w:pStyle w:val="Normal"/>
        <w:ind w:firstLine="270"/>
        <w:jc w:val="both"/>
        <w:rPr/>
      </w:pPr>
      <w:r>
        <w:rPr/>
        <w:t>Примечания: 1. Марки бетона по морозостойкости даны для сооружений II класса ответственности. Для сооружений I класса марки бетона по морозостойкости должны быть повышены на одну ступень, а для сооружений III класса понижены на одну ступень, но не ниже F 50.</w:t>
      </w:r>
    </w:p>
    <w:p>
      <w:pPr>
        <w:pStyle w:val="Normal"/>
        <w:ind w:firstLine="270"/>
        <w:jc w:val="both"/>
        <w:rPr/>
      </w:pPr>
      <w:r>
        <w:rPr/>
      </w:r>
    </w:p>
    <w:p>
      <w:pPr>
        <w:pStyle w:val="Normal"/>
        <w:ind w:firstLine="225"/>
        <w:jc w:val="both"/>
        <w:rPr/>
      </w:pPr>
      <w:r>
        <w:rPr/>
        <w:t xml:space="preserve">2. При наличии агрессивной среды марки бетона по водонепроницаемости следует назначать с учетом требований </w:t>
      </w:r>
      <w:r>
        <w:rPr>
          <w:vanish/>
        </w:rPr>
        <w:t>#M12291 871001005</w:t>
      </w:r>
      <w:r>
        <w:rPr/>
        <w:t>СНиП 2.03.11-85</w:t>
      </w:r>
      <w:r>
        <w:rPr>
          <w:vanish/>
        </w:rPr>
        <w:t>#S</w:t>
      </w:r>
      <w:r>
        <w:rPr/>
        <w:t>.</w:t>
      </w:r>
    </w:p>
    <w:p>
      <w:pPr>
        <w:pStyle w:val="Normal"/>
        <w:ind w:firstLine="225"/>
        <w:jc w:val="both"/>
        <w:rPr/>
      </w:pPr>
      <w:r>
        <w:rPr/>
      </w:r>
    </w:p>
    <w:p>
      <w:pPr>
        <w:pStyle w:val="Normal"/>
        <w:ind w:firstLine="225"/>
        <w:jc w:val="both"/>
        <w:rPr/>
      </w:pPr>
      <w:r>
        <w:rPr/>
        <w:t>3. На емкостные сооружения водоснабжения требования на бетон гидротехнический не распространяются.</w:t>
      </w:r>
    </w:p>
    <w:p>
      <w:pPr>
        <w:pStyle w:val="Normal"/>
        <w:ind w:firstLine="225"/>
        <w:jc w:val="both"/>
        <w:rPr/>
      </w:pPr>
      <w:r>
        <w:rPr/>
      </w:r>
    </w:p>
    <w:p>
      <w:pPr>
        <w:pStyle w:val="Normal"/>
        <w:ind w:firstLine="225"/>
        <w:jc w:val="both"/>
        <w:rPr/>
      </w:pPr>
      <w:r>
        <w:rPr/>
        <w:t>4. Под градиентом напора понимается отношение величины гидростатического напора к толщине конструкции.</w:t>
      </w:r>
    </w:p>
    <w:p>
      <w:pPr>
        <w:pStyle w:val="Normal"/>
        <w:ind w:firstLine="225"/>
        <w:jc w:val="both"/>
        <w:rPr/>
      </w:pPr>
      <w:r>
        <w:rPr/>
      </w:r>
    </w:p>
    <w:p>
      <w:pPr>
        <w:pStyle w:val="Normal"/>
        <w:ind w:firstLine="270"/>
        <w:jc w:val="both"/>
        <w:rPr/>
      </w:pPr>
      <w:r>
        <w:rPr/>
        <w:t>14.25. Заделка трубопроводов в ограждающих конструкциях емкостных сооружений и подземных частей зданий должна обеспечить водонепроницаемость ограждающих конструкций.</w:t>
      </w:r>
    </w:p>
    <w:p>
      <w:pPr>
        <w:pStyle w:val="Normal"/>
        <w:ind w:firstLine="270"/>
        <w:jc w:val="both"/>
        <w:rPr/>
      </w:pPr>
      <w:r>
        <w:rPr/>
      </w:r>
    </w:p>
    <w:p>
      <w:pPr>
        <w:pStyle w:val="Normal"/>
        <w:ind w:firstLine="225"/>
        <w:jc w:val="both"/>
        <w:rPr/>
      </w:pPr>
      <w:r>
        <w:rPr/>
        <w:t>При жесткой заделке труб следует учитывать возможность передачи усилий от них на ограждающие конструкции и принимать меры к исключению или уменьшению этих усилий; при применении сальников необходимо обеспечивать доступ к ним для осмотра и возобновления уплотняющей набивки.</w:t>
      </w:r>
    </w:p>
    <w:p>
      <w:pPr>
        <w:pStyle w:val="Normal"/>
        <w:ind w:firstLine="225"/>
        <w:jc w:val="both"/>
        <w:rPr/>
      </w:pPr>
      <w:r>
        <w:rPr/>
      </w:r>
    </w:p>
    <w:p>
      <w:pPr>
        <w:pStyle w:val="Normal"/>
        <w:ind w:firstLine="225"/>
        <w:jc w:val="both"/>
        <w:rPr/>
      </w:pPr>
      <w:r>
        <w:rPr/>
        <w:t>Во всех случаях заделки трубопроводов необходимо предусматривать мероприятия, обеспечивающие сохранность сопряженного с ними оборудования и ограждающих конструкций от температурных и сейсмических воздействий, а также от разности осадок зданий или сооружений и наружных трубопроводов.</w:t>
      </w:r>
    </w:p>
    <w:p>
      <w:pPr>
        <w:pStyle w:val="Normal"/>
        <w:ind w:firstLine="225"/>
        <w:jc w:val="both"/>
        <w:rPr/>
      </w:pPr>
      <w:r>
        <w:rPr/>
      </w:r>
    </w:p>
    <w:p>
      <w:pPr>
        <w:pStyle w:val="Normal"/>
        <w:ind w:firstLine="225"/>
        <w:jc w:val="both"/>
        <w:rPr/>
      </w:pPr>
      <w:r>
        <w:rPr/>
      </w:r>
    </w:p>
    <w:p>
      <w:pPr>
        <w:pStyle w:val="Normal"/>
        <w:ind w:firstLine="225"/>
        <w:jc w:val="both"/>
        <w:rPr/>
      </w:pPr>
      <w:r>
        <w:rPr/>
        <w:t>Примечание. Проход труб через днище допускается предусматривать при помощи стальных ребристых патрубков, жестко заделываемых в днище с обетонированием участка трубопровода под днищем.</w:t>
      </w:r>
    </w:p>
    <w:p>
      <w:pPr>
        <w:pStyle w:val="Normal"/>
        <w:ind w:firstLine="225"/>
        <w:jc w:val="both"/>
        <w:rPr/>
      </w:pPr>
      <w:r>
        <w:rPr/>
      </w:r>
    </w:p>
    <w:p>
      <w:pPr>
        <w:pStyle w:val="Normal"/>
        <w:ind w:firstLine="225"/>
        <w:jc w:val="both"/>
        <w:rPr/>
      </w:pPr>
      <w:r>
        <w:rPr/>
      </w:r>
    </w:p>
    <w:p>
      <w:pPr>
        <w:pStyle w:val="Normal"/>
        <w:ind w:firstLine="225"/>
        <w:jc w:val="both"/>
        <w:rPr/>
      </w:pPr>
      <w:r>
        <w:rPr/>
        <w:t>14.26. Гидравлические испытания емкостных сооружений на прочность и водонепроницаемость согласно СНиП 3.05.04-85 должны производиться при положительной температуре поверхности наружных стен, при этом сооружения с антикоррозионным покрытием должны испытываться до нанесения покрытия.</w:t>
      </w:r>
    </w:p>
    <w:p>
      <w:pPr>
        <w:pStyle w:val="Normal"/>
        <w:ind w:firstLine="225"/>
        <w:jc w:val="both"/>
        <w:rPr/>
      </w:pPr>
      <w:r>
        <w:rPr/>
      </w:r>
    </w:p>
    <w:p>
      <w:pPr>
        <w:pStyle w:val="Normal"/>
        <w:ind w:firstLine="225"/>
        <w:jc w:val="both"/>
        <w:rPr/>
      </w:pPr>
      <w:r>
        <w:rPr/>
        <w:t>Резервуары для питьевой воды должны дополнительно испытываться на герметичность всех ограждающих конструкций.</w:t>
      </w:r>
    </w:p>
    <w:p>
      <w:pPr>
        <w:pStyle w:val="Normal"/>
        <w:ind w:firstLine="225"/>
        <w:jc w:val="both"/>
        <w:rPr/>
      </w:pPr>
      <w:r>
        <w:rPr/>
      </w:r>
    </w:p>
    <w:p>
      <w:pPr>
        <w:pStyle w:val="Normal"/>
        <w:ind w:firstLine="225"/>
        <w:jc w:val="both"/>
        <w:rPr/>
      </w:pPr>
      <w:r>
        <w:rPr/>
        <w:t>14.27. Высоту засыпки от верха покрытия колодцев до ее поверхности надлежит определять с учетом вертикальной планировки и принимать не менее 0,5 м.</w:t>
      </w:r>
    </w:p>
    <w:p>
      <w:pPr>
        <w:pStyle w:val="Normal"/>
        <w:ind w:firstLine="225"/>
        <w:jc w:val="both"/>
        <w:rPr/>
      </w:pPr>
      <w:r>
        <w:rPr/>
      </w:r>
    </w:p>
    <w:p>
      <w:pPr>
        <w:pStyle w:val="Normal"/>
        <w:ind w:firstLine="225"/>
        <w:jc w:val="both"/>
        <w:rPr/>
      </w:pPr>
      <w:r>
        <w:rPr/>
        <w:t>Вокруг люков колодцев, размещаемых на застроенных территориях без дорожных покрытий, следует предусматривать отмостки шириной 0,5 м с уклоном от люков. На проезжей части с усовершенствованными покрытиями крышки люков должны быть на одном уровне с поверхностью проезжей части.</w:t>
      </w:r>
    </w:p>
    <w:p>
      <w:pPr>
        <w:pStyle w:val="Normal"/>
        <w:ind w:firstLine="225"/>
        <w:jc w:val="both"/>
        <w:rPr/>
      </w:pPr>
      <w:r>
        <w:rPr/>
      </w:r>
    </w:p>
    <w:p>
      <w:pPr>
        <w:pStyle w:val="Normal"/>
        <w:ind w:firstLine="225"/>
        <w:jc w:val="both"/>
        <w:rPr/>
      </w:pPr>
      <w:r>
        <w:rPr/>
        <w:t>Крышки люков колодцев на водоводах, прокладываемых по незастроенной территории, должны быть выше поверхности земли не менее чем на 0,2 м.</w:t>
      </w:r>
    </w:p>
    <w:p>
      <w:pPr>
        <w:pStyle w:val="Normal"/>
        <w:ind w:firstLine="225"/>
        <w:jc w:val="both"/>
        <w:rPr/>
      </w:pPr>
      <w:r>
        <w:rPr/>
      </w:r>
    </w:p>
    <w:p>
      <w:pPr>
        <w:pStyle w:val="Heading"/>
        <w:jc w:val="center"/>
        <w:rPr/>
      </w:pPr>
      <w:r>
        <w:rPr/>
      </w:r>
    </w:p>
    <w:p>
      <w:pPr>
        <w:pStyle w:val="Heading"/>
        <w:jc w:val="center"/>
        <w:rPr/>
      </w:pPr>
      <w:r>
        <w:rPr/>
        <w:t xml:space="preserve">Расчет конструкций </w:t>
      </w:r>
    </w:p>
    <w:p>
      <w:pPr>
        <w:pStyle w:val="Normal"/>
        <w:ind w:firstLine="270"/>
        <w:jc w:val="both"/>
        <w:rPr/>
      </w:pPr>
      <w:r>
        <w:rPr/>
      </w:r>
    </w:p>
    <w:p>
      <w:pPr>
        <w:pStyle w:val="Normal"/>
        <w:ind w:firstLine="270"/>
        <w:jc w:val="both"/>
        <w:rPr/>
      </w:pPr>
      <w:r>
        <w:rPr/>
      </w:r>
    </w:p>
    <w:p>
      <w:pPr>
        <w:pStyle w:val="Normal"/>
        <w:ind w:firstLine="225"/>
        <w:jc w:val="both"/>
        <w:rPr/>
      </w:pPr>
      <w:r>
        <w:rPr/>
        <w:t>14.28. При расчете емкостных сооружений и подземных частей зданий нагрузки, воздействия и коэффициенты перегрузки должны приниматься согласно СНиП 2.01.07-85 и табл. 43, класс ответственности - по табл. 41.</w:t>
      </w:r>
    </w:p>
    <w:p>
      <w:pPr>
        <w:pStyle w:val="Normal"/>
        <w:ind w:firstLine="225"/>
        <w:jc w:val="both"/>
        <w:rPr/>
      </w:pPr>
      <w:r>
        <w:rPr/>
      </w:r>
    </w:p>
    <w:p>
      <w:pPr>
        <w:pStyle w:val="Normal"/>
        <w:ind w:firstLine="225"/>
        <w:jc w:val="both"/>
        <w:rPr/>
      </w:pPr>
      <w:r>
        <w:rPr/>
        <w:t>14.29. Расчет емкостных сооружений должен производиться на нагрузки и воздействия с учетом коэффициентов перегрузки, указанных в табл. 43, на два сочетания нагрузок:</w:t>
      </w:r>
    </w:p>
    <w:p>
      <w:pPr>
        <w:pStyle w:val="Normal"/>
        <w:ind w:firstLine="225"/>
        <w:jc w:val="both"/>
        <w:rPr/>
      </w:pPr>
      <w:r>
        <w:rPr/>
      </w:r>
    </w:p>
    <w:p>
      <w:pPr>
        <w:pStyle w:val="Normal"/>
        <w:ind w:firstLine="225"/>
        <w:jc w:val="both"/>
        <w:rPr/>
      </w:pPr>
      <w:r>
        <w:rPr/>
        <w:t xml:space="preserve">I - при гидравлических испытаниях, когда заглубленное в грунт сооружение залито водой с наиболее невыгодным посекционным заполнением. Для необсыпаемых сооружений это сочетание является эксплуатационным; </w:t>
      </w:r>
    </w:p>
    <w:p>
      <w:pPr>
        <w:pStyle w:val="Normal"/>
        <w:ind w:firstLine="225"/>
        <w:jc w:val="both"/>
        <w:rPr/>
      </w:pPr>
      <w:r>
        <w:rPr/>
      </w:r>
    </w:p>
    <w:p>
      <w:pPr>
        <w:pStyle w:val="Normal"/>
        <w:ind w:firstLine="225"/>
        <w:jc w:val="both"/>
        <w:rPr/>
      </w:pPr>
      <w:r>
        <w:rPr/>
        <w:t>II - при эксплуатации, когда сооружение      не заполнено водой и обсыпано грунтом. В этом случае необходима проверка на устойчивость против всплывания.</w:t>
      </w:r>
    </w:p>
    <w:p>
      <w:pPr>
        <w:pStyle w:val="Normal"/>
        <w:jc w:val="end"/>
        <w:rPr/>
      </w:pPr>
      <w:r>
        <w:rPr/>
        <w:t>Таблица 43</w:t>
      </w:r>
    </w:p>
    <w:p>
      <w:pPr>
        <w:pStyle w:val="Normal"/>
        <w:jc w:val="end"/>
        <w:rPr/>
      </w:pPr>
      <w:r>
        <w:rPr/>
      </w:r>
    </w:p>
    <w:p>
      <w:pPr>
        <w:pStyle w:val="Normal"/>
        <w:jc w:val="end"/>
        <w:rPr/>
      </w:pPr>
      <w:r>
        <w:rPr/>
      </w:r>
    </w:p>
    <w:tbl>
      <w:tblPr>
        <w:tblW w:w="14165"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4005"/>
        <w:gridCol w:w="1395"/>
        <w:gridCol w:w="1095"/>
        <w:gridCol w:w="1095"/>
        <w:gridCol w:w="1095"/>
        <w:gridCol w:w="1095"/>
        <w:gridCol w:w="1095"/>
        <w:gridCol w:w="1095"/>
        <w:gridCol w:w="1095"/>
        <w:gridCol w:w="1100"/>
      </w:tblGrid>
      <w:tr>
        <w:trPr/>
        <w:tc>
          <w:tcPr>
            <w:tcW w:w="4005" w:type="dxa"/>
            <w:tcBorders>
              <w:top w:val="single" w:sz="2" w:space="0" w:color="000000"/>
              <w:start w:val="single" w:sz="2" w:space="0" w:color="000000"/>
            </w:tcBorders>
            <w:shd w:fill="auto" w:val="clear"/>
            <w:tcMar>
              <w:start w:w="42" w:type="dxa"/>
            </w:tcMar>
          </w:tcPr>
          <w:p>
            <w:pPr>
              <w:pStyle w:val="Normal"/>
              <w:rPr/>
            </w:pPr>
            <w:r>
              <w:rPr>
                <w:vanish/>
              </w:rPr>
              <w:t>#G0</w:t>
            </w:r>
            <w:r>
              <w:rPr/>
              <w:t xml:space="preserve">  </w:t>
            </w:r>
          </w:p>
          <w:p>
            <w:pPr>
              <w:pStyle w:val="Normal"/>
              <w:rPr/>
            </w:pPr>
            <w:r>
              <w:rPr/>
            </w:r>
          </w:p>
        </w:tc>
        <w:tc>
          <w:tcPr>
            <w:tcW w:w="1395" w:type="dxa"/>
            <w:tcBorders>
              <w:top w:val="single" w:sz="2" w:space="0" w:color="000000"/>
              <w:start w:val="single" w:sz="2" w:space="0" w:color="000000"/>
            </w:tcBorders>
            <w:shd w:fill="auto" w:val="clear"/>
            <w:tcMar>
              <w:start w:w="42" w:type="dxa"/>
            </w:tcMar>
          </w:tcPr>
          <w:p>
            <w:pPr>
              <w:pStyle w:val="Normal"/>
              <w:rPr/>
            </w:pPr>
            <w:r>
              <w:rPr/>
              <w:t xml:space="preserve">  </w:t>
            </w:r>
          </w:p>
          <w:p>
            <w:pPr>
              <w:pStyle w:val="Normal"/>
              <w:rPr/>
            </w:pPr>
            <w:r>
              <w:rPr/>
            </w:r>
          </w:p>
        </w:tc>
        <w:tc>
          <w:tcPr>
            <w:tcW w:w="6570" w:type="dxa"/>
            <w:gridSpan w:val="6"/>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Заглубленные в грунт или обвалованные сооружения  </w:t>
            </w:r>
          </w:p>
          <w:p>
            <w:pPr>
              <w:pStyle w:val="Normal"/>
              <w:jc w:val="center"/>
              <w:rPr/>
            </w:pPr>
            <w:r>
              <w:rPr/>
            </w:r>
          </w:p>
        </w:tc>
        <w:tc>
          <w:tcPr>
            <w:tcW w:w="2195" w:type="dxa"/>
            <w:gridSpan w:val="2"/>
            <w:tcBorders>
              <w:top w:val="single" w:sz="2" w:space="0" w:color="000000"/>
              <w:start w:val="single" w:sz="2" w:space="0" w:color="000000"/>
              <w:end w:val="single" w:sz="2" w:space="0" w:color="000000"/>
              <w:insideV w:val="single" w:sz="2" w:space="0" w:color="000000"/>
            </w:tcBorders>
            <w:shd w:fill="auto" w:val="clear"/>
            <w:tcMar>
              <w:start w:w="42" w:type="dxa"/>
            </w:tcMar>
          </w:tcPr>
          <w:p>
            <w:pPr>
              <w:pStyle w:val="Normal"/>
              <w:rPr/>
            </w:pPr>
            <w:r>
              <w:rPr/>
              <w:t xml:space="preserve">Емкостные </w:t>
            </w:r>
          </w:p>
          <w:p>
            <w:pPr>
              <w:pStyle w:val="Normal"/>
              <w:rPr/>
            </w:pPr>
            <w:r>
              <w:rPr/>
            </w:r>
          </w:p>
        </w:tc>
      </w:tr>
      <w:tr>
        <w:trPr/>
        <w:tc>
          <w:tcPr>
            <w:tcW w:w="400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395" w:type="dxa"/>
            <w:tcBorders>
              <w:start w:val="single" w:sz="2" w:space="0" w:color="000000"/>
            </w:tcBorders>
            <w:shd w:fill="auto" w:val="clear"/>
            <w:tcMar>
              <w:start w:w="42" w:type="dxa"/>
            </w:tcMar>
          </w:tcPr>
          <w:p>
            <w:pPr>
              <w:pStyle w:val="Normal"/>
              <w:jc w:val="center"/>
              <w:rPr/>
            </w:pPr>
            <w:r>
              <w:rPr/>
              <w:t xml:space="preserve">Коэффициент </w:t>
            </w:r>
          </w:p>
          <w:p>
            <w:pPr>
              <w:pStyle w:val="Normal"/>
              <w:jc w:val="center"/>
              <w:rPr/>
            </w:pPr>
            <w:r>
              <w:rPr/>
            </w:r>
          </w:p>
        </w:tc>
        <w:tc>
          <w:tcPr>
            <w:tcW w:w="4380" w:type="dxa"/>
            <w:gridSpan w:val="4"/>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Емкостные сооружения </w:t>
            </w:r>
          </w:p>
          <w:p>
            <w:pPr>
              <w:pStyle w:val="Normal"/>
              <w:rPr/>
            </w:pPr>
            <w:r>
              <w:rPr/>
            </w:r>
          </w:p>
        </w:tc>
        <w:tc>
          <w:tcPr>
            <w:tcW w:w="2190" w:type="dxa"/>
            <w:gridSpan w:val="2"/>
            <w:tcBorders>
              <w:start w:val="single" w:sz="2" w:space="0" w:color="000000"/>
            </w:tcBorders>
            <w:shd w:fill="auto" w:val="clear"/>
            <w:tcMar>
              <w:start w:w="42" w:type="dxa"/>
            </w:tcMar>
          </w:tcPr>
          <w:p>
            <w:pPr>
              <w:pStyle w:val="Normal"/>
              <w:rPr/>
            </w:pPr>
            <w:r>
              <w:rPr/>
              <w:t xml:space="preserve">Подземные </w:t>
            </w:r>
          </w:p>
          <w:p>
            <w:pPr>
              <w:pStyle w:val="Normal"/>
              <w:rPr/>
            </w:pPr>
            <w:r>
              <w:rPr/>
            </w:r>
          </w:p>
        </w:tc>
        <w:tc>
          <w:tcPr>
            <w:tcW w:w="2195" w:type="dxa"/>
            <w:gridSpan w:val="2"/>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сооружения </w:t>
            </w:r>
          </w:p>
          <w:p>
            <w:pPr>
              <w:pStyle w:val="Normal"/>
              <w:rPr/>
            </w:pPr>
            <w:r>
              <w:rPr/>
            </w:r>
          </w:p>
        </w:tc>
      </w:tr>
      <w:tr>
        <w:trPr/>
        <w:tc>
          <w:tcPr>
            <w:tcW w:w="4005" w:type="dxa"/>
            <w:tcBorders>
              <w:start w:val="single" w:sz="2" w:space="0" w:color="000000"/>
            </w:tcBorders>
            <w:shd w:fill="auto" w:val="clear"/>
            <w:tcMar>
              <w:start w:w="42" w:type="dxa"/>
            </w:tcMar>
          </w:tcPr>
          <w:p>
            <w:pPr>
              <w:pStyle w:val="Normal"/>
              <w:rPr/>
            </w:pPr>
            <w:r>
              <w:rPr/>
              <w:t xml:space="preserve">Нагрузки и воздействия </w:t>
            </w:r>
          </w:p>
          <w:p>
            <w:pPr>
              <w:pStyle w:val="Normal"/>
              <w:rPr/>
            </w:pPr>
            <w:r>
              <w:rPr/>
            </w:r>
          </w:p>
        </w:tc>
        <w:tc>
          <w:tcPr>
            <w:tcW w:w="1395" w:type="dxa"/>
            <w:tcBorders>
              <w:start w:val="single" w:sz="2" w:space="0" w:color="000000"/>
            </w:tcBorders>
            <w:shd w:fill="auto" w:val="clear"/>
            <w:tcMar>
              <w:start w:w="42" w:type="dxa"/>
            </w:tcMar>
          </w:tcPr>
          <w:p>
            <w:pPr>
              <w:pStyle w:val="Normal"/>
              <w:rPr/>
            </w:pPr>
            <w:r>
              <w:rPr/>
              <w:t xml:space="preserve">перегрузки </w:t>
            </w:r>
          </w:p>
          <w:p>
            <w:pPr>
              <w:pStyle w:val="Normal"/>
              <w:rPr/>
            </w:pPr>
            <w:r>
              <w:rPr/>
            </w:r>
          </w:p>
        </w:tc>
        <w:tc>
          <w:tcPr>
            <w:tcW w:w="2190" w:type="dxa"/>
            <w:gridSpan w:val="2"/>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закрытые </w:t>
            </w:r>
          </w:p>
          <w:p>
            <w:pPr>
              <w:pStyle w:val="Normal"/>
              <w:rPr/>
            </w:pPr>
            <w:r>
              <w:rPr/>
            </w:r>
          </w:p>
        </w:tc>
        <w:tc>
          <w:tcPr>
            <w:tcW w:w="2190" w:type="dxa"/>
            <w:gridSpan w:val="2"/>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открытые </w:t>
            </w:r>
          </w:p>
          <w:p>
            <w:pPr>
              <w:pStyle w:val="Normal"/>
              <w:rPr/>
            </w:pPr>
            <w:r>
              <w:rPr/>
            </w:r>
          </w:p>
        </w:tc>
        <w:tc>
          <w:tcPr>
            <w:tcW w:w="2190" w:type="dxa"/>
            <w:gridSpan w:val="2"/>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части зданий </w:t>
            </w:r>
          </w:p>
          <w:p>
            <w:pPr>
              <w:pStyle w:val="Normal"/>
              <w:rPr/>
            </w:pPr>
            <w:r>
              <w:rPr/>
            </w:r>
          </w:p>
        </w:tc>
        <w:tc>
          <w:tcPr>
            <w:tcW w:w="2195" w:type="dxa"/>
            <w:gridSpan w:val="2"/>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внутри зданий </w:t>
            </w:r>
          </w:p>
          <w:p>
            <w:pPr>
              <w:pStyle w:val="Normal"/>
              <w:rPr/>
            </w:pPr>
            <w:r>
              <w:rPr/>
            </w:r>
          </w:p>
        </w:tc>
      </w:tr>
      <w:tr>
        <w:trPr/>
        <w:tc>
          <w:tcPr>
            <w:tcW w:w="400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3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8765" w:type="dxa"/>
            <w:gridSpan w:val="8"/>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jc w:val="center"/>
              <w:rPr/>
            </w:pPr>
            <w:r>
              <w:rPr/>
              <w:t xml:space="preserve">сочетания нагрузок </w:t>
            </w:r>
          </w:p>
          <w:p>
            <w:pPr>
              <w:pStyle w:val="Normal"/>
              <w:jc w:val="center"/>
              <w:rPr/>
            </w:pPr>
            <w:r>
              <w:rPr/>
            </w:r>
          </w:p>
        </w:tc>
      </w:tr>
      <w:tr>
        <w:trPr/>
        <w:tc>
          <w:tcPr>
            <w:tcW w:w="400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p>
          <w:p>
            <w:pPr>
              <w:pStyle w:val="Normal"/>
              <w:rPr/>
            </w:pPr>
            <w:r>
              <w:rPr/>
            </w:r>
          </w:p>
        </w:tc>
        <w:tc>
          <w:tcPr>
            <w:tcW w:w="139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I </w:t>
            </w:r>
          </w:p>
          <w:p>
            <w:pPr>
              <w:pStyle w:val="Normal"/>
              <w:jc w:val="center"/>
              <w:rPr/>
            </w:pPr>
            <w:r>
              <w:rPr/>
            </w:r>
          </w:p>
        </w:tc>
        <w:tc>
          <w:tcPr>
            <w:tcW w:w="109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II </w:t>
            </w:r>
          </w:p>
          <w:p>
            <w:pPr>
              <w:pStyle w:val="Normal"/>
              <w:rPr/>
            </w:pPr>
            <w:r>
              <w:rPr/>
            </w:r>
          </w:p>
        </w:tc>
        <w:tc>
          <w:tcPr>
            <w:tcW w:w="109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I </w:t>
            </w:r>
          </w:p>
          <w:p>
            <w:pPr>
              <w:pStyle w:val="Normal"/>
              <w:rPr/>
            </w:pPr>
            <w:r>
              <w:rPr/>
            </w:r>
          </w:p>
        </w:tc>
        <w:tc>
          <w:tcPr>
            <w:tcW w:w="109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II </w:t>
            </w:r>
          </w:p>
          <w:p>
            <w:pPr>
              <w:pStyle w:val="Normal"/>
              <w:rPr/>
            </w:pPr>
            <w:r>
              <w:rPr/>
            </w:r>
          </w:p>
        </w:tc>
        <w:tc>
          <w:tcPr>
            <w:tcW w:w="109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I </w:t>
            </w:r>
          </w:p>
          <w:p>
            <w:pPr>
              <w:pStyle w:val="Normal"/>
              <w:rPr/>
            </w:pPr>
            <w:r>
              <w:rPr/>
            </w:r>
          </w:p>
        </w:tc>
        <w:tc>
          <w:tcPr>
            <w:tcW w:w="109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II </w:t>
            </w:r>
          </w:p>
          <w:p>
            <w:pPr>
              <w:pStyle w:val="Normal"/>
              <w:rPr/>
            </w:pPr>
            <w:r>
              <w:rPr/>
            </w:r>
          </w:p>
        </w:tc>
        <w:tc>
          <w:tcPr>
            <w:tcW w:w="109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I </w:t>
            </w:r>
          </w:p>
          <w:p>
            <w:pPr>
              <w:pStyle w:val="Normal"/>
              <w:rPr/>
            </w:pPr>
            <w:r>
              <w:rPr/>
            </w:r>
          </w:p>
        </w:tc>
        <w:tc>
          <w:tcPr>
            <w:tcW w:w="110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II </w:t>
            </w:r>
          </w:p>
          <w:p>
            <w:pPr>
              <w:pStyle w:val="Normal"/>
              <w:rPr/>
            </w:pPr>
            <w:r>
              <w:rPr/>
            </w:r>
          </w:p>
        </w:tc>
      </w:tr>
      <w:tr>
        <w:trPr/>
        <w:tc>
          <w:tcPr>
            <w:tcW w:w="4005" w:type="dxa"/>
            <w:tcBorders>
              <w:start w:val="single" w:sz="2" w:space="0" w:color="000000"/>
            </w:tcBorders>
            <w:shd w:fill="auto" w:val="clear"/>
            <w:tcMar>
              <w:start w:w="42" w:type="dxa"/>
            </w:tcMar>
          </w:tcPr>
          <w:p>
            <w:pPr>
              <w:pStyle w:val="Normal"/>
              <w:snapToGrid w:val="false"/>
              <w:jc w:val="both"/>
              <w:rPr/>
            </w:pPr>
            <w:r>
              <w:rPr/>
            </w:r>
          </w:p>
          <w:p>
            <w:pPr>
              <w:pStyle w:val="Normal"/>
              <w:jc w:val="both"/>
              <w:rPr/>
            </w:pPr>
            <w:r>
              <w:rPr/>
            </w:r>
          </w:p>
          <w:p>
            <w:pPr>
              <w:pStyle w:val="Normal"/>
              <w:jc w:val="center"/>
              <w:rPr/>
            </w:pPr>
            <w:r>
              <w:rPr/>
              <w:t>Постоянные</w:t>
            </w:r>
          </w:p>
          <w:p>
            <w:pPr>
              <w:pStyle w:val="Normal"/>
              <w:jc w:val="center"/>
              <w:rPr/>
            </w:pPr>
            <w:r>
              <w:rPr/>
            </w:r>
          </w:p>
          <w:p>
            <w:pPr>
              <w:pStyle w:val="Normal"/>
              <w:jc w:val="center"/>
              <w:rPr/>
            </w:pPr>
            <w:r>
              <w:rPr/>
            </w:r>
          </w:p>
        </w:tc>
        <w:tc>
          <w:tcPr>
            <w:tcW w:w="13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10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  </w:t>
            </w:r>
          </w:p>
          <w:p>
            <w:pPr>
              <w:pStyle w:val="Normal"/>
              <w:rPr/>
            </w:pPr>
            <w:r>
              <w:rPr/>
            </w:r>
          </w:p>
        </w:tc>
      </w:tr>
      <w:tr>
        <w:trPr/>
        <w:tc>
          <w:tcPr>
            <w:tcW w:w="4005" w:type="dxa"/>
            <w:tcBorders>
              <w:start w:val="single" w:sz="2" w:space="0" w:color="000000"/>
            </w:tcBorders>
            <w:shd w:fill="auto" w:val="clear"/>
            <w:tcMar>
              <w:start w:w="42" w:type="dxa"/>
            </w:tcMar>
          </w:tcPr>
          <w:p>
            <w:pPr>
              <w:pStyle w:val="Normal"/>
              <w:jc w:val="both"/>
              <w:rPr/>
            </w:pPr>
            <w:r>
              <w:rPr/>
              <w:t>Давление грунта обратной засыпки</w:t>
            </w:r>
          </w:p>
          <w:p>
            <w:pPr>
              <w:pStyle w:val="Normal"/>
              <w:jc w:val="both"/>
              <w:rPr/>
            </w:pPr>
            <w:r>
              <w:rPr/>
            </w:r>
          </w:p>
          <w:p>
            <w:pPr>
              <w:pStyle w:val="Normal"/>
              <w:jc w:val="both"/>
              <w:rPr/>
            </w:pPr>
            <w:r>
              <w:rPr/>
            </w:r>
          </w:p>
        </w:tc>
        <w:tc>
          <w:tcPr>
            <w:tcW w:w="1395" w:type="dxa"/>
            <w:tcBorders>
              <w:start w:val="single" w:sz="2" w:space="0" w:color="000000"/>
            </w:tcBorders>
            <w:shd w:fill="auto" w:val="clear"/>
            <w:tcMar>
              <w:start w:w="42" w:type="dxa"/>
            </w:tcMar>
          </w:tcPr>
          <w:p>
            <w:pPr>
              <w:pStyle w:val="Normal"/>
              <w:jc w:val="center"/>
              <w:rPr/>
            </w:pPr>
            <w:r>
              <w:rPr/>
              <w:t xml:space="preserve">1,15 </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10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          </w:t>
            </w:r>
            <w:r>
              <w:rPr/>
              <w:t>-</w:t>
            </w:r>
          </w:p>
          <w:p>
            <w:pPr>
              <w:pStyle w:val="Normal"/>
              <w:rPr/>
            </w:pPr>
            <w:r>
              <w:rPr/>
            </w:r>
          </w:p>
        </w:tc>
      </w:tr>
      <w:tr>
        <w:trPr/>
        <w:tc>
          <w:tcPr>
            <w:tcW w:w="4005" w:type="dxa"/>
            <w:tcBorders>
              <w:start w:val="single" w:sz="2" w:space="0" w:color="000000"/>
            </w:tcBorders>
            <w:shd w:fill="auto" w:val="clear"/>
            <w:tcMar>
              <w:start w:w="42" w:type="dxa"/>
            </w:tcMar>
          </w:tcPr>
          <w:p>
            <w:pPr>
              <w:pStyle w:val="Normal"/>
              <w:jc w:val="both"/>
              <w:rPr/>
            </w:pPr>
            <w:r>
              <w:rPr/>
              <w:t>Вес грунта обсыпки</w:t>
            </w:r>
          </w:p>
          <w:p>
            <w:pPr>
              <w:pStyle w:val="Normal"/>
              <w:jc w:val="both"/>
              <w:rPr/>
            </w:pPr>
            <w:r>
              <w:rPr/>
            </w:r>
          </w:p>
          <w:p>
            <w:pPr>
              <w:pStyle w:val="Normal"/>
              <w:jc w:val="both"/>
              <w:rPr/>
            </w:pPr>
            <w:r>
              <w:rPr/>
            </w:r>
          </w:p>
        </w:tc>
        <w:tc>
          <w:tcPr>
            <w:tcW w:w="1395" w:type="dxa"/>
            <w:tcBorders>
              <w:start w:val="single" w:sz="2" w:space="0" w:color="000000"/>
            </w:tcBorders>
            <w:shd w:fill="auto" w:val="clear"/>
            <w:tcMar>
              <w:start w:w="42" w:type="dxa"/>
            </w:tcMar>
          </w:tcPr>
          <w:p>
            <w:pPr>
              <w:pStyle w:val="Normal"/>
              <w:jc w:val="center"/>
              <w:rPr/>
            </w:pPr>
            <w:r>
              <w:rPr/>
              <w:t xml:space="preserve">1,15 </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10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          </w:t>
            </w:r>
            <w:r>
              <w:rPr/>
              <w:t>-</w:t>
            </w:r>
          </w:p>
          <w:p>
            <w:pPr>
              <w:pStyle w:val="Normal"/>
              <w:rPr/>
            </w:pPr>
            <w:r>
              <w:rPr/>
            </w:r>
          </w:p>
        </w:tc>
      </w:tr>
      <w:tr>
        <w:trPr/>
        <w:tc>
          <w:tcPr>
            <w:tcW w:w="4005" w:type="dxa"/>
            <w:tcBorders>
              <w:start w:val="single" w:sz="2" w:space="0" w:color="000000"/>
            </w:tcBorders>
            <w:shd w:fill="auto" w:val="clear"/>
            <w:tcMar>
              <w:start w:w="42" w:type="dxa"/>
            </w:tcMar>
          </w:tcPr>
          <w:p>
            <w:pPr>
              <w:pStyle w:val="Normal"/>
              <w:jc w:val="both"/>
              <w:rPr/>
            </w:pPr>
            <w:r>
              <w:rPr/>
              <w:t>Собственный вес конструкции</w:t>
            </w:r>
          </w:p>
          <w:p>
            <w:pPr>
              <w:pStyle w:val="Normal"/>
              <w:jc w:val="both"/>
              <w:rPr/>
            </w:pPr>
            <w:r>
              <w:rPr/>
            </w:r>
          </w:p>
          <w:p>
            <w:pPr>
              <w:pStyle w:val="Normal"/>
              <w:jc w:val="both"/>
              <w:rPr/>
            </w:pPr>
            <w:r>
              <w:rPr/>
            </w:r>
          </w:p>
        </w:tc>
        <w:tc>
          <w:tcPr>
            <w:tcW w:w="1395" w:type="dxa"/>
            <w:tcBorders>
              <w:start w:val="single" w:sz="2" w:space="0" w:color="000000"/>
            </w:tcBorders>
            <w:shd w:fill="auto" w:val="clear"/>
            <w:tcMar>
              <w:start w:w="42" w:type="dxa"/>
            </w:tcMar>
          </w:tcPr>
          <w:p>
            <w:pPr>
              <w:pStyle w:val="Normal"/>
              <w:jc w:val="center"/>
              <w:rPr/>
            </w:pPr>
            <w:r>
              <w:rPr/>
              <w:t>1,1</w:t>
            </w:r>
          </w:p>
          <w:p>
            <w:pPr>
              <w:pStyle w:val="Normal"/>
              <w:jc w:val="center"/>
              <w:rPr/>
            </w:pPr>
            <w:r>
              <w:rPr/>
              <w:t>(0,9)</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w:t>
            </w:r>
          </w:p>
          <w:p>
            <w:pPr>
              <w:pStyle w:val="Normal"/>
              <w:rPr/>
            </w:pPr>
            <w:r>
              <w:rPr/>
            </w:r>
          </w:p>
        </w:tc>
        <w:tc>
          <w:tcPr>
            <w:tcW w:w="1100" w:type="dxa"/>
            <w:tcBorders>
              <w:start w:val="single" w:sz="2" w:space="0" w:color="000000"/>
              <w:end w:val="single" w:sz="2" w:space="0" w:color="000000"/>
              <w:insideV w:val="single" w:sz="2" w:space="0" w:color="000000"/>
            </w:tcBorders>
            <w:shd w:fill="auto" w:val="clear"/>
            <w:tcMar>
              <w:start w:w="42" w:type="dxa"/>
            </w:tcMar>
          </w:tcPr>
          <w:p>
            <w:pPr>
              <w:pStyle w:val="Normal"/>
              <w:rPr/>
            </w:pPr>
            <w:r>
              <w:rPr/>
              <w:t>+</w:t>
            </w:r>
          </w:p>
          <w:p>
            <w:pPr>
              <w:pStyle w:val="Normal"/>
              <w:rPr/>
            </w:pPr>
            <w:r>
              <w:rPr/>
            </w:r>
          </w:p>
        </w:tc>
      </w:tr>
      <w:tr>
        <w:trPr/>
        <w:tc>
          <w:tcPr>
            <w:tcW w:w="4005" w:type="dxa"/>
            <w:tcBorders>
              <w:start w:val="single" w:sz="2" w:space="0" w:color="000000"/>
            </w:tcBorders>
            <w:shd w:fill="auto" w:val="clear"/>
            <w:tcMar>
              <w:start w:w="42" w:type="dxa"/>
            </w:tcMar>
          </w:tcPr>
          <w:p>
            <w:pPr>
              <w:pStyle w:val="Normal"/>
              <w:rPr/>
            </w:pPr>
            <w:r>
              <w:rPr/>
              <w:t>Временные длительные</w:t>
            </w:r>
          </w:p>
          <w:p>
            <w:pPr>
              <w:pStyle w:val="Normal"/>
              <w:rPr/>
            </w:pPr>
            <w:r>
              <w:rPr/>
            </w:r>
          </w:p>
          <w:p>
            <w:pPr>
              <w:pStyle w:val="Normal"/>
              <w:rPr/>
            </w:pPr>
            <w:r>
              <w:rPr/>
            </w:r>
          </w:p>
        </w:tc>
        <w:tc>
          <w:tcPr>
            <w:tcW w:w="13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10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  </w:t>
            </w:r>
          </w:p>
          <w:p>
            <w:pPr>
              <w:pStyle w:val="Normal"/>
              <w:rPr/>
            </w:pPr>
            <w:r>
              <w:rPr/>
            </w:r>
          </w:p>
        </w:tc>
      </w:tr>
      <w:tr>
        <w:trPr/>
        <w:tc>
          <w:tcPr>
            <w:tcW w:w="4005" w:type="dxa"/>
            <w:tcBorders>
              <w:start w:val="single" w:sz="2" w:space="0" w:color="000000"/>
            </w:tcBorders>
            <w:shd w:fill="auto" w:val="clear"/>
            <w:tcMar>
              <w:start w:w="42" w:type="dxa"/>
            </w:tcMar>
          </w:tcPr>
          <w:p>
            <w:pPr>
              <w:pStyle w:val="Normal"/>
              <w:jc w:val="both"/>
              <w:rPr/>
            </w:pPr>
            <w:r>
              <w:rPr/>
              <w:t>Давление технологической жидкости</w:t>
            </w:r>
          </w:p>
          <w:p>
            <w:pPr>
              <w:pStyle w:val="Normal"/>
              <w:jc w:val="both"/>
              <w:rPr/>
            </w:pPr>
            <w:r>
              <w:rPr/>
            </w:r>
          </w:p>
          <w:p>
            <w:pPr>
              <w:pStyle w:val="Normal"/>
              <w:jc w:val="both"/>
              <w:rPr/>
            </w:pPr>
            <w:r>
              <w:rPr/>
            </w:r>
          </w:p>
        </w:tc>
        <w:tc>
          <w:tcPr>
            <w:tcW w:w="1395" w:type="dxa"/>
            <w:tcBorders>
              <w:start w:val="single" w:sz="2" w:space="0" w:color="000000"/>
            </w:tcBorders>
            <w:shd w:fill="auto" w:val="clear"/>
            <w:tcMar>
              <w:start w:w="42" w:type="dxa"/>
            </w:tcMar>
          </w:tcPr>
          <w:p>
            <w:pPr>
              <w:pStyle w:val="Normal"/>
              <w:jc w:val="center"/>
              <w:rPr/>
            </w:pPr>
            <w:r>
              <w:rPr/>
              <w:t xml:space="preserve">1 </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 xml:space="preserve">См. </w:t>
            </w:r>
          </w:p>
          <w:p>
            <w:pPr>
              <w:pStyle w:val="Normal"/>
              <w:jc w:val="center"/>
              <w:rPr/>
            </w:pPr>
            <w:r>
              <w:rPr/>
              <w:t xml:space="preserve">примеч. 2 </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 xml:space="preserve">См. </w:t>
            </w:r>
          </w:p>
          <w:p>
            <w:pPr>
              <w:pStyle w:val="Normal"/>
              <w:jc w:val="center"/>
              <w:rPr/>
            </w:pPr>
            <w:r>
              <w:rPr/>
              <w:t xml:space="preserve">примеч. 2 </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100" w:type="dxa"/>
            <w:tcBorders>
              <w:start w:val="single" w:sz="2" w:space="0" w:color="000000"/>
              <w:end w:val="single" w:sz="2" w:space="0" w:color="000000"/>
              <w:insideV w:val="single" w:sz="2" w:space="0" w:color="000000"/>
            </w:tcBorders>
            <w:shd w:fill="auto" w:val="clear"/>
            <w:tcMar>
              <w:start w:w="42" w:type="dxa"/>
            </w:tcMar>
          </w:tcPr>
          <w:p>
            <w:pPr>
              <w:pStyle w:val="Normal"/>
              <w:jc w:val="center"/>
              <w:rPr/>
            </w:pPr>
            <w:r>
              <w:rPr/>
              <w:t>+</w:t>
            </w:r>
          </w:p>
          <w:p>
            <w:pPr>
              <w:pStyle w:val="Normal"/>
              <w:jc w:val="center"/>
              <w:rPr/>
            </w:pPr>
            <w:r>
              <w:rPr/>
            </w:r>
          </w:p>
        </w:tc>
      </w:tr>
      <w:tr>
        <w:trPr/>
        <w:tc>
          <w:tcPr>
            <w:tcW w:w="4005" w:type="dxa"/>
            <w:tcBorders>
              <w:start w:val="single" w:sz="2" w:space="0" w:color="000000"/>
            </w:tcBorders>
            <w:shd w:fill="auto" w:val="clear"/>
            <w:tcMar>
              <w:start w:w="42" w:type="dxa"/>
            </w:tcMar>
          </w:tcPr>
          <w:p>
            <w:pPr>
              <w:pStyle w:val="Normal"/>
              <w:jc w:val="both"/>
              <w:rPr/>
            </w:pPr>
            <w:r>
              <w:rPr/>
              <w:t>Давление грунтовых вод</w:t>
            </w:r>
          </w:p>
          <w:p>
            <w:pPr>
              <w:pStyle w:val="Normal"/>
              <w:jc w:val="both"/>
              <w:rPr/>
            </w:pPr>
            <w:r>
              <w:rPr/>
            </w:r>
          </w:p>
          <w:p>
            <w:pPr>
              <w:pStyle w:val="Normal"/>
              <w:jc w:val="both"/>
              <w:rPr/>
            </w:pPr>
            <w:r>
              <w:rPr/>
            </w:r>
          </w:p>
        </w:tc>
        <w:tc>
          <w:tcPr>
            <w:tcW w:w="1395" w:type="dxa"/>
            <w:tcBorders>
              <w:start w:val="single" w:sz="2" w:space="0" w:color="000000"/>
            </w:tcBorders>
            <w:shd w:fill="auto" w:val="clear"/>
            <w:tcMar>
              <w:start w:w="42" w:type="dxa"/>
            </w:tcMar>
          </w:tcPr>
          <w:p>
            <w:pPr>
              <w:pStyle w:val="Normal"/>
              <w:jc w:val="center"/>
              <w:rPr/>
            </w:pPr>
            <w:r>
              <w:rPr/>
              <w:t xml:space="preserve">1,1 </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10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           </w:t>
            </w:r>
            <w:r>
              <w:rPr/>
              <w:t>-</w:t>
            </w:r>
          </w:p>
          <w:p>
            <w:pPr>
              <w:pStyle w:val="Normal"/>
              <w:rPr/>
            </w:pPr>
            <w:r>
              <w:rPr/>
            </w:r>
          </w:p>
        </w:tc>
      </w:tr>
      <w:tr>
        <w:trPr/>
        <w:tc>
          <w:tcPr>
            <w:tcW w:w="4005" w:type="dxa"/>
            <w:tcBorders>
              <w:start w:val="single" w:sz="2" w:space="0" w:color="000000"/>
            </w:tcBorders>
            <w:shd w:fill="auto" w:val="clear"/>
            <w:tcMar>
              <w:start w:w="42" w:type="dxa"/>
            </w:tcMar>
          </w:tcPr>
          <w:p>
            <w:pPr>
              <w:pStyle w:val="Normal"/>
              <w:jc w:val="both"/>
              <w:rPr/>
            </w:pPr>
            <w:r>
              <w:rPr/>
              <w:t>Температурные воздействия от технологической жидкости</w:t>
            </w:r>
          </w:p>
          <w:p>
            <w:pPr>
              <w:pStyle w:val="Normal"/>
              <w:jc w:val="both"/>
              <w:rPr/>
            </w:pPr>
            <w:r>
              <w:rPr/>
            </w:r>
          </w:p>
          <w:p>
            <w:pPr>
              <w:pStyle w:val="Normal"/>
              <w:jc w:val="both"/>
              <w:rPr/>
            </w:pPr>
            <w:r>
              <w:rPr/>
            </w:r>
          </w:p>
        </w:tc>
        <w:tc>
          <w:tcPr>
            <w:tcW w:w="1395" w:type="dxa"/>
            <w:tcBorders>
              <w:start w:val="single" w:sz="2" w:space="0" w:color="000000"/>
            </w:tcBorders>
            <w:shd w:fill="auto" w:val="clear"/>
            <w:tcMar>
              <w:start w:w="42" w:type="dxa"/>
            </w:tcMar>
          </w:tcPr>
          <w:p>
            <w:pPr>
              <w:pStyle w:val="Normal"/>
              <w:jc w:val="center"/>
              <w:rPr/>
            </w:pPr>
            <w:r>
              <w:rPr/>
              <w:t xml:space="preserve">1,2 </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100" w:type="dxa"/>
            <w:tcBorders>
              <w:start w:val="single" w:sz="2" w:space="0" w:color="000000"/>
              <w:end w:val="single" w:sz="2" w:space="0" w:color="000000"/>
              <w:insideV w:val="single" w:sz="2" w:space="0" w:color="000000"/>
            </w:tcBorders>
            <w:shd w:fill="auto" w:val="clear"/>
            <w:tcMar>
              <w:start w:w="42" w:type="dxa"/>
            </w:tcMar>
          </w:tcPr>
          <w:p>
            <w:pPr>
              <w:pStyle w:val="Normal"/>
              <w:jc w:val="center"/>
              <w:rPr/>
            </w:pPr>
            <w:r>
              <w:rPr/>
              <w:t>+</w:t>
            </w:r>
          </w:p>
          <w:p>
            <w:pPr>
              <w:pStyle w:val="Normal"/>
              <w:jc w:val="center"/>
              <w:rPr/>
            </w:pPr>
            <w:r>
              <w:rPr/>
            </w:r>
          </w:p>
        </w:tc>
      </w:tr>
      <w:tr>
        <w:trPr/>
        <w:tc>
          <w:tcPr>
            <w:tcW w:w="4005" w:type="dxa"/>
            <w:tcBorders>
              <w:start w:val="single" w:sz="2" w:space="0" w:color="000000"/>
            </w:tcBorders>
            <w:shd w:fill="auto" w:val="clear"/>
            <w:tcMar>
              <w:start w:w="42" w:type="dxa"/>
            </w:tcMar>
          </w:tcPr>
          <w:p>
            <w:pPr>
              <w:pStyle w:val="Normal"/>
              <w:rPr/>
            </w:pPr>
            <w:r>
              <w:rPr/>
              <w:t>Кратковременные</w:t>
            </w:r>
          </w:p>
          <w:p>
            <w:pPr>
              <w:pStyle w:val="Normal"/>
              <w:rPr/>
            </w:pPr>
            <w:r>
              <w:rPr/>
            </w:r>
          </w:p>
          <w:p>
            <w:pPr>
              <w:pStyle w:val="Normal"/>
              <w:rPr/>
            </w:pPr>
            <w:r>
              <w:rPr/>
            </w:r>
          </w:p>
        </w:tc>
        <w:tc>
          <w:tcPr>
            <w:tcW w:w="13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10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  </w:t>
            </w:r>
          </w:p>
          <w:p>
            <w:pPr>
              <w:pStyle w:val="Normal"/>
              <w:rPr/>
            </w:pPr>
            <w:r>
              <w:rPr/>
            </w:r>
          </w:p>
        </w:tc>
      </w:tr>
      <w:tr>
        <w:trPr/>
        <w:tc>
          <w:tcPr>
            <w:tcW w:w="4005" w:type="dxa"/>
            <w:tcBorders>
              <w:start w:val="single" w:sz="2" w:space="0" w:color="000000"/>
            </w:tcBorders>
            <w:shd w:fill="auto" w:val="clear"/>
            <w:tcMar>
              <w:start w:w="42" w:type="dxa"/>
            </w:tcMar>
          </w:tcPr>
          <w:p>
            <w:pPr>
              <w:pStyle w:val="Normal"/>
              <w:ind w:firstLine="135"/>
              <w:jc w:val="both"/>
              <w:rPr/>
            </w:pPr>
            <w:r>
              <w:rPr/>
              <w:t>Нагрузки на призме обрушения грунта обратной засыпки в основании обваловки по фактическим данным, но не менее 10 МПа (1000 кгс/кв.м)</w:t>
            </w:r>
          </w:p>
          <w:p>
            <w:pPr>
              <w:pStyle w:val="Normal"/>
              <w:ind w:firstLine="135"/>
              <w:jc w:val="both"/>
              <w:rPr/>
            </w:pPr>
            <w:r>
              <w:rPr/>
            </w:r>
          </w:p>
          <w:p>
            <w:pPr>
              <w:pStyle w:val="Normal"/>
              <w:ind w:firstLine="135"/>
              <w:jc w:val="both"/>
              <w:rPr/>
            </w:pPr>
            <w:r>
              <w:rPr/>
            </w:r>
          </w:p>
        </w:tc>
        <w:tc>
          <w:tcPr>
            <w:tcW w:w="1395" w:type="dxa"/>
            <w:tcBorders>
              <w:start w:val="single" w:sz="2" w:space="0" w:color="000000"/>
            </w:tcBorders>
            <w:shd w:fill="auto" w:val="clear"/>
            <w:tcMar>
              <w:start w:w="42" w:type="dxa"/>
            </w:tcMar>
          </w:tcPr>
          <w:p>
            <w:pPr>
              <w:pStyle w:val="Normal"/>
              <w:jc w:val="center"/>
              <w:rPr/>
            </w:pPr>
            <w:r>
              <w:rPr/>
              <w:t xml:space="preserve">1,3 </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10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           </w:t>
            </w:r>
            <w:r>
              <w:rPr/>
              <w:t>-</w:t>
            </w:r>
          </w:p>
          <w:p>
            <w:pPr>
              <w:pStyle w:val="Normal"/>
              <w:rPr/>
            </w:pPr>
            <w:r>
              <w:rPr/>
            </w:r>
          </w:p>
        </w:tc>
      </w:tr>
      <w:tr>
        <w:trPr/>
        <w:tc>
          <w:tcPr>
            <w:tcW w:w="4005" w:type="dxa"/>
            <w:tcBorders>
              <w:start w:val="single" w:sz="2" w:space="0" w:color="000000"/>
            </w:tcBorders>
            <w:shd w:fill="auto" w:val="clear"/>
            <w:tcMar>
              <w:start w:w="42" w:type="dxa"/>
            </w:tcMar>
          </w:tcPr>
          <w:p>
            <w:pPr>
              <w:pStyle w:val="Normal"/>
              <w:jc w:val="both"/>
              <w:rPr/>
            </w:pPr>
            <w:r>
              <w:rPr/>
              <w:t>Давление воды при гидравлическом испытании</w:t>
            </w:r>
          </w:p>
          <w:p>
            <w:pPr>
              <w:pStyle w:val="Normal"/>
              <w:jc w:val="both"/>
              <w:rPr/>
            </w:pPr>
            <w:r>
              <w:rPr/>
            </w:r>
          </w:p>
          <w:p>
            <w:pPr>
              <w:pStyle w:val="Normal"/>
              <w:jc w:val="both"/>
              <w:rPr/>
            </w:pPr>
            <w:r>
              <w:rPr/>
            </w:r>
          </w:p>
        </w:tc>
        <w:tc>
          <w:tcPr>
            <w:tcW w:w="1395" w:type="dxa"/>
            <w:tcBorders>
              <w:start w:val="single" w:sz="2" w:space="0" w:color="000000"/>
            </w:tcBorders>
            <w:shd w:fill="auto" w:val="clear"/>
            <w:tcMar>
              <w:start w:w="42" w:type="dxa"/>
            </w:tcMar>
          </w:tcPr>
          <w:p>
            <w:pPr>
              <w:pStyle w:val="Normal"/>
              <w:jc w:val="center"/>
              <w:rPr/>
            </w:pPr>
            <w:r>
              <w:rPr/>
              <w:t xml:space="preserve">1 </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10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          </w:t>
            </w:r>
            <w:r>
              <w:rPr/>
              <w:t>-</w:t>
            </w:r>
          </w:p>
          <w:p>
            <w:pPr>
              <w:pStyle w:val="Normal"/>
              <w:rPr/>
            </w:pPr>
            <w:r>
              <w:rPr/>
            </w:r>
          </w:p>
        </w:tc>
      </w:tr>
      <w:tr>
        <w:trPr/>
        <w:tc>
          <w:tcPr>
            <w:tcW w:w="4005" w:type="dxa"/>
            <w:tcBorders>
              <w:start w:val="single" w:sz="2" w:space="0" w:color="000000"/>
            </w:tcBorders>
            <w:shd w:fill="auto" w:val="clear"/>
            <w:tcMar>
              <w:start w:w="42" w:type="dxa"/>
            </w:tcMar>
          </w:tcPr>
          <w:p>
            <w:pPr>
              <w:pStyle w:val="Normal"/>
              <w:jc w:val="both"/>
              <w:rPr/>
            </w:pPr>
            <w:r>
              <w:rPr/>
              <w:t>Нагрузка на покрытии и обваловке, включая временную нагрузку или вакуум, возникающий при опорожнении, а также снеговую, не более 2,5 МПа (250 кгс/кв.м)</w:t>
            </w:r>
          </w:p>
          <w:p>
            <w:pPr>
              <w:pStyle w:val="Normal"/>
              <w:jc w:val="both"/>
              <w:rPr/>
            </w:pPr>
            <w:r>
              <w:rPr/>
            </w:r>
          </w:p>
          <w:p>
            <w:pPr>
              <w:pStyle w:val="Normal"/>
              <w:jc w:val="both"/>
              <w:rPr/>
            </w:pPr>
            <w:r>
              <w:rPr/>
            </w:r>
          </w:p>
        </w:tc>
        <w:tc>
          <w:tcPr>
            <w:tcW w:w="1395" w:type="dxa"/>
            <w:tcBorders>
              <w:start w:val="single" w:sz="2" w:space="0" w:color="000000"/>
            </w:tcBorders>
            <w:shd w:fill="auto" w:val="clear"/>
            <w:tcMar>
              <w:start w:w="42" w:type="dxa"/>
            </w:tcMar>
          </w:tcPr>
          <w:p>
            <w:pPr>
              <w:pStyle w:val="Normal"/>
              <w:jc w:val="center"/>
              <w:rPr/>
            </w:pPr>
            <w:r>
              <w:rPr/>
              <w:t xml:space="preserve">1,2 </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tcBorders>
            <w:shd w:fill="auto" w:val="clear"/>
            <w:tcMar>
              <w:start w:w="42" w:type="dxa"/>
            </w:tcMar>
          </w:tcPr>
          <w:p>
            <w:pPr>
              <w:pStyle w:val="Normal"/>
              <w:rPr/>
            </w:pPr>
            <w:r>
              <w:rPr/>
              <w:t xml:space="preserve">           </w:t>
            </w:r>
            <w:r>
              <w:rPr/>
              <w:t>-</w:t>
            </w:r>
          </w:p>
          <w:p>
            <w:pPr>
              <w:pStyle w:val="Normal"/>
              <w:rPr/>
            </w:pPr>
            <w:r>
              <w:rPr/>
            </w:r>
          </w:p>
        </w:tc>
        <w:tc>
          <w:tcPr>
            <w:tcW w:w="110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           </w:t>
            </w:r>
            <w:r>
              <w:rPr/>
              <w:t>-</w:t>
            </w:r>
          </w:p>
          <w:p>
            <w:pPr>
              <w:pStyle w:val="Normal"/>
              <w:rPr/>
            </w:pPr>
            <w:r>
              <w:rPr/>
            </w:r>
          </w:p>
        </w:tc>
      </w:tr>
      <w:tr>
        <w:trPr/>
        <w:tc>
          <w:tcPr>
            <w:tcW w:w="4005" w:type="dxa"/>
            <w:tcBorders>
              <w:start w:val="single" w:sz="2" w:space="0" w:color="000000"/>
              <w:bottom w:val="single" w:sz="2" w:space="0" w:color="000000"/>
              <w:insideH w:val="single" w:sz="2" w:space="0" w:color="000000"/>
            </w:tcBorders>
            <w:shd w:fill="auto" w:val="clear"/>
            <w:tcMar>
              <w:start w:w="42" w:type="dxa"/>
            </w:tcMar>
          </w:tcPr>
          <w:p>
            <w:pPr>
              <w:pStyle w:val="Normal"/>
              <w:jc w:val="both"/>
              <w:rPr/>
            </w:pPr>
            <w:r>
              <w:rPr/>
              <w:t>Вакуум при опорожнении закрытых емкостей по фактическим данным, но не более 0,1 МПа (100 кгс/кв.м)</w:t>
            </w:r>
          </w:p>
          <w:p>
            <w:pPr>
              <w:pStyle w:val="Normal"/>
              <w:jc w:val="both"/>
              <w:rPr/>
            </w:pPr>
            <w:r>
              <w:rPr/>
            </w:r>
          </w:p>
          <w:p>
            <w:pPr>
              <w:pStyle w:val="Normal"/>
              <w:jc w:val="both"/>
              <w:rPr/>
            </w:pPr>
            <w:r>
              <w:rPr/>
            </w:r>
          </w:p>
        </w:tc>
        <w:tc>
          <w:tcPr>
            <w:tcW w:w="1395"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1,1 </w:t>
            </w:r>
          </w:p>
          <w:p>
            <w:pPr>
              <w:pStyle w:val="Normal"/>
              <w:jc w:val="center"/>
              <w:rPr/>
            </w:pPr>
            <w:r>
              <w:rPr/>
            </w:r>
          </w:p>
        </w:tc>
        <w:tc>
          <w:tcPr>
            <w:tcW w:w="109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w:t>
            </w:r>
          </w:p>
          <w:p>
            <w:pPr>
              <w:pStyle w:val="Normal"/>
              <w:jc w:val="center"/>
              <w:rPr/>
            </w:pPr>
            <w:r>
              <w:rPr/>
            </w:r>
          </w:p>
        </w:tc>
        <w:tc>
          <w:tcPr>
            <w:tcW w:w="109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r>
              <w:rPr/>
              <w:t>-</w:t>
            </w:r>
          </w:p>
          <w:p>
            <w:pPr>
              <w:pStyle w:val="Normal"/>
              <w:rPr/>
            </w:pPr>
            <w:r>
              <w:rPr/>
            </w:r>
          </w:p>
        </w:tc>
        <w:tc>
          <w:tcPr>
            <w:tcW w:w="109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r>
              <w:rPr/>
              <w:t>-</w:t>
            </w:r>
          </w:p>
          <w:p>
            <w:pPr>
              <w:pStyle w:val="Normal"/>
              <w:rPr/>
            </w:pPr>
            <w:r>
              <w:rPr/>
            </w:r>
          </w:p>
        </w:tc>
        <w:tc>
          <w:tcPr>
            <w:tcW w:w="110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          </w:t>
            </w:r>
            <w:r>
              <w:rPr/>
              <w:t>-</w:t>
            </w:r>
          </w:p>
          <w:p>
            <w:pPr>
              <w:pStyle w:val="Normal"/>
              <w:rPr/>
            </w:pPr>
            <w:r>
              <w:rPr/>
            </w:r>
          </w:p>
        </w:tc>
      </w:tr>
    </w:tbl>
    <w:p>
      <w:pPr>
        <w:pStyle w:val="Normal"/>
        <w:jc w:val="both"/>
        <w:rPr/>
      </w:pPr>
      <w:r>
        <w:rPr/>
      </w:r>
    </w:p>
    <w:p>
      <w:pPr>
        <w:pStyle w:val="Normal"/>
        <w:ind w:firstLine="270"/>
        <w:jc w:val="both"/>
        <w:rPr/>
      </w:pPr>
      <w:r>
        <w:rPr/>
        <w:t>Примечания: 1. Знак «плюс» означает наличие нагрузки или воздействия в данном сочетании.</w:t>
      </w:r>
    </w:p>
    <w:p>
      <w:pPr>
        <w:pStyle w:val="Normal"/>
        <w:ind w:firstLine="270"/>
        <w:jc w:val="both"/>
        <w:rPr/>
      </w:pPr>
      <w:r>
        <w:rPr/>
      </w:r>
    </w:p>
    <w:p>
      <w:pPr>
        <w:pStyle w:val="Normal"/>
        <w:ind w:firstLine="225"/>
        <w:jc w:val="both"/>
        <w:rPr/>
      </w:pPr>
      <w:r>
        <w:rPr/>
        <w:t>2. Давление воды на ограждающие конструкции при гидравлических испытаниях учитывается как временная кратковременная нагрузка. Давление технологической жидкости на наружные стены в течение эксплуатации следует учитывать как временное длительное, при этом для сооружений, заглубленных в грунт, необходимо учитывать сочетание с одновременным давлением грунта обсыпки. Давление на внутренние стены многосекционных емкостных сооружений следует учитывать как временную кратковременную нагрузку, если при эксплуатации этих сооружений соседние секции будут опорожняться кратковременно.</w:t>
      </w:r>
    </w:p>
    <w:p>
      <w:pPr>
        <w:pStyle w:val="Normal"/>
        <w:ind w:firstLine="225"/>
        <w:jc w:val="both"/>
        <w:rPr/>
      </w:pPr>
      <w:r>
        <w:rPr/>
      </w:r>
    </w:p>
    <w:p>
      <w:pPr>
        <w:pStyle w:val="Normal"/>
        <w:ind w:firstLine="225"/>
        <w:jc w:val="both"/>
        <w:rPr/>
      </w:pPr>
      <w:r>
        <w:rPr/>
        <w:t>3. Нормативная нагрузка на стены и днища емкостных сооружений от давления технологической жидкости (или воды при гидравлическом испытании) должна приниматься равной гидростатическому давлению жидкости при максимальном проектном уровне. Расчетная нагрузка должна приниматься равной гидростатическому давлению жидкости при уровне жидкости на 100 мм выше кромки переливного устройства, а при его отсутствии  - до верха стен.</w:t>
      </w:r>
    </w:p>
    <w:p>
      <w:pPr>
        <w:pStyle w:val="Normal"/>
        <w:ind w:firstLine="225"/>
        <w:jc w:val="both"/>
        <w:rPr/>
      </w:pPr>
      <w:r>
        <w:rPr/>
      </w:r>
    </w:p>
    <w:p>
      <w:pPr>
        <w:pStyle w:val="Normal"/>
        <w:ind w:firstLine="225"/>
        <w:jc w:val="both"/>
        <w:rPr/>
      </w:pPr>
      <w:r>
        <w:rPr/>
        <w:t>4. На температурные воздействия следует рассчитывать конструкции сооружений, заполненных жидкостью с температурой выше 50 град.С или при перепаде температур более 30 град.С.</w:t>
      </w:r>
    </w:p>
    <w:p>
      <w:pPr>
        <w:pStyle w:val="Normal"/>
        <w:ind w:firstLine="225"/>
        <w:jc w:val="both"/>
        <w:rPr/>
      </w:pPr>
      <w:r>
        <w:rPr/>
      </w:r>
    </w:p>
    <w:p>
      <w:pPr>
        <w:pStyle w:val="Normal"/>
        <w:ind w:firstLine="225"/>
        <w:jc w:val="both"/>
        <w:rPr/>
      </w:pPr>
      <w:r>
        <w:rPr/>
        <w:t>5. Покрытия заглубленных или обвалованных емкостных сооружений надлежит рассчитывать на кратковременную нагрузку от строительных механизмов, перемещающихся по слою грунта толщиной не менее 0,3 м, без учета других временных нагрузок.</w:t>
      </w:r>
    </w:p>
    <w:p>
      <w:pPr>
        <w:pStyle w:val="Normal"/>
        <w:ind w:firstLine="225"/>
        <w:jc w:val="both"/>
        <w:rPr/>
      </w:pPr>
      <w:r>
        <w:rPr/>
      </w:r>
    </w:p>
    <w:p>
      <w:pPr>
        <w:pStyle w:val="Normal"/>
        <w:ind w:firstLine="225"/>
        <w:jc w:val="both"/>
        <w:rPr/>
      </w:pPr>
      <w:r>
        <w:rPr/>
        <w:t>6. Расчет элементов покрытия на внецентренное растяжение при эксплуатации от давления технологической жидкости в емкости следует выполнять на максимально возможную нагрузку на покрытие и давление на стены от грунта с коэффициентом перегрузки 0,9 и углом внутреннего трения с коэффициентом 1,1.</w:t>
      </w:r>
    </w:p>
    <w:p>
      <w:pPr>
        <w:pStyle w:val="Normal"/>
        <w:ind w:firstLine="225"/>
        <w:jc w:val="both"/>
        <w:rPr/>
      </w:pPr>
      <w:r>
        <w:rPr/>
      </w:r>
    </w:p>
    <w:p>
      <w:pPr>
        <w:pStyle w:val="Normal"/>
        <w:ind w:firstLine="225"/>
        <w:jc w:val="both"/>
        <w:rPr/>
      </w:pPr>
      <w:r>
        <w:rPr/>
        <w:t>7. Перегородки, не рассчитываемые на гидростатическое давление, должны быть проверены на ветровую нагрузку при опорожнении открытых или при строительстве закрытых емкостных сооружений.</w:t>
      </w:r>
    </w:p>
    <w:p>
      <w:pPr>
        <w:pStyle w:val="Normal"/>
        <w:ind w:firstLine="180"/>
        <w:jc w:val="both"/>
        <w:rPr/>
      </w:pPr>
      <w:r>
        <w:rPr/>
      </w:r>
    </w:p>
    <w:p>
      <w:pPr>
        <w:pStyle w:val="Normal"/>
        <w:ind w:firstLine="225"/>
        <w:jc w:val="both"/>
        <w:rPr/>
      </w:pPr>
      <w:r>
        <w:rPr/>
      </w:r>
    </w:p>
    <w:p>
      <w:pPr>
        <w:pStyle w:val="Normal"/>
        <w:ind w:firstLine="270"/>
        <w:jc w:val="both"/>
        <w:rPr/>
      </w:pPr>
      <w:r>
        <w:rPr/>
        <w:t>14.30. Расчетные уровни грунтовых вод на площадках водопроводных сооружений должны устанавливаться согласно долгосрочному прогнозу с учетом максимального уровня воды в водотоке или водоеме в зависимости от принятого процента обеспеченности по табл. 11. Прочность и устойчивость зданий и сооружений, расположенных в поймах водотоков и водоемов, при строительстве следует проверять при расчетном уровне воды 10 % обеспеченности.</w:t>
      </w:r>
    </w:p>
    <w:p>
      <w:pPr>
        <w:pStyle w:val="Normal"/>
        <w:ind w:firstLine="270"/>
        <w:jc w:val="both"/>
        <w:rPr/>
      </w:pPr>
      <w:r>
        <w:rPr/>
      </w:r>
    </w:p>
    <w:p>
      <w:pPr>
        <w:pStyle w:val="Normal"/>
        <w:ind w:firstLine="225"/>
        <w:jc w:val="both"/>
        <w:rPr/>
      </w:pPr>
      <w:r>
        <w:rPr/>
        <w:t>14.31. Расчет емкостных сооружений на устойчивость против всплывания допускается производить без учета временного повышения грунтовых вод в периоды паводка, если в проектах предусмотрены мероприятия, предотвращающие опорожнение сооружений в этот период, и контроль за уровнем грунтовых вод.</w:t>
      </w:r>
    </w:p>
    <w:p>
      <w:pPr>
        <w:pStyle w:val="Normal"/>
        <w:ind w:firstLine="225"/>
        <w:jc w:val="both"/>
        <w:rPr/>
      </w:pPr>
      <w:r>
        <w:rPr/>
      </w:r>
    </w:p>
    <w:p>
      <w:pPr>
        <w:pStyle w:val="Normal"/>
        <w:ind w:firstLine="225"/>
        <w:jc w:val="both"/>
        <w:rPr/>
      </w:pPr>
      <w:r>
        <w:rPr/>
        <w:t>Коэффициент устойчивости против всплывания следует принимать равным 1,1.</w:t>
      </w:r>
    </w:p>
    <w:p>
      <w:pPr>
        <w:pStyle w:val="Normal"/>
        <w:ind w:firstLine="225"/>
        <w:jc w:val="both"/>
        <w:rPr/>
      </w:pPr>
      <w:r>
        <w:rPr/>
      </w:r>
    </w:p>
    <w:p>
      <w:pPr>
        <w:pStyle w:val="Normal"/>
        <w:ind w:firstLine="225"/>
        <w:jc w:val="both"/>
        <w:rPr/>
      </w:pPr>
      <w:r>
        <w:rPr/>
        <w:t>14.32. Напряжения сжатия в бетоне стен цилиндрических емкостных сооружений от предварительного обжатия, после заполнения их водой при отсутствии обсыпки и с учетом всех потерь в напрягаемой арматуре, должны быть не менее: в нижней части, равной 1/3 высоты,  - 0,08 МПа (8 кгс/кв.см), в верхней части  - 0,05 МПа (5 кгс/кв.см).</w:t>
      </w:r>
    </w:p>
    <w:p>
      <w:pPr>
        <w:pStyle w:val="Normal"/>
        <w:ind w:firstLine="225"/>
        <w:jc w:val="both"/>
        <w:rPr/>
      </w:pPr>
      <w:r>
        <w:rPr/>
      </w:r>
    </w:p>
    <w:p>
      <w:pPr>
        <w:pStyle w:val="Heading"/>
        <w:jc w:val="center"/>
        <w:rPr/>
      </w:pPr>
      <w:r>
        <w:rPr/>
      </w:r>
    </w:p>
    <w:p>
      <w:pPr>
        <w:pStyle w:val="Heading"/>
        <w:jc w:val="center"/>
        <w:rPr/>
      </w:pPr>
      <w:r>
        <w:rPr/>
        <w:t>Антикоррозионная защита</w:t>
      </w:r>
    </w:p>
    <w:p>
      <w:pPr>
        <w:pStyle w:val="Heading"/>
        <w:jc w:val="center"/>
        <w:rPr/>
      </w:pPr>
      <w:r>
        <w:rPr/>
        <w:t xml:space="preserve">строительных конструкций </w:t>
      </w:r>
    </w:p>
    <w:p>
      <w:pPr>
        <w:pStyle w:val="Normal"/>
        <w:ind w:firstLine="270"/>
        <w:jc w:val="both"/>
        <w:rPr/>
      </w:pPr>
      <w:r>
        <w:rPr/>
      </w:r>
    </w:p>
    <w:p>
      <w:pPr>
        <w:pStyle w:val="Normal"/>
        <w:ind w:firstLine="270"/>
        <w:jc w:val="both"/>
        <w:rPr/>
      </w:pPr>
      <w:r>
        <w:rPr/>
      </w:r>
    </w:p>
    <w:p>
      <w:pPr>
        <w:pStyle w:val="Normal"/>
        <w:ind w:firstLine="225"/>
        <w:jc w:val="both"/>
        <w:rPr/>
      </w:pPr>
      <w:r>
        <w:rPr/>
        <w:t xml:space="preserve">14.33. Антикоррозионная защита строительных конструкций должна предусматриваться согласно </w:t>
      </w:r>
      <w:r>
        <w:rPr>
          <w:vanish/>
        </w:rPr>
        <w:t>#M12291 871001005</w:t>
      </w:r>
      <w:r>
        <w:rPr/>
        <w:t>СНиП 2.03.11-85</w:t>
      </w:r>
      <w:r>
        <w:rPr>
          <w:vanish/>
        </w:rPr>
        <w:t>#S</w:t>
      </w:r>
      <w:r>
        <w:rPr/>
        <w:t xml:space="preserve"> и п. 1.3.</w:t>
      </w:r>
    </w:p>
    <w:p>
      <w:pPr>
        <w:pStyle w:val="Normal"/>
        <w:ind w:firstLine="225"/>
        <w:jc w:val="both"/>
        <w:rPr/>
      </w:pPr>
      <w:r>
        <w:rPr/>
      </w:r>
    </w:p>
    <w:p>
      <w:pPr>
        <w:pStyle w:val="Normal"/>
        <w:ind w:firstLine="225"/>
        <w:jc w:val="both"/>
        <w:rPr/>
      </w:pPr>
      <w:r>
        <w:rPr/>
        <w:t>14.34. При проектировании подземных и наземных сооружений, располагаемых в зоне действия блуждающих токов, должны предусматриваться меры защиты железобетонных конструкций от электрохимической коррозии.</w:t>
      </w:r>
    </w:p>
    <w:p>
      <w:pPr>
        <w:pStyle w:val="Normal"/>
        <w:ind w:firstLine="225"/>
        <w:jc w:val="both"/>
        <w:rPr/>
      </w:pPr>
      <w:r>
        <w:rPr/>
      </w:r>
    </w:p>
    <w:p>
      <w:pPr>
        <w:pStyle w:val="Normal"/>
        <w:ind w:firstLine="225"/>
        <w:jc w:val="both"/>
        <w:rPr/>
      </w:pPr>
      <w:r>
        <w:rPr/>
        <w:t>14.35. Следует предусматривать возможность нанесения и периодического восстановления антикоррозионного покрытия элементов конструкции или принимать конструктивные решения, обеспечивающие сохранность сооружений на весь период эксплуатации.</w:t>
      </w:r>
    </w:p>
    <w:p>
      <w:pPr>
        <w:pStyle w:val="Normal"/>
        <w:ind w:firstLine="225"/>
        <w:jc w:val="both"/>
        <w:rPr/>
      </w:pPr>
      <w:r>
        <w:rPr/>
      </w:r>
    </w:p>
    <w:p>
      <w:pPr>
        <w:pStyle w:val="Normal"/>
        <w:ind w:firstLine="225"/>
        <w:jc w:val="both"/>
        <w:rPr/>
      </w:pPr>
      <w:r>
        <w:rPr/>
        <w:t xml:space="preserve">14.36. При проектировании емкостей для хранения агрессивных жидкостей следует предусматривать возможность регулярного наблюдения за состоянием наружных поверхностей стен и контроля герметичности днища. </w:t>
      </w:r>
    </w:p>
    <w:p>
      <w:pPr>
        <w:pStyle w:val="Normal"/>
        <w:ind w:firstLine="225"/>
        <w:jc w:val="both"/>
        <w:rPr/>
      </w:pPr>
      <w:r>
        <w:rPr/>
      </w:r>
    </w:p>
    <w:p>
      <w:pPr>
        <w:pStyle w:val="Normal"/>
        <w:ind w:firstLine="225"/>
        <w:jc w:val="both"/>
        <w:rPr/>
      </w:pPr>
      <w:r>
        <w:rPr/>
        <w:t>Не допускаются:</w:t>
      </w:r>
    </w:p>
    <w:p>
      <w:pPr>
        <w:pStyle w:val="Normal"/>
        <w:ind w:firstLine="225"/>
        <w:jc w:val="both"/>
        <w:rPr/>
      </w:pPr>
      <w:r>
        <w:rPr/>
      </w:r>
    </w:p>
    <w:p>
      <w:pPr>
        <w:pStyle w:val="Normal"/>
        <w:ind w:firstLine="225"/>
        <w:jc w:val="both"/>
        <w:rPr/>
      </w:pPr>
      <w:r>
        <w:rPr/>
        <w:t>опирание несущих стен зданий на стены емкостей;</w:t>
      </w:r>
    </w:p>
    <w:p>
      <w:pPr>
        <w:pStyle w:val="Normal"/>
        <w:ind w:firstLine="225"/>
        <w:jc w:val="both"/>
        <w:rPr/>
      </w:pPr>
      <w:r>
        <w:rPr/>
      </w:r>
    </w:p>
    <w:p>
      <w:pPr>
        <w:pStyle w:val="Normal"/>
        <w:ind w:firstLine="225"/>
        <w:jc w:val="both"/>
        <w:rPr/>
      </w:pPr>
      <w:r>
        <w:rPr/>
        <w:t>опирание на стены или днища емкостей междуэтажных перекрытий и колонн;</w:t>
      </w:r>
    </w:p>
    <w:p>
      <w:pPr>
        <w:pStyle w:val="Normal"/>
        <w:ind w:firstLine="225"/>
        <w:jc w:val="both"/>
        <w:rPr/>
      </w:pPr>
      <w:r>
        <w:rPr/>
      </w:r>
    </w:p>
    <w:p>
      <w:pPr>
        <w:pStyle w:val="Normal"/>
        <w:ind w:firstLine="225"/>
        <w:jc w:val="both"/>
        <w:rPr/>
      </w:pPr>
      <w:r>
        <w:rPr/>
        <w:t>устройство разделительных перегородок внутри емкости для хранения различных жидкостей;</w:t>
      </w:r>
    </w:p>
    <w:p>
      <w:pPr>
        <w:pStyle w:val="Normal"/>
        <w:ind w:firstLine="225"/>
        <w:jc w:val="both"/>
        <w:rPr/>
      </w:pPr>
      <w:r>
        <w:rPr/>
      </w:r>
    </w:p>
    <w:p>
      <w:pPr>
        <w:pStyle w:val="Normal"/>
        <w:ind w:firstLine="225"/>
        <w:jc w:val="both"/>
        <w:rPr/>
      </w:pPr>
      <w:r>
        <w:rPr/>
        <w:t>прокладка трубопроводов в толще бетона днищ;</w:t>
      </w:r>
    </w:p>
    <w:p>
      <w:pPr>
        <w:pStyle w:val="Normal"/>
        <w:ind w:firstLine="225"/>
        <w:jc w:val="both"/>
        <w:rPr/>
      </w:pPr>
      <w:r>
        <w:rPr/>
      </w:r>
    </w:p>
    <w:p>
      <w:pPr>
        <w:pStyle w:val="Normal"/>
        <w:ind w:firstLine="225"/>
        <w:jc w:val="both"/>
        <w:rPr/>
      </w:pPr>
      <w:r>
        <w:rPr/>
        <w:t>нарушение цельности антикоррозионных покрытий.</w:t>
      </w:r>
    </w:p>
    <w:p>
      <w:pPr>
        <w:pStyle w:val="Normal"/>
        <w:ind w:firstLine="225"/>
        <w:jc w:val="both"/>
        <w:rPr/>
      </w:pPr>
      <w:r>
        <w:rPr/>
      </w:r>
    </w:p>
    <w:p>
      <w:pPr>
        <w:pStyle w:val="Normal"/>
        <w:ind w:firstLine="225"/>
        <w:jc w:val="both"/>
        <w:rPr/>
      </w:pPr>
      <w:r>
        <w:rPr/>
      </w:r>
    </w:p>
    <w:p>
      <w:pPr>
        <w:pStyle w:val="Normal"/>
        <w:ind w:firstLine="225"/>
        <w:jc w:val="both"/>
        <w:rPr/>
      </w:pPr>
      <w:r>
        <w:rPr/>
        <w:t>Примечание. В случаях когда обеспечен доступ к элементам конструкций емкостей для регулярного осмотра и обеспечена возможность периодического восстановления антикоррозионного покрытия и ремонта конструкций, допускается опирание на стены емкостей площадок обслуживания и ограждающих конструкций помещения насосов для перекачки жидкостей из этих емкостей.</w:t>
      </w:r>
    </w:p>
    <w:p>
      <w:pPr>
        <w:pStyle w:val="Normal"/>
        <w:ind w:firstLine="225"/>
        <w:jc w:val="both"/>
        <w:rPr/>
      </w:pPr>
      <w:r>
        <w:rPr/>
      </w:r>
    </w:p>
    <w:p>
      <w:pPr>
        <w:pStyle w:val="Normal"/>
        <w:ind w:firstLine="225"/>
        <w:jc w:val="both"/>
        <w:rPr/>
      </w:pPr>
      <w:r>
        <w:rPr/>
      </w:r>
    </w:p>
    <w:p>
      <w:pPr>
        <w:pStyle w:val="Heading"/>
        <w:jc w:val="center"/>
        <w:rPr/>
      </w:pPr>
      <w:r>
        <w:rPr/>
        <w:t xml:space="preserve">Отопление и вентиляция </w:t>
      </w:r>
    </w:p>
    <w:p>
      <w:pPr>
        <w:pStyle w:val="Normal"/>
        <w:ind w:firstLine="360"/>
        <w:jc w:val="both"/>
        <w:rPr>
          <w:b/>
          <w:b/>
          <w:sz w:val="22"/>
        </w:rPr>
      </w:pPr>
      <w:r>
        <w:rPr>
          <w:b/>
          <w:sz w:val="22"/>
        </w:rPr>
      </w:r>
    </w:p>
    <w:p>
      <w:pPr>
        <w:pStyle w:val="Normal"/>
        <w:jc w:val="both"/>
        <w:rPr>
          <w:b/>
          <w:b/>
          <w:sz w:val="22"/>
        </w:rPr>
      </w:pPr>
      <w:r>
        <w:rPr>
          <w:b/>
          <w:sz w:val="22"/>
        </w:rPr>
      </w:r>
    </w:p>
    <w:p>
      <w:pPr>
        <w:pStyle w:val="Normal"/>
        <w:ind w:firstLine="225"/>
        <w:jc w:val="both"/>
        <w:rPr/>
      </w:pPr>
      <w:r>
        <w:rPr/>
        <w:t>14.37. Необходимый воздухообмен в производственных помещениях следует рассчитывать по количеству вредных выделений от открытых емкостных сооружений, оборудования, арматуры и коммуникаций. Количество вредных выделений надлежит принимать по данным технологической части проекта.</w:t>
      </w:r>
    </w:p>
    <w:p>
      <w:pPr>
        <w:pStyle w:val="Normal"/>
        <w:ind w:firstLine="225"/>
        <w:jc w:val="both"/>
        <w:rPr/>
      </w:pPr>
      <w:r>
        <w:rPr/>
      </w:r>
    </w:p>
    <w:p>
      <w:pPr>
        <w:pStyle w:val="Normal"/>
        <w:ind w:firstLine="225"/>
        <w:jc w:val="both"/>
        <w:rPr/>
      </w:pPr>
      <w:r>
        <w:rPr/>
        <w:t>При отсутствии данных следует использовать результаты натурных обследований аналогичных действующих сооружений. Для сооружений, по которым нет аналогов, допускается рассчитывать количество воздуха по кратности воздухообмена согласно табл. 44.</w:t>
      </w:r>
    </w:p>
    <w:p>
      <w:pPr>
        <w:pStyle w:val="Normal"/>
        <w:ind w:firstLine="225"/>
        <w:jc w:val="both"/>
        <w:rPr/>
      </w:pPr>
      <w:r>
        <w:rPr/>
      </w:r>
    </w:p>
    <w:p>
      <w:pPr>
        <w:pStyle w:val="Normal"/>
        <w:ind w:firstLine="225"/>
        <w:jc w:val="both"/>
        <w:rPr/>
      </w:pPr>
      <w:r>
        <w:rPr/>
        <w:t xml:space="preserve">14.38. Выброс воздуха постоянно действующей вентиляцией из помещения хлордозаторной надлежит осуществлять через трубу высотой на 2 м выше конька кровли самого высокого здания, находящегося в радиусе 15 м, постоянно действующей и аварийной вентиляцией из расходного склада хлора - через трубу высотой 15 м от уровня земли. При необходимости следует предусматривать очистку выбросного воздуха.        </w:t>
      </w:r>
    </w:p>
    <w:p>
      <w:pPr>
        <w:pStyle w:val="Normal"/>
        <w:ind w:firstLine="225"/>
        <w:jc w:val="both"/>
        <w:rPr/>
      </w:pPr>
      <w:r>
        <w:rPr/>
      </w:r>
    </w:p>
    <w:p>
      <w:pPr>
        <w:pStyle w:val="Normal"/>
        <w:ind w:firstLine="225"/>
        <w:jc w:val="both"/>
        <w:rPr/>
      </w:pPr>
      <w:r>
        <w:rPr/>
        <w:t>14.39. В помещении приготовления раствора хлорного железа кроме общеобменной вентиляции необходимо предусматривать местный отсос воздуха из бокса для вымывания хлорного железа из тары.</w:t>
      </w:r>
    </w:p>
    <w:p>
      <w:pPr>
        <w:pStyle w:val="Normal"/>
        <w:ind w:firstLine="225"/>
        <w:jc w:val="both"/>
        <w:rPr/>
      </w:pPr>
      <w:r>
        <w:rPr/>
      </w:r>
    </w:p>
    <w:p>
      <w:pPr>
        <w:pStyle w:val="Normal"/>
        <w:ind w:firstLine="225"/>
        <w:jc w:val="both"/>
        <w:rPr/>
      </w:pPr>
      <w:r>
        <w:rPr/>
        <w:t>14.40. В помещении приготовления раствора фтористого натрия кроме общеобменной вентиляции необходимо предусматривать местный отсос воздуха из шкафного укрытия для растаривания бочек с фтористым натрием. В сечениях рабочих проемов скорость воздуха должна быть не менее 0,5 м/с.</w:t>
      </w:r>
    </w:p>
    <w:p>
      <w:pPr>
        <w:pStyle w:val="Normal"/>
        <w:ind w:firstLine="225"/>
        <w:jc w:val="both"/>
        <w:rPr/>
      </w:pPr>
      <w:r>
        <w:rPr/>
      </w:r>
    </w:p>
    <w:p>
      <w:pPr>
        <w:pStyle w:val="Normal"/>
        <w:ind w:firstLine="225"/>
        <w:jc w:val="both"/>
        <w:rPr/>
      </w:pPr>
      <w:r>
        <w:rPr/>
      </w:r>
    </w:p>
    <w:p>
      <w:pPr>
        <w:pStyle w:val="Normal"/>
        <w:jc w:val="end"/>
        <w:rPr/>
      </w:pPr>
      <w:r>
        <w:rPr/>
        <w:t>Таблица 44</w:t>
      </w:r>
    </w:p>
    <w:p>
      <w:pPr>
        <w:pStyle w:val="Normal"/>
        <w:jc w:val="end"/>
        <w:rPr/>
      </w:pPr>
      <w:r>
        <w:rPr/>
      </w:r>
    </w:p>
    <w:p>
      <w:pPr>
        <w:pStyle w:val="Normal"/>
        <w:jc w:val="end"/>
        <w:rPr/>
      </w:pPr>
      <w:r>
        <w:rPr/>
      </w:r>
    </w:p>
    <w:tbl>
      <w:tblPr>
        <w:tblW w:w="9935"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1875"/>
        <w:gridCol w:w="1380"/>
        <w:gridCol w:w="795"/>
        <w:gridCol w:w="15"/>
        <w:gridCol w:w="1125"/>
        <w:gridCol w:w="15"/>
        <w:gridCol w:w="1785"/>
        <w:gridCol w:w="15"/>
        <w:gridCol w:w="1440"/>
        <w:gridCol w:w="15"/>
        <w:gridCol w:w="1460"/>
        <w:gridCol w:w="15"/>
      </w:tblGrid>
      <w:tr>
        <w:trPr/>
        <w:tc>
          <w:tcPr>
            <w:tcW w:w="1875" w:type="dxa"/>
            <w:tcBorders>
              <w:top w:val="single" w:sz="2" w:space="0" w:color="000000"/>
              <w:start w:val="single" w:sz="2" w:space="0" w:color="000000"/>
            </w:tcBorders>
            <w:shd w:fill="auto" w:val="clear"/>
            <w:tcMar>
              <w:start w:w="102" w:type="dxa"/>
            </w:tcMar>
          </w:tcPr>
          <w:p>
            <w:pPr>
              <w:pStyle w:val="Normal"/>
              <w:jc w:val="center"/>
              <w:rPr>
                <w:vanish/>
              </w:rPr>
            </w:pPr>
            <w:r>
              <w:rPr>
                <w:vanish/>
              </w:rPr>
              <w:t>#G0</w:t>
            </w:r>
          </w:p>
          <w:p>
            <w:pPr>
              <w:pStyle w:val="Normal"/>
              <w:jc w:val="center"/>
              <w:rPr/>
            </w:pPr>
            <w:r>
              <w:rPr/>
              <w:t xml:space="preserve">Сооружения и помещения </w:t>
            </w:r>
          </w:p>
          <w:p>
            <w:pPr>
              <w:pStyle w:val="Normal"/>
              <w:jc w:val="center"/>
              <w:rPr/>
            </w:pPr>
            <w:r>
              <w:rPr/>
            </w:r>
          </w:p>
        </w:tc>
        <w:tc>
          <w:tcPr>
            <w:tcW w:w="1380" w:type="dxa"/>
            <w:tcBorders>
              <w:top w:val="single" w:sz="2" w:space="0" w:color="000000"/>
              <w:start w:val="single" w:sz="2" w:space="0" w:color="000000"/>
            </w:tcBorders>
            <w:shd w:fill="auto" w:val="clear"/>
            <w:tcMar>
              <w:start w:w="102" w:type="dxa"/>
            </w:tcMar>
          </w:tcPr>
          <w:p>
            <w:pPr>
              <w:pStyle w:val="Normal"/>
              <w:snapToGrid w:val="false"/>
              <w:rPr/>
            </w:pPr>
            <w:r>
              <w:rPr/>
            </w:r>
          </w:p>
          <w:p>
            <w:pPr>
              <w:pStyle w:val="Normal"/>
              <w:rPr/>
            </w:pPr>
            <w:r>
              <w:rPr/>
              <w:t xml:space="preserve">Температура воздуха для </w:t>
            </w:r>
          </w:p>
          <w:p>
            <w:pPr>
              <w:pStyle w:val="Normal"/>
              <w:rPr/>
            </w:pPr>
            <w:r>
              <w:rPr/>
            </w:r>
          </w:p>
        </w:tc>
        <w:tc>
          <w:tcPr>
            <w:tcW w:w="1935" w:type="dxa"/>
            <w:gridSpan w:val="3"/>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Кратность воздухообмена, ч</w:t>
            </w:r>
          </w:p>
          <w:p>
            <w:pPr>
              <w:pStyle w:val="Normal"/>
              <w:rPr/>
            </w:pPr>
            <w:r>
              <w:rPr/>
            </w:r>
          </w:p>
          <w:p>
            <w:pPr>
              <w:pStyle w:val="Normal"/>
              <w:rPr/>
            </w:pPr>
            <w:r>
              <w:rPr/>
            </w:r>
          </w:p>
        </w:tc>
        <w:tc>
          <w:tcPr>
            <w:tcW w:w="1800" w:type="dxa"/>
            <w:gridSpan w:val="2"/>
            <w:tcBorders>
              <w:top w:val="single" w:sz="2" w:space="0" w:color="000000"/>
              <w:start w:val="single" w:sz="2" w:space="0" w:color="000000"/>
            </w:tcBorders>
            <w:shd w:fill="auto" w:val="clear"/>
            <w:tcMar>
              <w:start w:w="102" w:type="dxa"/>
            </w:tcMar>
          </w:tcPr>
          <w:p>
            <w:pPr>
              <w:pStyle w:val="Normal"/>
              <w:rPr/>
            </w:pPr>
            <w:r>
              <w:rPr/>
              <w:t xml:space="preserve">Группа санитарных характеристик </w:t>
            </w:r>
          </w:p>
          <w:p>
            <w:pPr>
              <w:pStyle w:val="Normal"/>
              <w:rPr/>
            </w:pPr>
            <w:r>
              <w:rPr/>
            </w:r>
          </w:p>
        </w:tc>
        <w:tc>
          <w:tcPr>
            <w:tcW w:w="1455" w:type="dxa"/>
            <w:gridSpan w:val="2"/>
            <w:tcBorders>
              <w:top w:val="single" w:sz="2" w:space="0" w:color="000000"/>
              <w:start w:val="single" w:sz="2" w:space="0" w:color="000000"/>
            </w:tcBorders>
            <w:shd w:fill="auto" w:val="clear"/>
            <w:tcMar>
              <w:start w:w="102" w:type="dxa"/>
            </w:tcMar>
          </w:tcPr>
          <w:p>
            <w:pPr>
              <w:pStyle w:val="Normal"/>
              <w:snapToGrid w:val="false"/>
              <w:rPr/>
            </w:pPr>
            <w:r>
              <w:rPr/>
            </w:r>
          </w:p>
          <w:p>
            <w:pPr>
              <w:pStyle w:val="Normal"/>
              <w:rPr/>
            </w:pPr>
            <w:r>
              <w:rPr/>
              <w:t xml:space="preserve">Нормируемый коэффициент </w:t>
            </w:r>
          </w:p>
          <w:p>
            <w:pPr>
              <w:pStyle w:val="Normal"/>
              <w:rPr/>
            </w:pPr>
            <w:r>
              <w:rPr/>
            </w:r>
          </w:p>
        </w:tc>
        <w:tc>
          <w:tcPr>
            <w:tcW w:w="1475" w:type="dxa"/>
            <w:gridSpan w:val="2"/>
            <w:tcBorders>
              <w:top w:val="single" w:sz="2" w:space="0" w:color="000000"/>
              <w:start w:val="single" w:sz="2" w:space="0" w:color="000000"/>
              <w:end w:val="single" w:sz="2" w:space="0" w:color="000000"/>
              <w:insideV w:val="single" w:sz="2" w:space="0" w:color="000000"/>
            </w:tcBorders>
            <w:shd w:fill="auto" w:val="clear"/>
            <w:tcMar>
              <w:start w:w="102" w:type="dxa"/>
            </w:tcMar>
          </w:tcPr>
          <w:p>
            <w:pPr>
              <w:pStyle w:val="Normal"/>
              <w:rPr/>
            </w:pPr>
            <w:r>
              <w:rPr/>
              <w:t xml:space="preserve">Освещенность при искусственном </w:t>
            </w:r>
          </w:p>
          <w:p>
            <w:pPr>
              <w:pStyle w:val="Normal"/>
              <w:rPr/>
            </w:pPr>
            <w:r>
              <w:rPr/>
            </w:r>
          </w:p>
        </w:tc>
      </w:tr>
      <w:tr>
        <w:trPr/>
        <w:tc>
          <w:tcPr>
            <w:tcW w:w="187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  </w:t>
            </w:r>
          </w:p>
          <w:p>
            <w:pPr>
              <w:pStyle w:val="Normal"/>
              <w:rPr/>
            </w:pPr>
            <w:r>
              <w:rPr/>
            </w:r>
          </w:p>
        </w:tc>
        <w:tc>
          <w:tcPr>
            <w:tcW w:w="138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систем отопления, °С </w:t>
            </w:r>
          </w:p>
          <w:p>
            <w:pPr>
              <w:pStyle w:val="Normal"/>
              <w:jc w:val="center"/>
              <w:rPr/>
            </w:pPr>
            <w:r>
              <w:rPr/>
            </w:r>
          </w:p>
        </w:tc>
        <w:tc>
          <w:tcPr>
            <w:tcW w:w="79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приток </w:t>
            </w:r>
          </w:p>
          <w:p>
            <w:pPr>
              <w:pStyle w:val="Normal"/>
              <w:rPr/>
            </w:pPr>
            <w:r>
              <w:rPr/>
            </w:r>
          </w:p>
        </w:tc>
        <w:tc>
          <w:tcPr>
            <w:tcW w:w="1140"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вытяжка </w:t>
            </w:r>
          </w:p>
          <w:p>
            <w:pPr>
              <w:pStyle w:val="Normal"/>
              <w:rPr/>
            </w:pPr>
            <w:r>
              <w:rPr/>
            </w:r>
          </w:p>
        </w:tc>
        <w:tc>
          <w:tcPr>
            <w:tcW w:w="1800"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производственных процессов </w:t>
            </w:r>
          </w:p>
          <w:p>
            <w:pPr>
              <w:pStyle w:val="Normal"/>
              <w:rPr/>
            </w:pPr>
            <w:r>
              <w:rPr/>
            </w:r>
          </w:p>
        </w:tc>
        <w:tc>
          <w:tcPr>
            <w:tcW w:w="1455"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естественного освещения КЕО при боковом освещении </w:t>
            </w:r>
          </w:p>
          <w:p>
            <w:pPr>
              <w:pStyle w:val="Normal"/>
              <w:rPr/>
            </w:pPr>
            <w:r>
              <w:rPr/>
            </w:r>
          </w:p>
        </w:tc>
        <w:tc>
          <w:tcPr>
            <w:tcW w:w="1475" w:type="dxa"/>
            <w:gridSpan w:val="2"/>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освещении ЛК </w:t>
            </w:r>
          </w:p>
          <w:p>
            <w:pPr>
              <w:pStyle w:val="Normal"/>
              <w:rPr/>
            </w:pPr>
            <w:r>
              <w:rPr/>
            </w:r>
          </w:p>
        </w:tc>
      </w:tr>
      <w:tr>
        <w:trPr/>
        <w:tc>
          <w:tcPr>
            <w:tcW w:w="1875" w:type="dxa"/>
            <w:tcBorders>
              <w:start w:val="single" w:sz="2" w:space="0" w:color="000000"/>
            </w:tcBorders>
            <w:shd w:fill="auto" w:val="clear"/>
            <w:tcMar>
              <w:start w:w="102" w:type="dxa"/>
            </w:tcMar>
          </w:tcPr>
          <w:p>
            <w:pPr>
              <w:pStyle w:val="Normal"/>
              <w:snapToGrid w:val="false"/>
              <w:jc w:val="both"/>
              <w:rPr/>
            </w:pPr>
            <w:r>
              <w:rPr/>
            </w:r>
          </w:p>
          <w:p>
            <w:pPr>
              <w:pStyle w:val="Normal"/>
              <w:jc w:val="both"/>
              <w:rPr/>
            </w:pPr>
            <w:r>
              <w:rPr/>
              <w:t>1. Машинные залы водозаборных сооружений</w:t>
            </w:r>
          </w:p>
          <w:p>
            <w:pPr>
              <w:pStyle w:val="Normal"/>
              <w:jc w:val="both"/>
              <w:rPr/>
            </w:pPr>
            <w:r>
              <w:rPr/>
            </w:r>
          </w:p>
          <w:p>
            <w:pPr>
              <w:pStyle w:val="Normal"/>
              <w:jc w:val="both"/>
              <w:rPr/>
            </w:pPr>
            <w:r>
              <w:rPr/>
            </w:r>
          </w:p>
        </w:tc>
        <w:tc>
          <w:tcPr>
            <w:tcW w:w="1380" w:type="dxa"/>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t xml:space="preserve">5 </w:t>
            </w:r>
          </w:p>
          <w:p>
            <w:pPr>
              <w:pStyle w:val="Normal"/>
              <w:jc w:val="center"/>
              <w:rPr/>
            </w:pPr>
            <w:r>
              <w:rPr/>
            </w:r>
          </w:p>
        </w:tc>
        <w:tc>
          <w:tcPr>
            <w:tcW w:w="795" w:type="dxa"/>
            <w:tcBorders>
              <w:start w:val="single" w:sz="2" w:space="0" w:color="000000"/>
            </w:tcBorders>
            <w:shd w:fill="auto" w:val="clear"/>
            <w:tcMar>
              <w:start w:w="102" w:type="dxa"/>
            </w:tcMar>
          </w:tcPr>
          <w:p>
            <w:pPr>
              <w:pStyle w:val="Normal"/>
              <w:snapToGrid w:val="false"/>
              <w:rPr/>
            </w:pPr>
            <w:r>
              <w:rPr/>
            </w:r>
          </w:p>
          <w:p>
            <w:pPr>
              <w:pStyle w:val="Normal"/>
              <w:rPr/>
            </w:pPr>
            <w:r>
              <w:rPr/>
              <w:t xml:space="preserve">1 </w:t>
            </w:r>
          </w:p>
          <w:p>
            <w:pPr>
              <w:pStyle w:val="Normal"/>
              <w:rPr/>
            </w:pPr>
            <w:r>
              <w:rPr/>
            </w:r>
          </w:p>
        </w:tc>
        <w:tc>
          <w:tcPr>
            <w:tcW w:w="1140" w:type="dxa"/>
            <w:gridSpan w:val="2"/>
            <w:tcBorders>
              <w:start w:val="single" w:sz="2" w:space="0" w:color="000000"/>
            </w:tcBorders>
            <w:shd w:fill="auto" w:val="clear"/>
            <w:tcMar>
              <w:start w:w="102" w:type="dxa"/>
            </w:tcMar>
          </w:tcPr>
          <w:p>
            <w:pPr>
              <w:pStyle w:val="Normal"/>
              <w:snapToGrid w:val="false"/>
              <w:rPr/>
            </w:pPr>
            <w:r>
              <w:rPr/>
            </w:r>
          </w:p>
          <w:p>
            <w:pPr>
              <w:pStyle w:val="Normal"/>
              <w:rPr/>
            </w:pPr>
            <w:r>
              <w:rPr/>
              <w:t xml:space="preserve">1 </w:t>
            </w:r>
          </w:p>
          <w:p>
            <w:pPr>
              <w:pStyle w:val="Normal"/>
              <w:rPr/>
            </w:pPr>
            <w:r>
              <w:rPr/>
            </w:r>
          </w:p>
        </w:tc>
        <w:tc>
          <w:tcPr>
            <w:tcW w:w="1800" w:type="dxa"/>
            <w:gridSpan w:val="2"/>
            <w:tcBorders>
              <w:start w:val="single" w:sz="2" w:space="0" w:color="000000"/>
            </w:tcBorders>
            <w:shd w:fill="auto" w:val="clear"/>
            <w:tcMar>
              <w:start w:w="102" w:type="dxa"/>
            </w:tcMar>
          </w:tcPr>
          <w:p>
            <w:pPr>
              <w:pStyle w:val="Normal"/>
              <w:snapToGrid w:val="false"/>
              <w:rPr/>
            </w:pPr>
            <w:r>
              <w:rPr/>
            </w:r>
          </w:p>
          <w:p>
            <w:pPr>
              <w:pStyle w:val="Normal"/>
              <w:rPr/>
            </w:pPr>
            <w:r>
              <w:rPr/>
              <w:t xml:space="preserve">I-б </w:t>
            </w:r>
          </w:p>
          <w:p>
            <w:pPr>
              <w:pStyle w:val="Normal"/>
              <w:rPr/>
            </w:pPr>
            <w:r>
              <w:rPr/>
            </w:r>
          </w:p>
        </w:tc>
        <w:tc>
          <w:tcPr>
            <w:tcW w:w="1455" w:type="dxa"/>
            <w:gridSpan w:val="2"/>
            <w:tcBorders>
              <w:start w:val="single" w:sz="2" w:space="0" w:color="000000"/>
            </w:tcBorders>
            <w:shd w:fill="auto" w:val="clear"/>
            <w:tcMar>
              <w:start w:w="102" w:type="dxa"/>
            </w:tcMar>
          </w:tcPr>
          <w:p>
            <w:pPr>
              <w:pStyle w:val="Normal"/>
              <w:snapToGrid w:val="false"/>
              <w:rPr/>
            </w:pPr>
            <w:r>
              <w:rPr/>
            </w:r>
          </w:p>
          <w:p>
            <w:pPr>
              <w:pStyle w:val="Normal"/>
              <w:rPr/>
            </w:pPr>
            <w:r>
              <w:rPr/>
              <w:t xml:space="preserve">0,3 </w:t>
            </w:r>
          </w:p>
          <w:p>
            <w:pPr>
              <w:pStyle w:val="Normal"/>
              <w:rPr/>
            </w:pPr>
            <w:r>
              <w:rPr/>
            </w:r>
          </w:p>
        </w:tc>
        <w:tc>
          <w:tcPr>
            <w:tcW w:w="1475" w:type="dxa"/>
            <w:gridSpan w:val="2"/>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t xml:space="preserve">75 </w:t>
            </w:r>
          </w:p>
          <w:p>
            <w:pPr>
              <w:pStyle w:val="Normal"/>
              <w:rPr/>
            </w:pPr>
            <w:r>
              <w:rPr/>
            </w:r>
          </w:p>
        </w:tc>
      </w:tr>
      <w:tr>
        <w:trPr/>
        <w:tc>
          <w:tcPr>
            <w:tcW w:w="1875" w:type="dxa"/>
            <w:tcBorders>
              <w:start w:val="single" w:sz="2" w:space="0" w:color="000000"/>
            </w:tcBorders>
            <w:shd w:fill="auto" w:val="clear"/>
            <w:tcMar>
              <w:start w:w="102" w:type="dxa"/>
            </w:tcMar>
          </w:tcPr>
          <w:p>
            <w:pPr>
              <w:pStyle w:val="Normal"/>
              <w:jc w:val="both"/>
              <w:rPr/>
            </w:pPr>
            <w:r>
              <w:rPr/>
              <w:t>2. Машинные залы насосных станций</w:t>
            </w:r>
          </w:p>
          <w:p>
            <w:pPr>
              <w:pStyle w:val="Normal"/>
              <w:jc w:val="both"/>
              <w:rPr/>
            </w:pPr>
            <w:r>
              <w:rPr/>
            </w:r>
          </w:p>
          <w:p>
            <w:pPr>
              <w:pStyle w:val="Normal"/>
              <w:jc w:val="both"/>
              <w:rPr/>
            </w:pPr>
            <w:r>
              <w:rPr/>
            </w:r>
          </w:p>
        </w:tc>
        <w:tc>
          <w:tcPr>
            <w:tcW w:w="1380" w:type="dxa"/>
            <w:tcBorders>
              <w:start w:val="single" w:sz="2" w:space="0" w:color="000000"/>
            </w:tcBorders>
            <w:shd w:fill="auto" w:val="clear"/>
            <w:tcMar>
              <w:start w:w="102" w:type="dxa"/>
            </w:tcMar>
          </w:tcPr>
          <w:p>
            <w:pPr>
              <w:pStyle w:val="Normal"/>
              <w:jc w:val="center"/>
              <w:rPr/>
            </w:pPr>
            <w:r>
              <w:rPr/>
              <w:t xml:space="preserve">5 </w:t>
            </w:r>
          </w:p>
          <w:p>
            <w:pPr>
              <w:pStyle w:val="Normal"/>
              <w:jc w:val="center"/>
              <w:rPr/>
            </w:pPr>
            <w:r>
              <w:rPr/>
            </w:r>
          </w:p>
        </w:tc>
        <w:tc>
          <w:tcPr>
            <w:tcW w:w="1935" w:type="dxa"/>
            <w:gridSpan w:val="3"/>
            <w:tcBorders>
              <w:start w:val="single" w:sz="2" w:space="0" w:color="000000"/>
            </w:tcBorders>
            <w:shd w:fill="auto" w:val="clear"/>
            <w:tcMar>
              <w:start w:w="102" w:type="dxa"/>
            </w:tcMar>
          </w:tcPr>
          <w:p>
            <w:pPr>
              <w:pStyle w:val="Normal"/>
              <w:rPr/>
            </w:pPr>
            <w:r>
              <w:rPr/>
              <w:t xml:space="preserve">По расчету на тепловыделения </w:t>
            </w:r>
          </w:p>
          <w:p>
            <w:pPr>
              <w:pStyle w:val="Normal"/>
              <w:rPr/>
            </w:pPr>
            <w:r>
              <w:rPr/>
            </w:r>
          </w:p>
        </w:tc>
        <w:tc>
          <w:tcPr>
            <w:tcW w:w="1800" w:type="dxa"/>
            <w:gridSpan w:val="2"/>
            <w:tcBorders>
              <w:start w:val="single" w:sz="2" w:space="0" w:color="000000"/>
            </w:tcBorders>
            <w:shd w:fill="auto" w:val="clear"/>
            <w:tcMar>
              <w:start w:w="102" w:type="dxa"/>
            </w:tcMar>
          </w:tcPr>
          <w:p>
            <w:pPr>
              <w:pStyle w:val="Normal"/>
              <w:rPr/>
            </w:pPr>
            <w:r>
              <w:rPr/>
              <w:t xml:space="preserve">I-б </w:t>
            </w:r>
          </w:p>
          <w:p>
            <w:pPr>
              <w:pStyle w:val="Normal"/>
              <w:rPr/>
            </w:pPr>
            <w:r>
              <w:rPr/>
            </w:r>
          </w:p>
        </w:tc>
        <w:tc>
          <w:tcPr>
            <w:tcW w:w="1455" w:type="dxa"/>
            <w:gridSpan w:val="2"/>
            <w:tcBorders>
              <w:start w:val="single" w:sz="2" w:space="0" w:color="000000"/>
            </w:tcBorders>
            <w:shd w:fill="auto" w:val="clear"/>
            <w:tcMar>
              <w:start w:w="102" w:type="dxa"/>
            </w:tcMar>
          </w:tcPr>
          <w:p>
            <w:pPr>
              <w:pStyle w:val="Normal"/>
              <w:rPr/>
            </w:pPr>
            <w:r>
              <w:rPr/>
              <w:t xml:space="preserve">0,3 </w:t>
            </w:r>
          </w:p>
          <w:p>
            <w:pPr>
              <w:pStyle w:val="Normal"/>
              <w:rPr/>
            </w:pPr>
            <w:r>
              <w:rPr/>
            </w:r>
          </w:p>
        </w:tc>
        <w:tc>
          <w:tcPr>
            <w:tcW w:w="1475"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75 </w:t>
            </w:r>
          </w:p>
          <w:p>
            <w:pPr>
              <w:pStyle w:val="Normal"/>
              <w:rPr/>
            </w:pPr>
            <w:r>
              <w:rPr/>
            </w:r>
          </w:p>
        </w:tc>
      </w:tr>
      <w:tr>
        <w:trPr/>
        <w:tc>
          <w:tcPr>
            <w:tcW w:w="1875" w:type="dxa"/>
            <w:tcBorders>
              <w:start w:val="single" w:sz="2" w:space="0" w:color="000000"/>
            </w:tcBorders>
            <w:shd w:fill="auto" w:val="clear"/>
            <w:tcMar>
              <w:start w:w="102" w:type="dxa"/>
            </w:tcMar>
          </w:tcPr>
          <w:p>
            <w:pPr>
              <w:pStyle w:val="Normal"/>
              <w:jc w:val="both"/>
              <w:rPr/>
            </w:pPr>
            <w:r>
              <w:rPr/>
              <w:t>3. Станции водоподготовки:</w:t>
            </w:r>
          </w:p>
          <w:p>
            <w:pPr>
              <w:pStyle w:val="Normal"/>
              <w:ind w:firstLine="270"/>
              <w:jc w:val="both"/>
              <w:rPr/>
            </w:pPr>
            <w:r>
              <w:rPr/>
            </w:r>
          </w:p>
          <w:p>
            <w:pPr>
              <w:pStyle w:val="Normal"/>
              <w:ind w:firstLine="135"/>
              <w:jc w:val="both"/>
              <w:rPr/>
            </w:pPr>
            <w:r>
              <w:rPr/>
              <w:t>а) отделение барабанных сеток и микрофильтров</w:t>
            </w:r>
          </w:p>
          <w:p>
            <w:pPr>
              <w:pStyle w:val="Normal"/>
              <w:ind w:firstLine="135"/>
              <w:jc w:val="both"/>
              <w:rPr/>
            </w:pPr>
            <w:r>
              <w:rPr/>
            </w:r>
          </w:p>
          <w:p>
            <w:pPr>
              <w:pStyle w:val="Normal"/>
              <w:ind w:firstLine="135"/>
              <w:jc w:val="both"/>
              <w:rPr/>
            </w:pPr>
            <w:r>
              <w:rPr/>
            </w:r>
          </w:p>
        </w:tc>
        <w:tc>
          <w:tcPr>
            <w:tcW w:w="1380" w:type="dxa"/>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t xml:space="preserve">5 </w:t>
            </w:r>
          </w:p>
          <w:p>
            <w:pPr>
              <w:pStyle w:val="Normal"/>
              <w:jc w:val="center"/>
              <w:rPr/>
            </w:pPr>
            <w:r>
              <w:rPr/>
            </w:r>
          </w:p>
        </w:tc>
        <w:tc>
          <w:tcPr>
            <w:tcW w:w="1935" w:type="dxa"/>
            <w:gridSpan w:val="3"/>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t xml:space="preserve">По расчету на влаговыделения </w:t>
            </w:r>
          </w:p>
          <w:p>
            <w:pPr>
              <w:pStyle w:val="Normal"/>
              <w:rPr/>
            </w:pPr>
            <w:r>
              <w:rPr/>
            </w:r>
          </w:p>
        </w:tc>
        <w:tc>
          <w:tcPr>
            <w:tcW w:w="1800" w:type="dxa"/>
            <w:gridSpan w:val="2"/>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t xml:space="preserve">I-б </w:t>
            </w:r>
          </w:p>
          <w:p>
            <w:pPr>
              <w:pStyle w:val="Normal"/>
              <w:rPr/>
            </w:pPr>
            <w:r>
              <w:rPr/>
            </w:r>
          </w:p>
        </w:tc>
        <w:tc>
          <w:tcPr>
            <w:tcW w:w="1455" w:type="dxa"/>
            <w:gridSpan w:val="2"/>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t xml:space="preserve">0,3 </w:t>
            </w:r>
          </w:p>
          <w:p>
            <w:pPr>
              <w:pStyle w:val="Normal"/>
              <w:rPr/>
            </w:pPr>
            <w:r>
              <w:rPr/>
            </w:r>
          </w:p>
        </w:tc>
        <w:tc>
          <w:tcPr>
            <w:tcW w:w="1475" w:type="dxa"/>
            <w:gridSpan w:val="2"/>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t xml:space="preserve">75 </w:t>
            </w:r>
          </w:p>
          <w:p>
            <w:pPr>
              <w:pStyle w:val="Normal"/>
              <w:rPr/>
            </w:pPr>
            <w:r>
              <w:rPr/>
            </w:r>
          </w:p>
        </w:tc>
      </w:tr>
      <w:tr>
        <w:trPr/>
        <w:tc>
          <w:tcPr>
            <w:tcW w:w="1875" w:type="dxa"/>
            <w:tcBorders>
              <w:start w:val="single" w:sz="2" w:space="0" w:color="000000"/>
            </w:tcBorders>
            <w:shd w:fill="auto" w:val="clear"/>
            <w:tcMar>
              <w:start w:w="102" w:type="dxa"/>
            </w:tcMar>
          </w:tcPr>
          <w:p>
            <w:pPr>
              <w:pStyle w:val="Normal"/>
              <w:ind w:firstLine="180"/>
              <w:jc w:val="both"/>
              <w:rPr/>
            </w:pPr>
            <w:r>
              <w:rPr/>
              <w:t>б) отделение фильтровального зала</w:t>
            </w:r>
          </w:p>
          <w:p>
            <w:pPr>
              <w:pStyle w:val="Normal"/>
              <w:ind w:firstLine="180"/>
              <w:jc w:val="both"/>
              <w:rPr/>
            </w:pPr>
            <w:r>
              <w:rPr/>
            </w:r>
          </w:p>
          <w:p>
            <w:pPr>
              <w:pStyle w:val="Normal"/>
              <w:ind w:firstLine="180"/>
              <w:jc w:val="both"/>
              <w:rPr/>
            </w:pPr>
            <w:r>
              <w:rPr/>
            </w:r>
          </w:p>
        </w:tc>
        <w:tc>
          <w:tcPr>
            <w:tcW w:w="1380" w:type="dxa"/>
            <w:tcBorders>
              <w:start w:val="single" w:sz="2" w:space="0" w:color="000000"/>
            </w:tcBorders>
            <w:shd w:fill="auto" w:val="clear"/>
            <w:tcMar>
              <w:start w:w="102" w:type="dxa"/>
            </w:tcMar>
          </w:tcPr>
          <w:p>
            <w:pPr>
              <w:pStyle w:val="Normal"/>
              <w:jc w:val="center"/>
              <w:rPr/>
            </w:pPr>
            <w:r>
              <w:rPr/>
              <w:t xml:space="preserve">5 </w:t>
            </w:r>
          </w:p>
          <w:p>
            <w:pPr>
              <w:pStyle w:val="Normal"/>
              <w:jc w:val="center"/>
              <w:rPr/>
            </w:pPr>
            <w:r>
              <w:rPr/>
            </w:r>
          </w:p>
        </w:tc>
        <w:tc>
          <w:tcPr>
            <w:tcW w:w="795" w:type="dxa"/>
            <w:tcBorders>
              <w:start w:val="single" w:sz="2" w:space="0" w:color="000000"/>
            </w:tcBorders>
            <w:shd w:fill="auto" w:val="clear"/>
            <w:tcMar>
              <w:start w:w="102" w:type="dxa"/>
            </w:tcMar>
          </w:tcPr>
          <w:p>
            <w:pPr>
              <w:pStyle w:val="Normal"/>
              <w:rPr/>
            </w:pPr>
            <w:r>
              <w:rPr/>
              <w:t xml:space="preserve">То же </w:t>
            </w:r>
          </w:p>
          <w:p>
            <w:pPr>
              <w:pStyle w:val="Normal"/>
              <w:rPr/>
            </w:pPr>
            <w:r>
              <w:rPr/>
            </w:r>
          </w:p>
        </w:tc>
        <w:tc>
          <w:tcPr>
            <w:tcW w:w="1140" w:type="dxa"/>
            <w:gridSpan w:val="2"/>
            <w:tcBorders>
              <w:start w:val="single" w:sz="2" w:space="0" w:color="000000"/>
            </w:tcBorders>
            <w:shd w:fill="auto" w:val="clear"/>
            <w:tcMar>
              <w:start w:w="102" w:type="dxa"/>
            </w:tcMar>
          </w:tcPr>
          <w:p>
            <w:pPr>
              <w:pStyle w:val="Normal"/>
              <w:rPr/>
            </w:pPr>
            <w:r>
              <w:rPr/>
              <w:t xml:space="preserve">То же </w:t>
            </w:r>
          </w:p>
          <w:p>
            <w:pPr>
              <w:pStyle w:val="Normal"/>
              <w:rPr/>
            </w:pPr>
            <w:r>
              <w:rPr/>
            </w:r>
          </w:p>
        </w:tc>
        <w:tc>
          <w:tcPr>
            <w:tcW w:w="1800" w:type="dxa"/>
            <w:gridSpan w:val="2"/>
            <w:tcBorders>
              <w:start w:val="single" w:sz="2" w:space="0" w:color="000000"/>
            </w:tcBorders>
            <w:shd w:fill="auto" w:val="clear"/>
            <w:tcMar>
              <w:start w:w="102" w:type="dxa"/>
            </w:tcMar>
          </w:tcPr>
          <w:p>
            <w:pPr>
              <w:pStyle w:val="Normal"/>
              <w:rPr/>
            </w:pPr>
            <w:r>
              <w:rPr/>
              <w:t xml:space="preserve">I-б </w:t>
            </w:r>
          </w:p>
          <w:p>
            <w:pPr>
              <w:pStyle w:val="Normal"/>
              <w:rPr/>
            </w:pPr>
            <w:r>
              <w:rPr/>
            </w:r>
          </w:p>
        </w:tc>
        <w:tc>
          <w:tcPr>
            <w:tcW w:w="1455" w:type="dxa"/>
            <w:gridSpan w:val="2"/>
            <w:tcBorders>
              <w:start w:val="single" w:sz="2" w:space="0" w:color="000000"/>
            </w:tcBorders>
            <w:shd w:fill="auto" w:val="clear"/>
            <w:tcMar>
              <w:start w:w="102" w:type="dxa"/>
            </w:tcMar>
          </w:tcPr>
          <w:p>
            <w:pPr>
              <w:pStyle w:val="Normal"/>
              <w:rPr/>
            </w:pPr>
            <w:r>
              <w:rPr/>
              <w:t xml:space="preserve">0,3 </w:t>
            </w:r>
          </w:p>
          <w:p>
            <w:pPr>
              <w:pStyle w:val="Normal"/>
              <w:rPr/>
            </w:pPr>
            <w:r>
              <w:rPr/>
            </w:r>
          </w:p>
        </w:tc>
        <w:tc>
          <w:tcPr>
            <w:tcW w:w="1475"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75 </w:t>
            </w:r>
          </w:p>
          <w:p>
            <w:pPr>
              <w:pStyle w:val="Normal"/>
              <w:rPr/>
            </w:pPr>
            <w:r>
              <w:rPr/>
            </w:r>
          </w:p>
        </w:tc>
      </w:tr>
      <w:tr>
        <w:trPr/>
        <w:tc>
          <w:tcPr>
            <w:tcW w:w="1875" w:type="dxa"/>
            <w:tcBorders>
              <w:start w:val="single" w:sz="2" w:space="0" w:color="000000"/>
            </w:tcBorders>
            <w:shd w:fill="auto" w:val="clear"/>
            <w:tcMar>
              <w:start w:w="102" w:type="dxa"/>
            </w:tcMar>
          </w:tcPr>
          <w:p>
            <w:pPr>
              <w:pStyle w:val="Normal"/>
              <w:ind w:firstLine="135"/>
              <w:jc w:val="both"/>
              <w:rPr/>
            </w:pPr>
            <w:r>
              <w:rPr/>
              <w:t>в) хлордозаторная, озонаторная</w:t>
            </w:r>
          </w:p>
          <w:p>
            <w:pPr>
              <w:pStyle w:val="Normal"/>
              <w:ind w:firstLine="135"/>
              <w:jc w:val="both"/>
              <w:rPr/>
            </w:pPr>
            <w:r>
              <w:rPr/>
            </w:r>
          </w:p>
          <w:p>
            <w:pPr>
              <w:pStyle w:val="Normal"/>
              <w:ind w:firstLine="135"/>
              <w:jc w:val="both"/>
              <w:rPr/>
            </w:pPr>
            <w:r>
              <w:rPr/>
            </w:r>
          </w:p>
        </w:tc>
        <w:tc>
          <w:tcPr>
            <w:tcW w:w="1380" w:type="dxa"/>
            <w:tcBorders>
              <w:start w:val="single" w:sz="2" w:space="0" w:color="000000"/>
            </w:tcBorders>
            <w:shd w:fill="auto" w:val="clear"/>
            <w:tcMar>
              <w:start w:w="102" w:type="dxa"/>
            </w:tcMar>
          </w:tcPr>
          <w:p>
            <w:pPr>
              <w:pStyle w:val="Normal"/>
              <w:jc w:val="center"/>
              <w:rPr/>
            </w:pPr>
            <w:r>
              <w:rPr/>
              <w:t xml:space="preserve">16 </w:t>
            </w:r>
          </w:p>
          <w:p>
            <w:pPr>
              <w:pStyle w:val="Normal"/>
              <w:jc w:val="center"/>
              <w:rPr/>
            </w:pPr>
            <w:r>
              <w:rPr/>
            </w:r>
          </w:p>
        </w:tc>
        <w:tc>
          <w:tcPr>
            <w:tcW w:w="795" w:type="dxa"/>
            <w:tcBorders>
              <w:start w:val="single" w:sz="2" w:space="0" w:color="000000"/>
            </w:tcBorders>
            <w:shd w:fill="auto" w:val="clear"/>
            <w:tcMar>
              <w:start w:w="102" w:type="dxa"/>
            </w:tcMar>
          </w:tcPr>
          <w:p>
            <w:pPr>
              <w:pStyle w:val="Normal"/>
              <w:rPr/>
            </w:pPr>
            <w:r>
              <w:rPr/>
              <w:t xml:space="preserve">6 </w:t>
            </w:r>
          </w:p>
          <w:p>
            <w:pPr>
              <w:pStyle w:val="Normal"/>
              <w:rPr/>
            </w:pPr>
            <w:r>
              <w:rPr/>
            </w:r>
          </w:p>
        </w:tc>
        <w:tc>
          <w:tcPr>
            <w:tcW w:w="1140" w:type="dxa"/>
            <w:gridSpan w:val="2"/>
            <w:tcBorders>
              <w:start w:val="single" w:sz="2" w:space="0" w:color="000000"/>
            </w:tcBorders>
            <w:shd w:fill="auto" w:val="clear"/>
            <w:tcMar>
              <w:start w:w="102" w:type="dxa"/>
            </w:tcMar>
          </w:tcPr>
          <w:p>
            <w:pPr>
              <w:pStyle w:val="Normal"/>
              <w:rPr/>
            </w:pPr>
            <w:r>
              <w:rPr/>
              <w:t xml:space="preserve">6 </w:t>
            </w:r>
          </w:p>
          <w:p>
            <w:pPr>
              <w:pStyle w:val="Normal"/>
              <w:rPr/>
            </w:pPr>
            <w:r>
              <w:rPr/>
            </w:r>
          </w:p>
        </w:tc>
        <w:tc>
          <w:tcPr>
            <w:tcW w:w="1800" w:type="dxa"/>
            <w:gridSpan w:val="2"/>
            <w:tcBorders>
              <w:start w:val="single" w:sz="2" w:space="0" w:color="000000"/>
            </w:tcBorders>
            <w:shd w:fill="auto" w:val="clear"/>
            <w:tcMar>
              <w:start w:w="102" w:type="dxa"/>
            </w:tcMar>
          </w:tcPr>
          <w:p>
            <w:pPr>
              <w:pStyle w:val="Normal"/>
              <w:rPr/>
            </w:pPr>
            <w:r>
              <w:rPr/>
              <w:t xml:space="preserve">II-в </w:t>
            </w:r>
          </w:p>
          <w:p>
            <w:pPr>
              <w:pStyle w:val="Normal"/>
              <w:rPr/>
            </w:pPr>
            <w:r>
              <w:rPr/>
            </w:r>
          </w:p>
        </w:tc>
        <w:tc>
          <w:tcPr>
            <w:tcW w:w="1455" w:type="dxa"/>
            <w:gridSpan w:val="2"/>
            <w:tcBorders>
              <w:start w:val="single" w:sz="2" w:space="0" w:color="000000"/>
            </w:tcBorders>
            <w:shd w:fill="auto" w:val="clear"/>
            <w:tcMar>
              <w:start w:w="102" w:type="dxa"/>
            </w:tcMar>
          </w:tcPr>
          <w:p>
            <w:pPr>
              <w:pStyle w:val="Normal"/>
              <w:rPr/>
            </w:pPr>
            <w:r>
              <w:rPr/>
              <w:t xml:space="preserve">0,3 </w:t>
            </w:r>
          </w:p>
          <w:p>
            <w:pPr>
              <w:pStyle w:val="Normal"/>
              <w:rPr/>
            </w:pPr>
            <w:r>
              <w:rPr/>
            </w:r>
          </w:p>
        </w:tc>
        <w:tc>
          <w:tcPr>
            <w:tcW w:w="1475"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75 </w:t>
            </w:r>
          </w:p>
          <w:p>
            <w:pPr>
              <w:pStyle w:val="Normal"/>
              <w:rPr/>
            </w:pPr>
            <w:r>
              <w:rPr/>
            </w:r>
          </w:p>
        </w:tc>
      </w:tr>
      <w:tr>
        <w:trPr/>
        <w:tc>
          <w:tcPr>
            <w:tcW w:w="1875" w:type="dxa"/>
            <w:tcBorders>
              <w:start w:val="single" w:sz="2" w:space="0" w:color="000000"/>
            </w:tcBorders>
            <w:shd w:fill="auto" w:val="clear"/>
            <w:tcMar>
              <w:start w:w="102" w:type="dxa"/>
            </w:tcMar>
          </w:tcPr>
          <w:p>
            <w:pPr>
              <w:pStyle w:val="Normal"/>
              <w:ind w:firstLine="180"/>
              <w:jc w:val="both"/>
              <w:rPr/>
            </w:pPr>
            <w:r>
              <w:rPr/>
              <w:t>г) дозаторная аммиака</w:t>
            </w:r>
          </w:p>
          <w:p>
            <w:pPr>
              <w:pStyle w:val="Normal"/>
              <w:ind w:firstLine="180"/>
              <w:jc w:val="both"/>
              <w:rPr/>
            </w:pPr>
            <w:r>
              <w:rPr/>
            </w:r>
          </w:p>
          <w:p>
            <w:pPr>
              <w:pStyle w:val="Normal"/>
              <w:ind w:firstLine="180"/>
              <w:jc w:val="both"/>
              <w:rPr/>
            </w:pPr>
            <w:r>
              <w:rPr/>
            </w:r>
          </w:p>
        </w:tc>
        <w:tc>
          <w:tcPr>
            <w:tcW w:w="1380" w:type="dxa"/>
            <w:tcBorders>
              <w:start w:val="single" w:sz="2" w:space="0" w:color="000000"/>
            </w:tcBorders>
            <w:shd w:fill="auto" w:val="clear"/>
            <w:tcMar>
              <w:start w:w="102" w:type="dxa"/>
            </w:tcMar>
          </w:tcPr>
          <w:p>
            <w:pPr>
              <w:pStyle w:val="Normal"/>
              <w:jc w:val="center"/>
              <w:rPr/>
            </w:pPr>
            <w:r>
              <w:rPr/>
              <w:t xml:space="preserve">16 </w:t>
            </w:r>
          </w:p>
          <w:p>
            <w:pPr>
              <w:pStyle w:val="Normal"/>
              <w:jc w:val="center"/>
              <w:rPr/>
            </w:pPr>
            <w:r>
              <w:rPr/>
            </w:r>
          </w:p>
        </w:tc>
        <w:tc>
          <w:tcPr>
            <w:tcW w:w="795" w:type="dxa"/>
            <w:tcBorders>
              <w:start w:val="single" w:sz="2" w:space="0" w:color="000000"/>
            </w:tcBorders>
            <w:shd w:fill="auto" w:val="clear"/>
            <w:tcMar>
              <w:start w:w="102" w:type="dxa"/>
            </w:tcMar>
          </w:tcPr>
          <w:p>
            <w:pPr>
              <w:pStyle w:val="Normal"/>
              <w:rPr/>
            </w:pPr>
            <w:r>
              <w:rPr/>
              <w:t xml:space="preserve">6 </w:t>
            </w:r>
          </w:p>
          <w:p>
            <w:pPr>
              <w:pStyle w:val="Normal"/>
              <w:rPr/>
            </w:pPr>
            <w:r>
              <w:rPr/>
            </w:r>
          </w:p>
        </w:tc>
        <w:tc>
          <w:tcPr>
            <w:tcW w:w="1140" w:type="dxa"/>
            <w:gridSpan w:val="2"/>
            <w:tcBorders>
              <w:start w:val="single" w:sz="2" w:space="0" w:color="000000"/>
            </w:tcBorders>
            <w:shd w:fill="auto" w:val="clear"/>
            <w:tcMar>
              <w:start w:w="102" w:type="dxa"/>
            </w:tcMar>
          </w:tcPr>
          <w:p>
            <w:pPr>
              <w:pStyle w:val="Normal"/>
              <w:rPr/>
            </w:pPr>
            <w:r>
              <w:rPr/>
              <w:t xml:space="preserve">6 </w:t>
            </w:r>
          </w:p>
          <w:p>
            <w:pPr>
              <w:pStyle w:val="Normal"/>
              <w:rPr/>
            </w:pPr>
            <w:r>
              <w:rPr/>
            </w:r>
          </w:p>
        </w:tc>
        <w:tc>
          <w:tcPr>
            <w:tcW w:w="1800" w:type="dxa"/>
            <w:gridSpan w:val="2"/>
            <w:tcBorders>
              <w:start w:val="single" w:sz="2" w:space="0" w:color="000000"/>
            </w:tcBorders>
            <w:shd w:fill="auto" w:val="clear"/>
            <w:tcMar>
              <w:start w:w="102" w:type="dxa"/>
            </w:tcMar>
          </w:tcPr>
          <w:p>
            <w:pPr>
              <w:pStyle w:val="Normal"/>
              <w:rPr/>
            </w:pPr>
            <w:r>
              <w:rPr/>
              <w:t xml:space="preserve">II-в </w:t>
            </w:r>
          </w:p>
          <w:p>
            <w:pPr>
              <w:pStyle w:val="Normal"/>
              <w:rPr/>
            </w:pPr>
            <w:r>
              <w:rPr/>
            </w:r>
          </w:p>
        </w:tc>
        <w:tc>
          <w:tcPr>
            <w:tcW w:w="1455" w:type="dxa"/>
            <w:gridSpan w:val="2"/>
            <w:tcBorders>
              <w:start w:val="single" w:sz="2" w:space="0" w:color="000000"/>
            </w:tcBorders>
            <w:shd w:fill="auto" w:val="clear"/>
            <w:tcMar>
              <w:start w:w="102" w:type="dxa"/>
            </w:tcMar>
          </w:tcPr>
          <w:p>
            <w:pPr>
              <w:pStyle w:val="Normal"/>
              <w:rPr/>
            </w:pPr>
            <w:r>
              <w:rPr/>
              <w:t xml:space="preserve">0,3 </w:t>
            </w:r>
          </w:p>
          <w:p>
            <w:pPr>
              <w:pStyle w:val="Normal"/>
              <w:rPr/>
            </w:pPr>
            <w:r>
              <w:rPr/>
            </w:r>
          </w:p>
        </w:tc>
        <w:tc>
          <w:tcPr>
            <w:tcW w:w="1475"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75 </w:t>
            </w:r>
          </w:p>
          <w:p>
            <w:pPr>
              <w:pStyle w:val="Normal"/>
              <w:rPr/>
            </w:pPr>
            <w:r>
              <w:rPr/>
            </w:r>
          </w:p>
        </w:tc>
      </w:tr>
      <w:tr>
        <w:trPr/>
        <w:tc>
          <w:tcPr>
            <w:tcW w:w="1875" w:type="dxa"/>
            <w:tcBorders>
              <w:start w:val="single" w:sz="2" w:space="0" w:color="000000"/>
            </w:tcBorders>
            <w:shd w:fill="auto" w:val="clear"/>
            <w:tcMar>
              <w:start w:w="102" w:type="dxa"/>
            </w:tcMar>
          </w:tcPr>
          <w:p>
            <w:pPr>
              <w:pStyle w:val="Normal"/>
              <w:jc w:val="both"/>
              <w:rPr/>
            </w:pPr>
            <w:r>
              <w:rPr/>
              <w:t>4. Отделения реагентного хозяйства для приготовления растворов:</w:t>
            </w:r>
          </w:p>
          <w:p>
            <w:pPr>
              <w:pStyle w:val="Normal"/>
              <w:ind w:firstLine="225"/>
              <w:jc w:val="both"/>
              <w:rPr/>
            </w:pPr>
            <w:r>
              <w:rPr/>
            </w:r>
          </w:p>
          <w:p>
            <w:pPr>
              <w:pStyle w:val="Normal"/>
              <w:ind w:firstLine="180"/>
              <w:jc w:val="both"/>
              <w:rPr/>
            </w:pPr>
            <w:r>
              <w:rPr/>
              <w:t>а) сернокислого алюминия, известкового молока, гексаметафосфата, фтористого натрия, полиакриламида, активной кремнекислоты</w:t>
            </w:r>
          </w:p>
          <w:p>
            <w:pPr>
              <w:pStyle w:val="Normal"/>
              <w:ind w:firstLine="180"/>
              <w:jc w:val="both"/>
              <w:rPr/>
            </w:pPr>
            <w:r>
              <w:rPr/>
            </w:r>
          </w:p>
          <w:p>
            <w:pPr>
              <w:pStyle w:val="Normal"/>
              <w:ind w:firstLine="180"/>
              <w:jc w:val="both"/>
              <w:rPr/>
            </w:pPr>
            <w:r>
              <w:rPr/>
            </w:r>
          </w:p>
        </w:tc>
        <w:tc>
          <w:tcPr>
            <w:tcW w:w="1380" w:type="dxa"/>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 xml:space="preserve">16 </w:t>
            </w:r>
          </w:p>
          <w:p>
            <w:pPr>
              <w:pStyle w:val="Normal"/>
              <w:jc w:val="center"/>
              <w:rPr/>
            </w:pPr>
            <w:r>
              <w:rPr/>
            </w:r>
          </w:p>
        </w:tc>
        <w:tc>
          <w:tcPr>
            <w:tcW w:w="795" w:type="dxa"/>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3 </w:t>
            </w:r>
          </w:p>
          <w:p>
            <w:pPr>
              <w:pStyle w:val="Normal"/>
              <w:rPr/>
            </w:pPr>
            <w:r>
              <w:rPr/>
            </w:r>
          </w:p>
        </w:tc>
        <w:tc>
          <w:tcPr>
            <w:tcW w:w="1140" w:type="dxa"/>
            <w:gridSpan w:val="2"/>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3 </w:t>
            </w:r>
          </w:p>
          <w:p>
            <w:pPr>
              <w:pStyle w:val="Normal"/>
              <w:rPr/>
            </w:pPr>
            <w:r>
              <w:rPr/>
            </w:r>
          </w:p>
        </w:tc>
        <w:tc>
          <w:tcPr>
            <w:tcW w:w="1800" w:type="dxa"/>
            <w:gridSpan w:val="2"/>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II-в </w:t>
            </w:r>
          </w:p>
          <w:p>
            <w:pPr>
              <w:pStyle w:val="Normal"/>
              <w:rPr/>
            </w:pPr>
            <w:r>
              <w:rPr/>
            </w:r>
          </w:p>
        </w:tc>
        <w:tc>
          <w:tcPr>
            <w:tcW w:w="1455" w:type="dxa"/>
            <w:gridSpan w:val="2"/>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0,3 </w:t>
            </w:r>
          </w:p>
          <w:p>
            <w:pPr>
              <w:pStyle w:val="Normal"/>
              <w:rPr/>
            </w:pPr>
            <w:r>
              <w:rPr/>
            </w:r>
          </w:p>
        </w:tc>
        <w:tc>
          <w:tcPr>
            <w:tcW w:w="1475" w:type="dxa"/>
            <w:gridSpan w:val="2"/>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75 </w:t>
            </w:r>
          </w:p>
          <w:p>
            <w:pPr>
              <w:pStyle w:val="Normal"/>
              <w:rPr/>
            </w:pPr>
            <w:r>
              <w:rPr/>
            </w:r>
          </w:p>
        </w:tc>
      </w:tr>
      <w:tr>
        <w:trPr/>
        <w:tc>
          <w:tcPr>
            <w:tcW w:w="1875" w:type="dxa"/>
            <w:tcBorders>
              <w:start w:val="single" w:sz="2" w:space="0" w:color="000000"/>
            </w:tcBorders>
            <w:shd w:fill="auto" w:val="clear"/>
            <w:tcMar>
              <w:start w:w="102" w:type="dxa"/>
            </w:tcMar>
          </w:tcPr>
          <w:p>
            <w:pPr>
              <w:pStyle w:val="Normal"/>
              <w:ind w:firstLine="90"/>
              <w:jc w:val="both"/>
              <w:rPr/>
            </w:pPr>
            <w:r>
              <w:rPr/>
              <w:t>б) хлорного железа, гипохлорита</w:t>
            </w:r>
          </w:p>
          <w:p>
            <w:pPr>
              <w:pStyle w:val="Normal"/>
              <w:ind w:firstLine="90"/>
              <w:jc w:val="both"/>
              <w:rPr/>
            </w:pPr>
            <w:r>
              <w:rPr/>
            </w:r>
          </w:p>
          <w:p>
            <w:pPr>
              <w:pStyle w:val="Normal"/>
              <w:ind w:firstLine="90"/>
              <w:jc w:val="both"/>
              <w:rPr/>
            </w:pPr>
            <w:r>
              <w:rPr/>
            </w:r>
          </w:p>
        </w:tc>
        <w:tc>
          <w:tcPr>
            <w:tcW w:w="1380" w:type="dxa"/>
            <w:tcBorders>
              <w:start w:val="single" w:sz="2" w:space="0" w:color="000000"/>
            </w:tcBorders>
            <w:shd w:fill="auto" w:val="clear"/>
            <w:tcMar>
              <w:start w:w="102" w:type="dxa"/>
            </w:tcMar>
          </w:tcPr>
          <w:p>
            <w:pPr>
              <w:pStyle w:val="Normal"/>
              <w:jc w:val="center"/>
              <w:rPr/>
            </w:pPr>
            <w:r>
              <w:rPr/>
              <w:t xml:space="preserve">16 </w:t>
            </w:r>
          </w:p>
          <w:p>
            <w:pPr>
              <w:pStyle w:val="Normal"/>
              <w:jc w:val="center"/>
              <w:rPr/>
            </w:pPr>
            <w:r>
              <w:rPr/>
            </w:r>
          </w:p>
        </w:tc>
        <w:tc>
          <w:tcPr>
            <w:tcW w:w="795" w:type="dxa"/>
            <w:tcBorders>
              <w:start w:val="single" w:sz="2" w:space="0" w:color="000000"/>
            </w:tcBorders>
            <w:shd w:fill="auto" w:val="clear"/>
            <w:tcMar>
              <w:start w:w="102" w:type="dxa"/>
            </w:tcMar>
          </w:tcPr>
          <w:p>
            <w:pPr>
              <w:pStyle w:val="Normal"/>
              <w:rPr/>
            </w:pPr>
            <w:r>
              <w:rPr/>
              <w:t xml:space="preserve">6 </w:t>
            </w:r>
          </w:p>
          <w:p>
            <w:pPr>
              <w:pStyle w:val="Normal"/>
              <w:rPr/>
            </w:pPr>
            <w:r>
              <w:rPr/>
            </w:r>
          </w:p>
        </w:tc>
        <w:tc>
          <w:tcPr>
            <w:tcW w:w="1140" w:type="dxa"/>
            <w:gridSpan w:val="2"/>
            <w:tcBorders>
              <w:start w:val="single" w:sz="2" w:space="0" w:color="000000"/>
            </w:tcBorders>
            <w:shd w:fill="auto" w:val="clear"/>
            <w:tcMar>
              <w:start w:w="102" w:type="dxa"/>
            </w:tcMar>
          </w:tcPr>
          <w:p>
            <w:pPr>
              <w:pStyle w:val="Normal"/>
              <w:rPr/>
            </w:pPr>
            <w:r>
              <w:rPr/>
              <w:t xml:space="preserve">6 </w:t>
            </w:r>
          </w:p>
          <w:p>
            <w:pPr>
              <w:pStyle w:val="Normal"/>
              <w:rPr/>
            </w:pPr>
            <w:r>
              <w:rPr/>
            </w:r>
          </w:p>
        </w:tc>
        <w:tc>
          <w:tcPr>
            <w:tcW w:w="1800" w:type="dxa"/>
            <w:gridSpan w:val="2"/>
            <w:tcBorders>
              <w:start w:val="single" w:sz="2" w:space="0" w:color="000000"/>
            </w:tcBorders>
            <w:shd w:fill="auto" w:val="clear"/>
            <w:tcMar>
              <w:start w:w="102" w:type="dxa"/>
            </w:tcMar>
          </w:tcPr>
          <w:p>
            <w:pPr>
              <w:pStyle w:val="Normal"/>
              <w:rPr/>
            </w:pPr>
            <w:r>
              <w:rPr/>
              <w:t xml:space="preserve">II-в </w:t>
            </w:r>
          </w:p>
          <w:p>
            <w:pPr>
              <w:pStyle w:val="Normal"/>
              <w:rPr/>
            </w:pPr>
            <w:r>
              <w:rPr/>
            </w:r>
          </w:p>
        </w:tc>
        <w:tc>
          <w:tcPr>
            <w:tcW w:w="1455" w:type="dxa"/>
            <w:gridSpan w:val="2"/>
            <w:tcBorders>
              <w:start w:val="single" w:sz="2" w:space="0" w:color="000000"/>
            </w:tcBorders>
            <w:shd w:fill="auto" w:val="clear"/>
            <w:tcMar>
              <w:start w:w="102" w:type="dxa"/>
            </w:tcMar>
          </w:tcPr>
          <w:p>
            <w:pPr>
              <w:pStyle w:val="Normal"/>
              <w:rPr/>
            </w:pPr>
            <w:r>
              <w:rPr/>
              <w:t xml:space="preserve">0,3 </w:t>
            </w:r>
          </w:p>
          <w:p>
            <w:pPr>
              <w:pStyle w:val="Normal"/>
              <w:rPr/>
            </w:pPr>
            <w:r>
              <w:rPr/>
            </w:r>
          </w:p>
        </w:tc>
        <w:tc>
          <w:tcPr>
            <w:tcW w:w="1475" w:type="dxa"/>
            <w:gridSpan w:val="2"/>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75 </w:t>
            </w:r>
          </w:p>
          <w:p>
            <w:pPr>
              <w:pStyle w:val="Normal"/>
              <w:rPr/>
            </w:pPr>
            <w:r>
              <w:rPr/>
            </w:r>
          </w:p>
        </w:tc>
      </w:tr>
      <w:tr>
        <w:trPr/>
        <w:tc>
          <w:tcPr>
            <w:tcW w:w="1875" w:type="dxa"/>
            <w:tcBorders>
              <w:start w:val="single" w:sz="2" w:space="0" w:color="000000"/>
            </w:tcBorders>
            <w:shd w:fill="auto" w:val="clear"/>
            <w:tcMar>
              <w:start w:w="102" w:type="dxa"/>
            </w:tcMar>
          </w:tcPr>
          <w:p>
            <w:pPr>
              <w:pStyle w:val="Normal"/>
              <w:jc w:val="both"/>
              <w:rPr/>
            </w:pPr>
            <w:r>
              <w:rPr/>
              <w:t>5. Склады реагентов:</w:t>
            </w:r>
          </w:p>
          <w:p>
            <w:pPr>
              <w:pStyle w:val="Normal"/>
              <w:ind w:firstLine="225"/>
              <w:jc w:val="both"/>
              <w:rPr/>
            </w:pPr>
            <w:r>
              <w:rPr/>
            </w:r>
          </w:p>
          <w:p>
            <w:pPr>
              <w:pStyle w:val="Normal"/>
              <w:ind w:firstLine="90"/>
              <w:jc w:val="both"/>
              <w:rPr/>
            </w:pPr>
            <w:r>
              <w:rPr/>
              <w:t>а) мокрого хранения сернокислого алюминия, извести, соды</w:t>
            </w:r>
          </w:p>
          <w:p>
            <w:pPr>
              <w:pStyle w:val="Normal"/>
              <w:ind w:firstLine="90"/>
              <w:jc w:val="both"/>
              <w:rPr/>
            </w:pPr>
            <w:r>
              <w:rPr/>
            </w:r>
          </w:p>
          <w:p>
            <w:pPr>
              <w:pStyle w:val="Normal"/>
              <w:ind w:firstLine="90"/>
              <w:jc w:val="both"/>
              <w:rPr/>
            </w:pPr>
            <w:r>
              <w:rPr/>
            </w:r>
          </w:p>
        </w:tc>
        <w:tc>
          <w:tcPr>
            <w:tcW w:w="1380" w:type="dxa"/>
            <w:tcBorders>
              <w:start w:val="single" w:sz="2" w:space="0" w:color="000000"/>
            </w:tcBorders>
            <w:shd w:fill="auto" w:val="clear"/>
            <w:tcMar>
              <w:start w:w="102" w:type="dxa"/>
            </w:tcMar>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t xml:space="preserve">5 </w:t>
            </w:r>
          </w:p>
          <w:p>
            <w:pPr>
              <w:pStyle w:val="Normal"/>
              <w:jc w:val="center"/>
              <w:rPr/>
            </w:pPr>
            <w:r>
              <w:rPr/>
            </w:r>
          </w:p>
        </w:tc>
        <w:tc>
          <w:tcPr>
            <w:tcW w:w="1950" w:type="dxa"/>
            <w:gridSpan w:val="4"/>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t xml:space="preserve">По расчету на влаговыделения </w:t>
            </w:r>
          </w:p>
          <w:p>
            <w:pPr>
              <w:pStyle w:val="Normal"/>
              <w:rPr/>
            </w:pPr>
            <w:r>
              <w:rPr/>
            </w:r>
          </w:p>
        </w:tc>
        <w:tc>
          <w:tcPr>
            <w:tcW w:w="1800" w:type="dxa"/>
            <w:gridSpan w:val="2"/>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t xml:space="preserve">II-г </w:t>
            </w:r>
          </w:p>
          <w:p>
            <w:pPr>
              <w:pStyle w:val="Normal"/>
              <w:rPr/>
            </w:pPr>
            <w:r>
              <w:rPr/>
            </w:r>
          </w:p>
        </w:tc>
        <w:tc>
          <w:tcPr>
            <w:tcW w:w="1455" w:type="dxa"/>
            <w:gridSpan w:val="2"/>
            <w:tcBorders>
              <w:start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t xml:space="preserve">0,2 </w:t>
            </w:r>
          </w:p>
          <w:p>
            <w:pPr>
              <w:pStyle w:val="Normal"/>
              <w:rPr/>
            </w:pPr>
            <w:r>
              <w:rPr/>
            </w:r>
          </w:p>
        </w:tc>
        <w:tc>
          <w:tcPr>
            <w:tcW w:w="1475" w:type="dxa"/>
            <w:tcBorders>
              <w:start w:val="single" w:sz="2" w:space="0" w:color="000000"/>
              <w:end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r>
          </w:p>
          <w:p>
            <w:pPr>
              <w:pStyle w:val="Normal"/>
              <w:rPr/>
            </w:pPr>
            <w:r>
              <w:rPr/>
              <w:t xml:space="preserve">50 </w:t>
            </w:r>
          </w:p>
          <w:p>
            <w:pPr>
              <w:pStyle w:val="Normal"/>
              <w:rPr/>
            </w:pPr>
            <w:r>
              <w:rPr/>
            </w:r>
          </w:p>
        </w:tc>
      </w:tr>
      <w:tr>
        <w:trPr/>
        <w:tc>
          <w:tcPr>
            <w:tcW w:w="1875" w:type="dxa"/>
            <w:tcBorders>
              <w:start w:val="single" w:sz="2" w:space="0" w:color="000000"/>
            </w:tcBorders>
            <w:shd w:fill="auto" w:val="clear"/>
            <w:tcMar>
              <w:start w:w="102" w:type="dxa"/>
            </w:tcMar>
          </w:tcPr>
          <w:p>
            <w:pPr>
              <w:pStyle w:val="Normal"/>
              <w:ind w:firstLine="135"/>
              <w:jc w:val="both"/>
              <w:rPr/>
            </w:pPr>
            <w:r>
              <w:rPr/>
              <w:t>б) жидкого хлора</w:t>
            </w:r>
          </w:p>
          <w:p>
            <w:pPr>
              <w:pStyle w:val="Normal"/>
              <w:ind w:firstLine="135"/>
              <w:jc w:val="both"/>
              <w:rPr/>
            </w:pPr>
            <w:r>
              <w:rPr/>
            </w:r>
          </w:p>
          <w:p>
            <w:pPr>
              <w:pStyle w:val="Normal"/>
              <w:ind w:firstLine="135"/>
              <w:jc w:val="both"/>
              <w:rPr/>
            </w:pPr>
            <w:r>
              <w:rPr/>
            </w:r>
          </w:p>
        </w:tc>
        <w:tc>
          <w:tcPr>
            <w:tcW w:w="1380" w:type="dxa"/>
            <w:tcBorders>
              <w:start w:val="single" w:sz="2" w:space="0" w:color="000000"/>
            </w:tcBorders>
            <w:shd w:fill="auto" w:val="clear"/>
            <w:tcMar>
              <w:start w:w="102" w:type="dxa"/>
            </w:tcMar>
          </w:tcPr>
          <w:p>
            <w:pPr>
              <w:pStyle w:val="Normal"/>
              <w:jc w:val="center"/>
              <w:rPr/>
            </w:pPr>
            <w:r>
              <w:rPr/>
              <w:t xml:space="preserve">См. примеч. 3 </w:t>
            </w:r>
          </w:p>
          <w:p>
            <w:pPr>
              <w:pStyle w:val="Normal"/>
              <w:jc w:val="center"/>
              <w:rPr/>
            </w:pPr>
            <w:r>
              <w:rPr/>
            </w:r>
          </w:p>
        </w:tc>
        <w:tc>
          <w:tcPr>
            <w:tcW w:w="810" w:type="dxa"/>
            <w:gridSpan w:val="2"/>
            <w:tcBorders>
              <w:start w:val="single" w:sz="2" w:space="0" w:color="000000"/>
            </w:tcBorders>
            <w:shd w:fill="auto" w:val="clear"/>
            <w:tcMar>
              <w:start w:w="102" w:type="dxa"/>
            </w:tcMar>
          </w:tcPr>
          <w:p>
            <w:pPr>
              <w:pStyle w:val="Normal"/>
              <w:rPr/>
            </w:pPr>
            <w:r>
              <w:rPr/>
              <w:t xml:space="preserve">6 </w:t>
            </w:r>
          </w:p>
          <w:p>
            <w:pPr>
              <w:pStyle w:val="Normal"/>
              <w:rPr/>
            </w:pPr>
            <w:r>
              <w:rPr/>
            </w:r>
          </w:p>
        </w:tc>
        <w:tc>
          <w:tcPr>
            <w:tcW w:w="1140" w:type="dxa"/>
            <w:gridSpan w:val="2"/>
            <w:tcBorders>
              <w:start w:val="single" w:sz="2" w:space="0" w:color="000000"/>
            </w:tcBorders>
            <w:shd w:fill="auto" w:val="clear"/>
            <w:tcMar>
              <w:start w:w="102" w:type="dxa"/>
            </w:tcMar>
          </w:tcPr>
          <w:p>
            <w:pPr>
              <w:pStyle w:val="Normal"/>
              <w:rPr/>
            </w:pPr>
            <w:r>
              <w:rPr/>
              <w:t>6+6</w:t>
            </w:r>
          </w:p>
          <w:p>
            <w:pPr>
              <w:pStyle w:val="Normal"/>
              <w:rPr/>
            </w:pPr>
            <w:r>
              <w:rPr/>
              <w:t xml:space="preserve">аварийная </w:t>
            </w:r>
          </w:p>
          <w:p>
            <w:pPr>
              <w:pStyle w:val="Normal"/>
              <w:rPr/>
            </w:pPr>
            <w:r>
              <w:rPr/>
            </w:r>
          </w:p>
        </w:tc>
        <w:tc>
          <w:tcPr>
            <w:tcW w:w="1800" w:type="dxa"/>
            <w:gridSpan w:val="2"/>
            <w:tcBorders>
              <w:start w:val="single" w:sz="2" w:space="0" w:color="000000"/>
            </w:tcBorders>
            <w:shd w:fill="auto" w:val="clear"/>
            <w:tcMar>
              <w:start w:w="102" w:type="dxa"/>
            </w:tcMar>
          </w:tcPr>
          <w:p>
            <w:pPr>
              <w:pStyle w:val="Normal"/>
              <w:rPr/>
            </w:pPr>
            <w:r>
              <w:rPr/>
              <w:t xml:space="preserve">II-г </w:t>
            </w:r>
          </w:p>
          <w:p>
            <w:pPr>
              <w:pStyle w:val="Normal"/>
              <w:rPr/>
            </w:pPr>
            <w:r>
              <w:rPr/>
            </w:r>
          </w:p>
        </w:tc>
        <w:tc>
          <w:tcPr>
            <w:tcW w:w="1455" w:type="dxa"/>
            <w:gridSpan w:val="2"/>
            <w:tcBorders>
              <w:start w:val="single" w:sz="2" w:space="0" w:color="000000"/>
            </w:tcBorders>
            <w:shd w:fill="auto" w:val="clear"/>
            <w:tcMar>
              <w:start w:w="102" w:type="dxa"/>
            </w:tcMar>
          </w:tcPr>
          <w:p>
            <w:pPr>
              <w:pStyle w:val="Normal"/>
              <w:rPr/>
            </w:pPr>
            <w:r>
              <w:rPr/>
              <w:t xml:space="preserve">0,2 </w:t>
            </w:r>
          </w:p>
          <w:p>
            <w:pPr>
              <w:pStyle w:val="Normal"/>
              <w:rPr/>
            </w:pPr>
            <w:r>
              <w:rPr/>
            </w:r>
          </w:p>
        </w:tc>
        <w:tc>
          <w:tcPr>
            <w:tcW w:w="147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50 </w:t>
            </w:r>
          </w:p>
          <w:p>
            <w:pPr>
              <w:pStyle w:val="Normal"/>
              <w:rPr/>
            </w:pPr>
            <w:r>
              <w:rPr/>
            </w:r>
          </w:p>
        </w:tc>
      </w:tr>
      <w:tr>
        <w:trPr/>
        <w:tc>
          <w:tcPr>
            <w:tcW w:w="1875" w:type="dxa"/>
            <w:tcBorders>
              <w:start w:val="single" w:sz="2" w:space="0" w:color="000000"/>
            </w:tcBorders>
            <w:shd w:fill="auto" w:val="clear"/>
            <w:tcMar>
              <w:start w:w="102" w:type="dxa"/>
            </w:tcMar>
          </w:tcPr>
          <w:p>
            <w:pPr>
              <w:pStyle w:val="Normal"/>
              <w:ind w:firstLine="180"/>
              <w:jc w:val="both"/>
              <w:rPr/>
            </w:pPr>
            <w:r>
              <w:rPr/>
              <w:t>в) жидкого хлора неотапливаемые</w:t>
            </w:r>
          </w:p>
          <w:p>
            <w:pPr>
              <w:pStyle w:val="Normal"/>
              <w:ind w:firstLine="180"/>
              <w:jc w:val="both"/>
              <w:rPr/>
            </w:pPr>
            <w:r>
              <w:rPr/>
            </w:r>
          </w:p>
          <w:p>
            <w:pPr>
              <w:pStyle w:val="Normal"/>
              <w:ind w:firstLine="180"/>
              <w:jc w:val="both"/>
              <w:rPr/>
            </w:pPr>
            <w:r>
              <w:rPr/>
            </w:r>
          </w:p>
        </w:tc>
        <w:tc>
          <w:tcPr>
            <w:tcW w:w="138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810" w:type="dxa"/>
            <w:gridSpan w:val="2"/>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140" w:type="dxa"/>
            <w:gridSpan w:val="2"/>
            <w:tcBorders>
              <w:start w:val="single" w:sz="2" w:space="0" w:color="000000"/>
            </w:tcBorders>
            <w:shd w:fill="auto" w:val="clear"/>
            <w:tcMar>
              <w:start w:w="102" w:type="dxa"/>
            </w:tcMar>
          </w:tcPr>
          <w:p>
            <w:pPr>
              <w:pStyle w:val="Normal"/>
              <w:jc w:val="center"/>
              <w:rPr/>
            </w:pPr>
            <w:r>
              <w:rPr/>
              <w:t>6+6</w:t>
            </w:r>
          </w:p>
          <w:p>
            <w:pPr>
              <w:pStyle w:val="Normal"/>
              <w:jc w:val="center"/>
              <w:rPr/>
            </w:pPr>
            <w:r>
              <w:rPr/>
              <w:t xml:space="preserve">аварийная </w:t>
            </w:r>
          </w:p>
          <w:p>
            <w:pPr>
              <w:pStyle w:val="Normal"/>
              <w:jc w:val="center"/>
              <w:rPr/>
            </w:pPr>
            <w:r>
              <w:rPr/>
            </w:r>
          </w:p>
        </w:tc>
        <w:tc>
          <w:tcPr>
            <w:tcW w:w="1800" w:type="dxa"/>
            <w:gridSpan w:val="2"/>
            <w:tcBorders>
              <w:start w:val="single" w:sz="2" w:space="0" w:color="000000"/>
            </w:tcBorders>
            <w:shd w:fill="auto" w:val="clear"/>
            <w:tcMar>
              <w:start w:w="102" w:type="dxa"/>
            </w:tcMar>
          </w:tcPr>
          <w:p>
            <w:pPr>
              <w:pStyle w:val="Normal"/>
              <w:rPr/>
            </w:pPr>
            <w:r>
              <w:rPr/>
              <w:t xml:space="preserve">II-г </w:t>
            </w:r>
          </w:p>
          <w:p>
            <w:pPr>
              <w:pStyle w:val="Normal"/>
              <w:rPr/>
            </w:pPr>
            <w:r>
              <w:rPr/>
            </w:r>
          </w:p>
        </w:tc>
        <w:tc>
          <w:tcPr>
            <w:tcW w:w="1455" w:type="dxa"/>
            <w:gridSpan w:val="2"/>
            <w:tcBorders>
              <w:start w:val="single" w:sz="2" w:space="0" w:color="000000"/>
            </w:tcBorders>
            <w:shd w:fill="auto" w:val="clear"/>
            <w:tcMar>
              <w:start w:w="102" w:type="dxa"/>
            </w:tcMar>
          </w:tcPr>
          <w:p>
            <w:pPr>
              <w:pStyle w:val="Normal"/>
              <w:rPr/>
            </w:pPr>
            <w:r>
              <w:rPr/>
              <w:t xml:space="preserve">0,2 </w:t>
            </w:r>
          </w:p>
          <w:p>
            <w:pPr>
              <w:pStyle w:val="Normal"/>
              <w:rPr/>
            </w:pPr>
            <w:r>
              <w:rPr/>
            </w:r>
          </w:p>
        </w:tc>
        <w:tc>
          <w:tcPr>
            <w:tcW w:w="147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50 </w:t>
            </w:r>
          </w:p>
          <w:p>
            <w:pPr>
              <w:pStyle w:val="Normal"/>
              <w:rPr/>
            </w:pPr>
            <w:r>
              <w:rPr/>
            </w:r>
          </w:p>
        </w:tc>
      </w:tr>
      <w:tr>
        <w:trPr/>
        <w:tc>
          <w:tcPr>
            <w:tcW w:w="1875" w:type="dxa"/>
            <w:tcBorders>
              <w:start w:val="single" w:sz="2" w:space="0" w:color="000000"/>
            </w:tcBorders>
            <w:shd w:fill="auto" w:val="clear"/>
            <w:tcMar>
              <w:start w:w="102" w:type="dxa"/>
            </w:tcMar>
          </w:tcPr>
          <w:p>
            <w:pPr>
              <w:pStyle w:val="Normal"/>
              <w:ind w:firstLine="180"/>
              <w:jc w:val="both"/>
              <w:rPr/>
            </w:pPr>
            <w:r>
              <w:rPr/>
              <w:t>г) аммиака</w:t>
            </w:r>
          </w:p>
          <w:p>
            <w:pPr>
              <w:pStyle w:val="Normal"/>
              <w:ind w:firstLine="180"/>
              <w:jc w:val="both"/>
              <w:rPr/>
            </w:pPr>
            <w:r>
              <w:rPr/>
            </w:r>
          </w:p>
          <w:p>
            <w:pPr>
              <w:pStyle w:val="Normal"/>
              <w:ind w:firstLine="180"/>
              <w:jc w:val="both"/>
              <w:rPr/>
            </w:pPr>
            <w:r>
              <w:rPr/>
            </w:r>
          </w:p>
        </w:tc>
        <w:tc>
          <w:tcPr>
            <w:tcW w:w="1380" w:type="dxa"/>
            <w:tcBorders>
              <w:start w:val="single" w:sz="2" w:space="0" w:color="000000"/>
            </w:tcBorders>
            <w:shd w:fill="auto" w:val="clear"/>
            <w:tcMar>
              <w:start w:w="102" w:type="dxa"/>
            </w:tcMar>
          </w:tcPr>
          <w:p>
            <w:pPr>
              <w:pStyle w:val="Normal"/>
              <w:jc w:val="center"/>
              <w:rPr/>
            </w:pPr>
            <w:r>
              <w:rPr/>
              <w:t xml:space="preserve">Не отапливается </w:t>
            </w:r>
          </w:p>
          <w:p>
            <w:pPr>
              <w:pStyle w:val="Normal"/>
              <w:jc w:val="center"/>
              <w:rPr/>
            </w:pPr>
            <w:r>
              <w:rPr/>
            </w:r>
          </w:p>
        </w:tc>
        <w:tc>
          <w:tcPr>
            <w:tcW w:w="810" w:type="dxa"/>
            <w:gridSpan w:val="2"/>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140" w:type="dxa"/>
            <w:gridSpan w:val="2"/>
            <w:tcBorders>
              <w:start w:val="single" w:sz="2" w:space="0" w:color="000000"/>
            </w:tcBorders>
            <w:shd w:fill="auto" w:val="clear"/>
            <w:tcMar>
              <w:start w:w="102" w:type="dxa"/>
            </w:tcMar>
          </w:tcPr>
          <w:p>
            <w:pPr>
              <w:pStyle w:val="Normal"/>
              <w:jc w:val="center"/>
              <w:rPr/>
            </w:pPr>
            <w:r>
              <w:rPr/>
              <w:t xml:space="preserve">6 </w:t>
            </w:r>
          </w:p>
          <w:p>
            <w:pPr>
              <w:pStyle w:val="Normal"/>
              <w:jc w:val="center"/>
              <w:rPr/>
            </w:pPr>
            <w:r>
              <w:rPr/>
            </w:r>
          </w:p>
        </w:tc>
        <w:tc>
          <w:tcPr>
            <w:tcW w:w="1800" w:type="dxa"/>
            <w:gridSpan w:val="2"/>
            <w:tcBorders>
              <w:start w:val="single" w:sz="2" w:space="0" w:color="000000"/>
            </w:tcBorders>
            <w:shd w:fill="auto" w:val="clear"/>
            <w:tcMar>
              <w:start w:w="102" w:type="dxa"/>
            </w:tcMar>
          </w:tcPr>
          <w:p>
            <w:pPr>
              <w:pStyle w:val="Normal"/>
              <w:rPr/>
            </w:pPr>
            <w:r>
              <w:rPr/>
              <w:t xml:space="preserve">II-г </w:t>
            </w:r>
          </w:p>
          <w:p>
            <w:pPr>
              <w:pStyle w:val="Normal"/>
              <w:rPr/>
            </w:pPr>
            <w:r>
              <w:rPr/>
            </w:r>
          </w:p>
        </w:tc>
        <w:tc>
          <w:tcPr>
            <w:tcW w:w="1455" w:type="dxa"/>
            <w:gridSpan w:val="2"/>
            <w:tcBorders>
              <w:start w:val="single" w:sz="2" w:space="0" w:color="000000"/>
            </w:tcBorders>
            <w:shd w:fill="auto" w:val="clear"/>
            <w:tcMar>
              <w:start w:w="102" w:type="dxa"/>
            </w:tcMar>
          </w:tcPr>
          <w:p>
            <w:pPr>
              <w:pStyle w:val="Normal"/>
              <w:rPr/>
            </w:pPr>
            <w:r>
              <w:rPr/>
              <w:t xml:space="preserve">0,2 </w:t>
            </w:r>
          </w:p>
          <w:p>
            <w:pPr>
              <w:pStyle w:val="Normal"/>
              <w:rPr/>
            </w:pPr>
            <w:r>
              <w:rPr/>
            </w:r>
          </w:p>
        </w:tc>
        <w:tc>
          <w:tcPr>
            <w:tcW w:w="147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50 </w:t>
            </w:r>
          </w:p>
          <w:p>
            <w:pPr>
              <w:pStyle w:val="Normal"/>
              <w:rPr/>
            </w:pPr>
            <w:r>
              <w:rPr/>
            </w:r>
          </w:p>
        </w:tc>
      </w:tr>
      <w:tr>
        <w:trPr/>
        <w:tc>
          <w:tcPr>
            <w:tcW w:w="1875" w:type="dxa"/>
            <w:tcBorders>
              <w:start w:val="single" w:sz="2" w:space="0" w:color="000000"/>
            </w:tcBorders>
            <w:shd w:fill="auto" w:val="clear"/>
            <w:tcMar>
              <w:start w:w="102" w:type="dxa"/>
            </w:tcMar>
          </w:tcPr>
          <w:p>
            <w:pPr>
              <w:pStyle w:val="Normal"/>
              <w:ind w:firstLine="90"/>
              <w:jc w:val="both"/>
              <w:rPr/>
            </w:pPr>
            <w:r>
              <w:rPr/>
              <w:t>д) активного угля, фосфатов, сульфоугля, полиакриламида, жидкого стекла, фторсодержащих реагентов</w:t>
            </w:r>
          </w:p>
          <w:p>
            <w:pPr>
              <w:pStyle w:val="Normal"/>
              <w:ind w:firstLine="90"/>
              <w:jc w:val="both"/>
              <w:rPr/>
            </w:pPr>
            <w:r>
              <w:rPr/>
            </w:r>
          </w:p>
          <w:p>
            <w:pPr>
              <w:pStyle w:val="Normal"/>
              <w:ind w:firstLine="90"/>
              <w:jc w:val="both"/>
              <w:rPr/>
            </w:pPr>
            <w:r>
              <w:rPr/>
            </w:r>
          </w:p>
        </w:tc>
        <w:tc>
          <w:tcPr>
            <w:tcW w:w="1380" w:type="dxa"/>
            <w:tcBorders>
              <w:start w:val="single" w:sz="2" w:space="0" w:color="000000"/>
            </w:tcBorders>
            <w:shd w:fill="auto" w:val="clear"/>
            <w:tcMar>
              <w:start w:w="102" w:type="dxa"/>
            </w:tcMar>
          </w:tcPr>
          <w:p>
            <w:pPr>
              <w:pStyle w:val="Normal"/>
              <w:jc w:val="center"/>
              <w:rPr/>
            </w:pPr>
            <w:r>
              <w:rPr/>
              <w:t xml:space="preserve">5 </w:t>
            </w:r>
          </w:p>
          <w:p>
            <w:pPr>
              <w:pStyle w:val="Normal"/>
              <w:jc w:val="center"/>
              <w:rPr/>
            </w:pPr>
            <w:r>
              <w:rPr/>
            </w:r>
          </w:p>
        </w:tc>
        <w:tc>
          <w:tcPr>
            <w:tcW w:w="810" w:type="dxa"/>
            <w:gridSpan w:val="2"/>
            <w:tcBorders>
              <w:start w:val="single" w:sz="2" w:space="0" w:color="000000"/>
            </w:tcBorders>
            <w:shd w:fill="auto" w:val="clear"/>
            <w:tcMar>
              <w:start w:w="102" w:type="dxa"/>
            </w:tcMar>
          </w:tcPr>
          <w:p>
            <w:pPr>
              <w:pStyle w:val="Normal"/>
              <w:rPr/>
            </w:pPr>
            <w:r>
              <w:rPr/>
              <w:t xml:space="preserve">3 </w:t>
            </w:r>
          </w:p>
          <w:p>
            <w:pPr>
              <w:pStyle w:val="Normal"/>
              <w:rPr/>
            </w:pPr>
            <w:r>
              <w:rPr/>
            </w:r>
          </w:p>
        </w:tc>
        <w:tc>
          <w:tcPr>
            <w:tcW w:w="1140" w:type="dxa"/>
            <w:gridSpan w:val="2"/>
            <w:tcBorders>
              <w:start w:val="single" w:sz="2" w:space="0" w:color="000000"/>
            </w:tcBorders>
            <w:shd w:fill="auto" w:val="clear"/>
            <w:tcMar>
              <w:start w:w="102" w:type="dxa"/>
            </w:tcMar>
          </w:tcPr>
          <w:p>
            <w:pPr>
              <w:pStyle w:val="Normal"/>
              <w:rPr/>
            </w:pPr>
            <w:r>
              <w:rPr/>
              <w:t xml:space="preserve">3 </w:t>
            </w:r>
          </w:p>
          <w:p>
            <w:pPr>
              <w:pStyle w:val="Normal"/>
              <w:rPr/>
            </w:pPr>
            <w:r>
              <w:rPr/>
            </w:r>
          </w:p>
        </w:tc>
        <w:tc>
          <w:tcPr>
            <w:tcW w:w="1800" w:type="dxa"/>
            <w:gridSpan w:val="2"/>
            <w:tcBorders>
              <w:start w:val="single" w:sz="2" w:space="0" w:color="000000"/>
            </w:tcBorders>
            <w:shd w:fill="auto" w:val="clear"/>
            <w:tcMar>
              <w:start w:w="102" w:type="dxa"/>
            </w:tcMar>
          </w:tcPr>
          <w:p>
            <w:pPr>
              <w:pStyle w:val="Normal"/>
              <w:rPr/>
            </w:pPr>
            <w:r>
              <w:rPr/>
              <w:t xml:space="preserve">II-в </w:t>
            </w:r>
          </w:p>
          <w:p>
            <w:pPr>
              <w:pStyle w:val="Normal"/>
              <w:rPr/>
            </w:pPr>
            <w:r>
              <w:rPr/>
            </w:r>
          </w:p>
        </w:tc>
        <w:tc>
          <w:tcPr>
            <w:tcW w:w="1455" w:type="dxa"/>
            <w:gridSpan w:val="2"/>
            <w:tcBorders>
              <w:start w:val="single" w:sz="2" w:space="0" w:color="000000"/>
            </w:tcBorders>
            <w:shd w:fill="auto" w:val="clear"/>
            <w:tcMar>
              <w:start w:w="102" w:type="dxa"/>
            </w:tcMar>
          </w:tcPr>
          <w:p>
            <w:pPr>
              <w:pStyle w:val="Normal"/>
              <w:rPr/>
            </w:pPr>
            <w:r>
              <w:rPr/>
              <w:t xml:space="preserve">0,2 </w:t>
            </w:r>
          </w:p>
          <w:p>
            <w:pPr>
              <w:pStyle w:val="Normal"/>
              <w:rPr/>
            </w:pPr>
            <w:r>
              <w:rPr/>
            </w:r>
          </w:p>
        </w:tc>
        <w:tc>
          <w:tcPr>
            <w:tcW w:w="147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50 </w:t>
            </w:r>
          </w:p>
          <w:p>
            <w:pPr>
              <w:pStyle w:val="Normal"/>
              <w:rPr/>
            </w:pPr>
            <w:r>
              <w:rPr/>
            </w:r>
          </w:p>
        </w:tc>
      </w:tr>
      <w:tr>
        <w:trPr/>
        <w:tc>
          <w:tcPr>
            <w:tcW w:w="1875" w:type="dxa"/>
            <w:tcBorders>
              <w:start w:val="single" w:sz="2" w:space="0" w:color="000000"/>
            </w:tcBorders>
            <w:shd w:fill="auto" w:val="clear"/>
            <w:tcMar>
              <w:start w:w="102" w:type="dxa"/>
            </w:tcMar>
          </w:tcPr>
          <w:p>
            <w:pPr>
              <w:pStyle w:val="Normal"/>
              <w:ind w:firstLine="90"/>
              <w:jc w:val="both"/>
              <w:rPr/>
            </w:pPr>
            <w:r>
              <w:rPr/>
              <w:t>е) серной кислоты</w:t>
            </w:r>
          </w:p>
          <w:p>
            <w:pPr>
              <w:pStyle w:val="Normal"/>
              <w:ind w:firstLine="90"/>
              <w:jc w:val="both"/>
              <w:rPr/>
            </w:pPr>
            <w:r>
              <w:rPr/>
            </w:r>
          </w:p>
          <w:p>
            <w:pPr>
              <w:pStyle w:val="Normal"/>
              <w:ind w:firstLine="90"/>
              <w:jc w:val="both"/>
              <w:rPr/>
            </w:pPr>
            <w:r>
              <w:rPr/>
            </w:r>
          </w:p>
        </w:tc>
        <w:tc>
          <w:tcPr>
            <w:tcW w:w="1380" w:type="dxa"/>
            <w:tcBorders>
              <w:start w:val="single" w:sz="2" w:space="0" w:color="000000"/>
            </w:tcBorders>
            <w:shd w:fill="auto" w:val="clear"/>
            <w:tcMar>
              <w:start w:w="102" w:type="dxa"/>
            </w:tcMar>
          </w:tcPr>
          <w:p>
            <w:pPr>
              <w:pStyle w:val="Normal"/>
              <w:jc w:val="center"/>
              <w:rPr/>
            </w:pPr>
            <w:r>
              <w:rPr/>
              <w:t xml:space="preserve">5 </w:t>
            </w:r>
          </w:p>
          <w:p>
            <w:pPr>
              <w:pStyle w:val="Normal"/>
              <w:jc w:val="center"/>
              <w:rPr/>
            </w:pPr>
            <w:r>
              <w:rPr/>
            </w:r>
          </w:p>
        </w:tc>
        <w:tc>
          <w:tcPr>
            <w:tcW w:w="810" w:type="dxa"/>
            <w:gridSpan w:val="2"/>
            <w:tcBorders>
              <w:start w:val="single" w:sz="2" w:space="0" w:color="000000"/>
            </w:tcBorders>
            <w:shd w:fill="auto" w:val="clear"/>
            <w:tcMar>
              <w:start w:w="102" w:type="dxa"/>
            </w:tcMar>
          </w:tcPr>
          <w:p>
            <w:pPr>
              <w:pStyle w:val="Normal"/>
              <w:rPr/>
            </w:pPr>
            <w:r>
              <w:rPr/>
              <w:t xml:space="preserve">6 </w:t>
            </w:r>
          </w:p>
          <w:p>
            <w:pPr>
              <w:pStyle w:val="Normal"/>
              <w:rPr/>
            </w:pPr>
            <w:r>
              <w:rPr/>
            </w:r>
          </w:p>
        </w:tc>
        <w:tc>
          <w:tcPr>
            <w:tcW w:w="1140" w:type="dxa"/>
            <w:gridSpan w:val="2"/>
            <w:tcBorders>
              <w:start w:val="single" w:sz="2" w:space="0" w:color="000000"/>
            </w:tcBorders>
            <w:shd w:fill="auto" w:val="clear"/>
            <w:tcMar>
              <w:start w:w="102" w:type="dxa"/>
            </w:tcMar>
          </w:tcPr>
          <w:p>
            <w:pPr>
              <w:pStyle w:val="Normal"/>
              <w:rPr/>
            </w:pPr>
            <w:r>
              <w:rPr/>
              <w:t xml:space="preserve">6 </w:t>
            </w:r>
          </w:p>
          <w:p>
            <w:pPr>
              <w:pStyle w:val="Normal"/>
              <w:rPr/>
            </w:pPr>
            <w:r>
              <w:rPr/>
            </w:r>
          </w:p>
        </w:tc>
        <w:tc>
          <w:tcPr>
            <w:tcW w:w="1800" w:type="dxa"/>
            <w:gridSpan w:val="2"/>
            <w:tcBorders>
              <w:start w:val="single" w:sz="2" w:space="0" w:color="000000"/>
            </w:tcBorders>
            <w:shd w:fill="auto" w:val="clear"/>
            <w:tcMar>
              <w:start w:w="102" w:type="dxa"/>
            </w:tcMar>
          </w:tcPr>
          <w:p>
            <w:pPr>
              <w:pStyle w:val="Normal"/>
              <w:rPr/>
            </w:pPr>
            <w:r>
              <w:rPr/>
              <w:t xml:space="preserve">II-г </w:t>
            </w:r>
          </w:p>
          <w:p>
            <w:pPr>
              <w:pStyle w:val="Normal"/>
              <w:rPr/>
            </w:pPr>
            <w:r>
              <w:rPr/>
            </w:r>
          </w:p>
        </w:tc>
        <w:tc>
          <w:tcPr>
            <w:tcW w:w="1455" w:type="dxa"/>
            <w:gridSpan w:val="2"/>
            <w:tcBorders>
              <w:start w:val="single" w:sz="2" w:space="0" w:color="000000"/>
            </w:tcBorders>
            <w:shd w:fill="auto" w:val="clear"/>
            <w:tcMar>
              <w:start w:w="102" w:type="dxa"/>
            </w:tcMar>
          </w:tcPr>
          <w:p>
            <w:pPr>
              <w:pStyle w:val="Normal"/>
              <w:rPr/>
            </w:pPr>
            <w:r>
              <w:rPr/>
              <w:t xml:space="preserve">0,2 </w:t>
            </w:r>
          </w:p>
          <w:p>
            <w:pPr>
              <w:pStyle w:val="Normal"/>
              <w:rPr/>
            </w:pPr>
            <w:r>
              <w:rPr/>
            </w:r>
          </w:p>
        </w:tc>
        <w:tc>
          <w:tcPr>
            <w:tcW w:w="1475"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50 </w:t>
            </w:r>
          </w:p>
          <w:p>
            <w:pPr>
              <w:pStyle w:val="Normal"/>
              <w:rPr/>
            </w:pPr>
            <w:r>
              <w:rPr/>
            </w:r>
          </w:p>
        </w:tc>
      </w:tr>
      <w:tr>
        <w:trPr/>
        <w:tc>
          <w:tcPr>
            <w:tcW w:w="1875" w:type="dxa"/>
            <w:tcBorders>
              <w:start w:val="single" w:sz="2" w:space="0" w:color="000000"/>
              <w:bottom w:val="single" w:sz="2" w:space="0" w:color="000000"/>
              <w:insideH w:val="single" w:sz="2" w:space="0" w:color="000000"/>
            </w:tcBorders>
            <w:shd w:fill="auto" w:val="clear"/>
            <w:tcMar>
              <w:start w:w="102" w:type="dxa"/>
            </w:tcMar>
          </w:tcPr>
          <w:p>
            <w:pPr>
              <w:pStyle w:val="Normal"/>
              <w:ind w:firstLine="135"/>
              <w:jc w:val="both"/>
              <w:rPr/>
            </w:pPr>
            <w:r>
              <w:rPr/>
              <w:t>ж) хлорного железа</w:t>
            </w:r>
          </w:p>
          <w:p>
            <w:pPr>
              <w:pStyle w:val="Normal"/>
              <w:ind w:firstLine="135"/>
              <w:jc w:val="both"/>
              <w:rPr/>
            </w:pPr>
            <w:r>
              <w:rPr/>
            </w:r>
          </w:p>
          <w:p>
            <w:pPr>
              <w:pStyle w:val="Normal"/>
              <w:ind w:firstLine="135"/>
              <w:jc w:val="both"/>
              <w:rPr/>
            </w:pPr>
            <w:r>
              <w:rPr/>
            </w:r>
          </w:p>
        </w:tc>
        <w:tc>
          <w:tcPr>
            <w:tcW w:w="138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5 </w:t>
            </w:r>
          </w:p>
          <w:p>
            <w:pPr>
              <w:pStyle w:val="Normal"/>
              <w:jc w:val="center"/>
              <w:rPr/>
            </w:pPr>
            <w:r>
              <w:rPr/>
            </w:r>
          </w:p>
        </w:tc>
        <w:tc>
          <w:tcPr>
            <w:tcW w:w="810"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6 </w:t>
            </w:r>
          </w:p>
          <w:p>
            <w:pPr>
              <w:pStyle w:val="Normal"/>
              <w:rPr/>
            </w:pPr>
            <w:r>
              <w:rPr/>
            </w:r>
          </w:p>
        </w:tc>
        <w:tc>
          <w:tcPr>
            <w:tcW w:w="1140"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6 </w:t>
            </w:r>
          </w:p>
          <w:p>
            <w:pPr>
              <w:pStyle w:val="Normal"/>
              <w:rPr/>
            </w:pPr>
            <w:r>
              <w:rPr/>
            </w:r>
          </w:p>
        </w:tc>
        <w:tc>
          <w:tcPr>
            <w:tcW w:w="1800"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II-г </w:t>
            </w:r>
          </w:p>
          <w:p>
            <w:pPr>
              <w:pStyle w:val="Normal"/>
              <w:rPr/>
            </w:pPr>
            <w:r>
              <w:rPr/>
            </w:r>
          </w:p>
        </w:tc>
        <w:tc>
          <w:tcPr>
            <w:tcW w:w="1455"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0,2 </w:t>
            </w:r>
          </w:p>
          <w:p>
            <w:pPr>
              <w:pStyle w:val="Normal"/>
              <w:rPr/>
            </w:pPr>
            <w:r>
              <w:rPr/>
            </w:r>
          </w:p>
        </w:tc>
        <w:tc>
          <w:tcPr>
            <w:tcW w:w="147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50 </w:t>
            </w:r>
          </w:p>
          <w:p>
            <w:pPr>
              <w:pStyle w:val="Normal"/>
              <w:rPr/>
            </w:pPr>
            <w:r>
              <w:rPr/>
            </w:r>
          </w:p>
        </w:tc>
      </w:tr>
    </w:tbl>
    <w:p>
      <w:pPr>
        <w:pStyle w:val="Normal"/>
        <w:ind w:firstLine="540"/>
        <w:jc w:val="both"/>
        <w:rPr/>
      </w:pPr>
      <w:r>
        <w:rPr/>
      </w:r>
    </w:p>
    <w:p>
      <w:pPr>
        <w:pStyle w:val="Normal"/>
        <w:ind w:firstLine="540"/>
        <w:jc w:val="both"/>
        <w:rPr/>
      </w:pPr>
      <w:r>
        <w:rPr/>
      </w:r>
    </w:p>
    <w:p>
      <w:pPr>
        <w:pStyle w:val="Normal"/>
        <w:ind w:firstLine="225"/>
        <w:jc w:val="both"/>
        <w:rPr/>
      </w:pPr>
      <w:r>
        <w:rPr/>
        <w:t>Примечания: 1. При наличии в производственных помещениях постоянного обслуживающего персонала температура воздуха в них должна быть не менее 16 град.С.</w:t>
      </w:r>
    </w:p>
    <w:p>
      <w:pPr>
        <w:pStyle w:val="Normal"/>
        <w:ind w:firstLine="225"/>
        <w:jc w:val="both"/>
        <w:rPr/>
      </w:pPr>
      <w:r>
        <w:rPr/>
      </w:r>
    </w:p>
    <w:p>
      <w:pPr>
        <w:pStyle w:val="Normal"/>
        <w:ind w:firstLine="225"/>
        <w:jc w:val="both"/>
        <w:rPr/>
      </w:pPr>
      <w:r>
        <w:rPr/>
        <w:t>2. Температуру воздуха в помещениях, имеющих большие водные поверхности, следует принимать не менее чем на 2 град.С выше температуры водной поверхности.</w:t>
      </w:r>
    </w:p>
    <w:p>
      <w:pPr>
        <w:pStyle w:val="Normal"/>
        <w:ind w:firstLine="225"/>
        <w:jc w:val="both"/>
        <w:rPr/>
      </w:pPr>
      <w:r>
        <w:rPr/>
      </w:r>
    </w:p>
    <w:p>
      <w:pPr>
        <w:pStyle w:val="Normal"/>
        <w:ind w:firstLine="225"/>
        <w:jc w:val="both"/>
        <w:rPr/>
      </w:pPr>
      <w:r>
        <w:rPr/>
        <w:t>3. В складах жидкого хлора отопление, как правило, не предусматривается. При установке в расходном складе хлора, кроме тары с жидким хлором, технологического оборудования, связанного с эксплуатацией хлорного хозяйства, следует предусматривать отопление для обеспечения расчетной температуры воздуха 5 град.С.</w:t>
      </w:r>
    </w:p>
    <w:p>
      <w:pPr>
        <w:pStyle w:val="Normal"/>
        <w:ind w:firstLine="225"/>
        <w:jc w:val="both"/>
        <w:rPr/>
      </w:pPr>
      <w:r>
        <w:rPr/>
      </w:r>
    </w:p>
    <w:p>
      <w:pPr>
        <w:pStyle w:val="Normal"/>
        <w:ind w:firstLine="225"/>
        <w:jc w:val="both"/>
        <w:rPr/>
      </w:pPr>
      <w:r>
        <w:rPr/>
        <w:t xml:space="preserve">4. Нормируемый коэффициент естественного освещения приведен для III пояса светового климата. Значения коэффициентов для других поясов, а также расчет освещенности для зданий и помещений, не указанных в табл. 44, следует принимать согласно </w:t>
      </w:r>
      <w:r>
        <w:rPr>
          <w:vanish/>
        </w:rPr>
        <w:t>#M12291 871001026</w:t>
      </w:r>
      <w:r>
        <w:rPr/>
        <w:t>СНиП 23-05-95</w:t>
      </w:r>
      <w:r>
        <w:rPr>
          <w:vanish/>
        </w:rPr>
        <w:t>#S</w:t>
      </w:r>
      <w:r>
        <w:rPr/>
        <w:t>.</w:t>
      </w:r>
    </w:p>
    <w:p>
      <w:pPr>
        <w:pStyle w:val="Normal"/>
        <w:ind w:firstLine="270"/>
        <w:jc w:val="both"/>
        <w:rPr/>
      </w:pPr>
      <w:r>
        <w:rPr/>
      </w:r>
    </w:p>
    <w:p>
      <w:pPr>
        <w:pStyle w:val="Normal"/>
        <w:ind w:firstLine="225"/>
        <w:jc w:val="both"/>
        <w:rPr/>
      </w:pPr>
      <w:r>
        <w:rPr/>
      </w:r>
    </w:p>
    <w:p>
      <w:pPr>
        <w:pStyle w:val="Heading"/>
        <w:jc w:val="center"/>
        <w:rPr/>
      </w:pPr>
      <w:r>
        <w:rPr/>
        <w:t>15. ДОПОЛНИТЕЛЬНЫЕ ТРЕБОВАНИЯ</w:t>
      </w:r>
    </w:p>
    <w:p>
      <w:pPr>
        <w:pStyle w:val="Heading"/>
        <w:jc w:val="center"/>
        <w:rPr/>
      </w:pPr>
      <w:r>
        <w:rPr/>
        <w:t>К СИСТЕМАМ ВОДОСНАБЖЕНИЯ В ОСОБЫХ ПРИРОДНЫХ</w:t>
      </w:r>
    </w:p>
    <w:p>
      <w:pPr>
        <w:pStyle w:val="Heading"/>
        <w:jc w:val="center"/>
        <w:rPr/>
      </w:pPr>
      <w:r>
        <w:rPr/>
        <w:t>И КЛИМАТИЧЕСКИХ УСЛОВИЯХ</w:t>
      </w:r>
    </w:p>
    <w:p>
      <w:pPr>
        <w:pStyle w:val="Heading"/>
        <w:jc w:val="center"/>
        <w:rPr/>
      </w:pPr>
      <w:r>
        <w:rPr/>
      </w:r>
    </w:p>
    <w:p>
      <w:pPr>
        <w:pStyle w:val="Heading"/>
        <w:jc w:val="center"/>
        <w:rPr/>
      </w:pPr>
      <w:r>
        <w:rPr/>
      </w:r>
    </w:p>
    <w:p>
      <w:pPr>
        <w:pStyle w:val="Heading"/>
        <w:jc w:val="center"/>
        <w:rPr/>
      </w:pPr>
      <w:r>
        <w:rPr/>
        <w:t>СЕЙСМИЧЕСКИЕ РАЙОНЫ</w:t>
      </w:r>
    </w:p>
    <w:p>
      <w:pPr>
        <w:pStyle w:val="Heading"/>
        <w:jc w:val="center"/>
        <w:rPr/>
      </w:pPr>
      <w:r>
        <w:rPr/>
      </w:r>
    </w:p>
    <w:p>
      <w:pPr>
        <w:pStyle w:val="Heading"/>
        <w:jc w:val="center"/>
        <w:rPr/>
      </w:pPr>
      <w:r>
        <w:rPr/>
        <w:t xml:space="preserve">Общие указания </w:t>
      </w:r>
    </w:p>
    <w:p>
      <w:pPr>
        <w:pStyle w:val="Normal"/>
        <w:ind w:firstLine="360"/>
        <w:jc w:val="both"/>
        <w:rPr>
          <w:b/>
          <w:b/>
          <w:sz w:val="22"/>
        </w:rPr>
      </w:pPr>
      <w:r>
        <w:rPr>
          <w:b/>
          <w:sz w:val="22"/>
        </w:rPr>
      </w:r>
    </w:p>
    <w:p>
      <w:pPr>
        <w:pStyle w:val="Normal"/>
        <w:jc w:val="both"/>
        <w:rPr>
          <w:b/>
          <w:b/>
          <w:sz w:val="22"/>
        </w:rPr>
      </w:pPr>
      <w:r>
        <w:rPr>
          <w:b/>
          <w:sz w:val="22"/>
        </w:rPr>
      </w:r>
    </w:p>
    <w:p>
      <w:pPr>
        <w:pStyle w:val="Normal"/>
        <w:ind w:firstLine="225"/>
        <w:jc w:val="both"/>
        <w:rPr/>
      </w:pPr>
      <w:r>
        <w:rPr/>
        <w:t>15.1. Требования настоящего подраздела должны выполняться при проектировании систем водоснабжения в районах с сейсмичностью 7, 8 и 9 баллов.</w:t>
      </w:r>
    </w:p>
    <w:p>
      <w:pPr>
        <w:pStyle w:val="Normal"/>
        <w:ind w:firstLine="225"/>
        <w:jc w:val="both"/>
        <w:rPr/>
      </w:pPr>
      <w:r>
        <w:rPr/>
      </w:r>
    </w:p>
    <w:p>
      <w:pPr>
        <w:pStyle w:val="Normal"/>
        <w:ind w:firstLine="225"/>
        <w:jc w:val="both"/>
        <w:rPr/>
      </w:pPr>
      <w:r>
        <w:rPr/>
        <w:t>15.2. В районах с сейсмичностью 8 и 9 баллов при проектировании систем водоснабжения I категории и, как правило,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pPr>
        <w:pStyle w:val="Normal"/>
        <w:ind w:firstLine="225"/>
        <w:jc w:val="both"/>
        <w:rPr/>
      </w:pPr>
      <w:r>
        <w:rPr/>
      </w:r>
    </w:p>
    <w:p>
      <w:pPr>
        <w:pStyle w:val="Normal"/>
        <w:ind w:firstLine="225"/>
        <w:jc w:val="both"/>
        <w:rPr/>
      </w:pPr>
      <w:r>
        <w:rPr/>
        <w:t>Для систем водоснабжения III категории и, при обосновании, для II категории, а также для систем водоснабжения всех категорий в районах с сейсмичностью 7 баллов допускается использование одного источника водоснабжения.</w:t>
      </w:r>
    </w:p>
    <w:p>
      <w:pPr>
        <w:pStyle w:val="Normal"/>
        <w:ind w:firstLine="225"/>
        <w:jc w:val="both"/>
        <w:rPr/>
      </w:pPr>
      <w:r>
        <w:rPr/>
      </w:r>
    </w:p>
    <w:p>
      <w:pPr>
        <w:pStyle w:val="Normal"/>
        <w:ind w:firstLine="225"/>
        <w:jc w:val="both"/>
        <w:rPr/>
      </w:pPr>
      <w:r>
        <w:rPr/>
        <w:t>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гравелистых пород.</w:t>
      </w:r>
    </w:p>
    <w:p>
      <w:pPr>
        <w:pStyle w:val="Normal"/>
        <w:ind w:firstLine="225"/>
        <w:jc w:val="both"/>
        <w:rPr/>
      </w:pPr>
      <w:r>
        <w:rPr/>
      </w:r>
    </w:p>
    <w:p>
      <w:pPr>
        <w:pStyle w:val="Normal"/>
        <w:ind w:firstLine="225"/>
        <w:jc w:val="both"/>
        <w:rPr/>
      </w:pPr>
      <w:r>
        <w:rPr/>
        <w:t>15.3. 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пожаротушение в два раза больше определяемого по п. 9.4 и аварийный объем воды, обеспечивающий производственные нужды по аварийному графику и хозяйственно-питьевые нужды в размере 70 % расчетного расхода не менее 8 ч в районах с сейсмичностью 8 баллов и не менее 12 ч в районах с сейсмичностью 9 баллов.</w:t>
      </w:r>
    </w:p>
    <w:p>
      <w:pPr>
        <w:pStyle w:val="Normal"/>
        <w:ind w:firstLine="225"/>
        <w:jc w:val="both"/>
        <w:rPr/>
      </w:pPr>
      <w:r>
        <w:rPr/>
      </w:r>
    </w:p>
    <w:p>
      <w:pPr>
        <w:pStyle w:val="Normal"/>
        <w:ind w:firstLine="225"/>
        <w:jc w:val="both"/>
        <w:rPr/>
      </w:pPr>
      <w:r>
        <w:rPr/>
        <w:t>15.4. Расчетное число одновременных пожаров в районах с сейсмичностью 9 баллов необходимо принимать на один больше, чем указано в пп. 2.12, 2.22 и 2.23 (за исключением населенных пунктов, предприятий и отдельно стоящих зданий при расходе воды на наружное пожаротушение не более 15 л/с).</w:t>
      </w:r>
    </w:p>
    <w:p>
      <w:pPr>
        <w:pStyle w:val="Normal"/>
        <w:ind w:firstLine="225"/>
        <w:jc w:val="both"/>
        <w:rPr/>
      </w:pPr>
      <w:r>
        <w:rPr/>
      </w:r>
    </w:p>
    <w:p>
      <w:pPr>
        <w:pStyle w:val="Normal"/>
        <w:ind w:firstLine="225"/>
        <w:jc w:val="both"/>
        <w:rPr/>
      </w:pPr>
      <w:r>
        <w:rPr/>
        <w:t>15.5. Для повышения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санитарно-эпидемиологической службы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хозяйственно-питьевого водопровода.</w:t>
      </w:r>
    </w:p>
    <w:p>
      <w:pPr>
        <w:pStyle w:val="Normal"/>
        <w:ind w:firstLine="225"/>
        <w:jc w:val="both"/>
        <w:rPr/>
      </w:pPr>
      <w:r>
        <w:rPr/>
      </w:r>
    </w:p>
    <w:p>
      <w:pPr>
        <w:pStyle w:val="Normal"/>
        <w:ind w:firstLine="225"/>
        <w:jc w:val="both"/>
        <w:rPr/>
      </w:pPr>
      <w:r>
        <w:rPr/>
        <w:t>15.6.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pPr>
        <w:pStyle w:val="Normal"/>
        <w:ind w:firstLine="225"/>
        <w:jc w:val="both"/>
        <w:rPr/>
      </w:pPr>
      <w:r>
        <w:rPr/>
      </w:r>
    </w:p>
    <w:p>
      <w:pPr>
        <w:pStyle w:val="Normal"/>
        <w:ind w:firstLine="225"/>
        <w:jc w:val="both"/>
        <w:rPr/>
      </w:pPr>
      <w:r>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pPr>
        <w:pStyle w:val="Normal"/>
        <w:ind w:firstLine="225"/>
        <w:jc w:val="both"/>
        <w:rPr/>
      </w:pPr>
      <w:r>
        <w:rPr/>
      </w:r>
    </w:p>
    <w:p>
      <w:pPr>
        <w:pStyle w:val="Normal"/>
        <w:ind w:firstLine="225"/>
        <w:jc w:val="both"/>
        <w:rPr/>
      </w:pPr>
      <w:r>
        <w:rPr/>
        <w:t>15.7. Заглубленные насосные станции должны располагаться на расстоянии (в свету) не менее 10 м от резервуаров и трубопроводов.</w:t>
      </w:r>
    </w:p>
    <w:p>
      <w:pPr>
        <w:pStyle w:val="Normal"/>
        <w:ind w:firstLine="225"/>
        <w:jc w:val="both"/>
        <w:rPr/>
      </w:pPr>
      <w:r>
        <w:rPr/>
      </w:r>
    </w:p>
    <w:p>
      <w:pPr>
        <w:pStyle w:val="Normal"/>
        <w:ind w:firstLine="225"/>
        <w:jc w:val="both"/>
        <w:rPr/>
      </w:pPr>
      <w:r>
        <w:rPr/>
        <w:t>15.8. На станциях подготовки воды емкостные сооружения необходимо разделять на отдельные блоки, количество которых должно быть не менее двух.</w:t>
      </w:r>
    </w:p>
    <w:p>
      <w:pPr>
        <w:pStyle w:val="Normal"/>
        <w:ind w:firstLine="225"/>
        <w:jc w:val="both"/>
        <w:rPr/>
      </w:pPr>
      <w:r>
        <w:rPr/>
      </w:r>
    </w:p>
    <w:p>
      <w:pPr>
        <w:pStyle w:val="Normal"/>
        <w:ind w:firstLine="225"/>
        <w:jc w:val="both"/>
        <w:rPr/>
      </w:pPr>
      <w:r>
        <w:rPr/>
        <w:t>15.9. На станции подготовки воды должны предусматриваться обводные линии для подачи воды в сеть, минуя сооружения. Обводную линию надлежит прокладывать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pPr>
        <w:pStyle w:val="Normal"/>
        <w:ind w:firstLine="225"/>
        <w:jc w:val="both"/>
        <w:rPr/>
      </w:pPr>
      <w:r>
        <w:rPr/>
      </w:r>
    </w:p>
    <w:p>
      <w:pPr>
        <w:pStyle w:val="Normal"/>
        <w:ind w:firstLine="225"/>
        <w:jc w:val="both"/>
        <w:rPr/>
      </w:pPr>
      <w:r>
        <w:rPr/>
        <w:t>15.10. 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pPr>
        <w:pStyle w:val="Normal"/>
        <w:ind w:firstLine="225"/>
        <w:jc w:val="both"/>
        <w:rPr/>
      </w:pPr>
      <w:r>
        <w:rPr/>
      </w:r>
    </w:p>
    <w:p>
      <w:pPr>
        <w:pStyle w:val="Normal"/>
        <w:ind w:firstLine="225"/>
        <w:jc w:val="both"/>
        <w:rPr/>
      </w:pPr>
      <w:r>
        <w:rPr/>
        <w:t>15.11. Жесткая заделка труб в стенах и фундаментах зданий не допускается. Размеры отверстий для прохода труб должны обеспечивать зазор по периметру не менее 10 см; при наличии просадочных грунтов зазор по высоте должен быть не менее 20 см; заделку зазора надлежит принимать из плотных эластичных материалов.</w:t>
      </w:r>
    </w:p>
    <w:p>
      <w:pPr>
        <w:pStyle w:val="Normal"/>
        <w:ind w:firstLine="225"/>
        <w:jc w:val="both"/>
        <w:rPr/>
      </w:pPr>
      <w:r>
        <w:rPr/>
      </w:r>
    </w:p>
    <w:p>
      <w:pPr>
        <w:pStyle w:val="Normal"/>
        <w:ind w:firstLine="225"/>
        <w:jc w:val="both"/>
        <w:rPr/>
      </w:pPr>
      <w:r>
        <w:rPr/>
        <w:t>Проход труб через стены подземной части насосных станций и емкостных сооружений надлежит принимать таким, чтобы взаимные сейсмические воздействия стен и трубопроводов исключались. Как правило, для этой цели должны применяться сальники.</w:t>
      </w:r>
    </w:p>
    <w:p>
      <w:pPr>
        <w:pStyle w:val="Normal"/>
        <w:ind w:firstLine="225"/>
        <w:jc w:val="both"/>
        <w:rPr/>
      </w:pPr>
      <w:r>
        <w:rPr/>
      </w:r>
    </w:p>
    <w:p>
      <w:pPr>
        <w:pStyle w:val="Normal"/>
        <w:ind w:firstLine="225"/>
        <w:jc w:val="both"/>
        <w:rPr/>
      </w:pPr>
      <w:r>
        <w:rPr/>
        <w:t>15.12. На вводах и выходах трубопроводов из зданий или сооружений, в местах присоединения трубопроводов к насосам, водозаборным скважинам, в местах соединения стояков водонапорных башен с горизонтальными трубопроводами, а также в местах резкого изменения профиля или направления трассы трубопроводов необходимо предусматривать гибкие соединения, допускающие угловые и продольные перемещения концов трубопроводов.</w:t>
      </w:r>
    </w:p>
    <w:p>
      <w:pPr>
        <w:pStyle w:val="Normal"/>
        <w:ind w:firstLine="225"/>
        <w:jc w:val="both"/>
        <w:rPr/>
      </w:pPr>
      <w:r>
        <w:rPr/>
      </w:r>
    </w:p>
    <w:p>
      <w:pPr>
        <w:pStyle w:val="Heading"/>
        <w:jc w:val="center"/>
        <w:rPr/>
      </w:pPr>
      <w:r>
        <w:rPr/>
      </w:r>
    </w:p>
    <w:p>
      <w:pPr>
        <w:pStyle w:val="Heading"/>
        <w:jc w:val="center"/>
        <w:rPr/>
      </w:pPr>
      <w:r>
        <w:rPr/>
        <w:t xml:space="preserve">Водоводы и сети </w:t>
      </w:r>
    </w:p>
    <w:p>
      <w:pPr>
        <w:pStyle w:val="Normal"/>
        <w:ind w:firstLine="270"/>
        <w:jc w:val="both"/>
        <w:rPr/>
      </w:pPr>
      <w:r>
        <w:rPr/>
      </w:r>
    </w:p>
    <w:p>
      <w:pPr>
        <w:pStyle w:val="Normal"/>
        <w:ind w:firstLine="270"/>
        <w:jc w:val="both"/>
        <w:rPr/>
      </w:pPr>
      <w:r>
        <w:rPr/>
      </w:r>
    </w:p>
    <w:p>
      <w:pPr>
        <w:pStyle w:val="Normal"/>
        <w:ind w:firstLine="225"/>
        <w:jc w:val="both"/>
        <w:rPr/>
      </w:pPr>
      <w:r>
        <w:rPr/>
        <w:t>15.13. При проектировании водоводов и сетей в сейсмических районах допускается применять все виды труб, указанные в п. 8.21 и обеспечивающие надежную работу при воздействии сейсмических нагрузок. При этом глубину заложения труб следует принимать согласно разд. 8.</w:t>
      </w:r>
    </w:p>
    <w:p>
      <w:pPr>
        <w:pStyle w:val="Normal"/>
        <w:ind w:firstLine="225"/>
        <w:jc w:val="both"/>
        <w:rPr/>
      </w:pPr>
      <w:r>
        <w:rPr/>
      </w:r>
    </w:p>
    <w:p>
      <w:pPr>
        <w:pStyle w:val="Normal"/>
        <w:ind w:firstLine="225"/>
        <w:jc w:val="both"/>
        <w:rPr/>
      </w:pPr>
      <w:r>
        <w:rPr/>
        <w:t>15.14. Выбор класса прочности труб необходимо производить с учетом основных и особых сочетаний нагрузок при сейсмических воздействиях.</w:t>
      </w:r>
    </w:p>
    <w:p>
      <w:pPr>
        <w:pStyle w:val="Normal"/>
        <w:ind w:firstLine="225"/>
        <w:jc w:val="both"/>
        <w:rPr/>
      </w:pPr>
      <w:r>
        <w:rPr/>
      </w:r>
    </w:p>
    <w:p>
      <w:pPr>
        <w:pStyle w:val="Normal"/>
        <w:ind w:firstLine="225"/>
        <w:jc w:val="both"/>
        <w:rPr/>
      </w:pPr>
      <w:r>
        <w:rPr/>
        <w:t>Компенсационные способности стыков необходимо обеспечивать применением гибких стыковых соединений.</w:t>
      </w:r>
    </w:p>
    <w:p>
      <w:pPr>
        <w:pStyle w:val="Normal"/>
        <w:ind w:firstLine="225"/>
        <w:jc w:val="both"/>
        <w:rPr/>
      </w:pPr>
      <w:r>
        <w:rPr/>
      </w:r>
    </w:p>
    <w:p>
      <w:pPr>
        <w:pStyle w:val="Normal"/>
        <w:ind w:firstLine="225"/>
        <w:jc w:val="both"/>
        <w:rPr/>
      </w:pPr>
      <w:r>
        <w:rPr/>
        <w:t>15.15. 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pPr>
        <w:pStyle w:val="Normal"/>
        <w:ind w:firstLine="225"/>
        <w:jc w:val="both"/>
        <w:rPr/>
      </w:pPr>
      <w:r>
        <w:rPr/>
      </w:r>
    </w:p>
    <w:p>
      <w:pPr>
        <w:pStyle w:val="Normal"/>
        <w:ind w:firstLine="225"/>
        <w:jc w:val="both"/>
        <w:rPr/>
      </w:pPr>
      <w:r>
        <w:rPr/>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 определенной по п. 9.6 или п. 15.3.</w:t>
      </w:r>
    </w:p>
    <w:p>
      <w:pPr>
        <w:pStyle w:val="Normal"/>
        <w:ind w:firstLine="225"/>
        <w:jc w:val="both"/>
        <w:rPr/>
      </w:pPr>
      <w:r>
        <w:rPr/>
      </w:r>
    </w:p>
    <w:p>
      <w:pPr>
        <w:pStyle w:val="Normal"/>
        <w:ind w:firstLine="225"/>
        <w:jc w:val="both"/>
        <w:rPr/>
      </w:pPr>
      <w:r>
        <w:rPr/>
        <w:t>Водопроводные сети должны проектироваться кольцевыми.</w:t>
      </w:r>
    </w:p>
    <w:p>
      <w:pPr>
        <w:pStyle w:val="Normal"/>
        <w:ind w:firstLine="225"/>
        <w:jc w:val="both"/>
        <w:rPr/>
      </w:pPr>
      <w:r>
        <w:rPr/>
      </w:r>
    </w:p>
    <w:p>
      <w:pPr>
        <w:pStyle w:val="Normal"/>
        <w:ind w:firstLine="225"/>
        <w:jc w:val="both"/>
        <w:rPr/>
      </w:pPr>
      <w:r>
        <w:rPr/>
      </w:r>
    </w:p>
    <w:p>
      <w:pPr>
        <w:pStyle w:val="Heading"/>
        <w:jc w:val="center"/>
        <w:rPr/>
      </w:pPr>
      <w:r>
        <w:rPr/>
        <w:t>Строительные конструкции</w:t>
      </w:r>
    </w:p>
    <w:p>
      <w:pPr>
        <w:pStyle w:val="Heading"/>
        <w:jc w:val="center"/>
        <w:rPr/>
      </w:pPr>
      <w:r>
        <w:rPr/>
      </w:r>
    </w:p>
    <w:p>
      <w:pPr>
        <w:pStyle w:val="Normal"/>
        <w:ind w:firstLine="270"/>
        <w:jc w:val="both"/>
        <w:rPr/>
      </w:pPr>
      <w:r>
        <w:rPr/>
      </w:r>
    </w:p>
    <w:p>
      <w:pPr>
        <w:pStyle w:val="Normal"/>
        <w:ind w:firstLine="225"/>
        <w:jc w:val="both"/>
        <w:rPr/>
      </w:pPr>
      <w:r>
        <w:rPr/>
        <w:t>15.16. Конструкции зданий и сооружений следует проектировать в соответствии с требованиями СНиП II-7-81* и настоящего раздела.</w:t>
      </w:r>
    </w:p>
    <w:p>
      <w:pPr>
        <w:pStyle w:val="Normal"/>
        <w:ind w:firstLine="225"/>
        <w:jc w:val="both"/>
        <w:rPr/>
      </w:pPr>
      <w:r>
        <w:rPr/>
      </w:r>
    </w:p>
    <w:p>
      <w:pPr>
        <w:pStyle w:val="Normal"/>
        <w:ind w:firstLine="225"/>
        <w:jc w:val="both"/>
        <w:rPr/>
      </w:pPr>
      <w:r>
        <w:rPr/>
        <w:t>Расчетная сейсмичность зданий и сооружений систем водоснабжения должна приниматься согласно табл. 45.</w:t>
      </w:r>
    </w:p>
    <w:p>
      <w:pPr>
        <w:pStyle w:val="Normal"/>
        <w:ind w:firstLine="225"/>
        <w:jc w:val="both"/>
        <w:rPr/>
      </w:pPr>
      <w:r>
        <w:rPr/>
      </w:r>
    </w:p>
    <w:p>
      <w:pPr>
        <w:pStyle w:val="Normal"/>
        <w:ind w:firstLine="225"/>
        <w:jc w:val="both"/>
        <w:rPr/>
      </w:pPr>
      <w:r>
        <w:rPr/>
        <w:t>15.17. Емкостные сооружения и подземные части зданий должны рассчитываться на наиболее опасные возможные сочетания сейсмических воздействий от собственной массы конструкций, массы жидкости, заполняющей емкость, и грунта, включая обваловку. Определение величины сейсмических воздействий от массы жидкости и грунта следует выполнять по разд. 5 СНиП II-7-81*.</w:t>
      </w:r>
    </w:p>
    <w:p>
      <w:pPr>
        <w:pStyle w:val="Normal"/>
        <w:ind w:firstLine="225"/>
        <w:jc w:val="both"/>
        <w:rPr/>
      </w:pPr>
      <w:r>
        <w:rPr/>
      </w:r>
    </w:p>
    <w:p>
      <w:pPr>
        <w:pStyle w:val="Normal"/>
        <w:ind w:firstLine="225"/>
        <w:jc w:val="both"/>
        <w:rPr/>
      </w:pPr>
      <w:r>
        <w:rPr/>
      </w:r>
    </w:p>
    <w:p>
      <w:pPr>
        <w:pStyle w:val="Normal"/>
        <w:ind w:firstLine="225"/>
        <w:jc w:val="both"/>
        <w:rPr/>
      </w:pPr>
      <w:r>
        <w:rPr/>
        <w:t>Примечание. При расчете водонапорных башен требования настоящего пункта распространяются только на расчет конструкций бака.</w:t>
      </w:r>
    </w:p>
    <w:p>
      <w:pPr>
        <w:pStyle w:val="Normal"/>
        <w:ind w:firstLine="225"/>
        <w:jc w:val="both"/>
        <w:rPr/>
      </w:pPr>
      <w:r>
        <w:rPr/>
      </w:r>
    </w:p>
    <w:p>
      <w:pPr>
        <w:pStyle w:val="Normal"/>
        <w:jc w:val="end"/>
        <w:rPr/>
      </w:pPr>
      <w:r>
        <w:rPr/>
        <w:t xml:space="preserve">Таблица 45 </w:t>
      </w:r>
    </w:p>
    <w:p>
      <w:pPr>
        <w:pStyle w:val="Normal"/>
        <w:ind w:firstLine="270"/>
        <w:jc w:val="both"/>
        <w:rPr/>
      </w:pPr>
      <w:r>
        <w:rPr/>
      </w:r>
    </w:p>
    <w:p>
      <w:pPr>
        <w:pStyle w:val="Normal"/>
        <w:ind w:firstLine="270"/>
        <w:jc w:val="both"/>
        <w:rPr/>
      </w:pPr>
      <w:r>
        <w:rPr/>
      </w:r>
    </w:p>
    <w:tbl>
      <w:tblPr>
        <w:tblW w:w="6350"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2370"/>
        <w:gridCol w:w="2130"/>
        <w:gridCol w:w="990"/>
        <w:gridCol w:w="860"/>
      </w:tblGrid>
      <w:tr>
        <w:trPr/>
        <w:tc>
          <w:tcPr>
            <w:tcW w:w="2370" w:type="dxa"/>
            <w:tcBorders>
              <w:top w:val="single" w:sz="2" w:space="0" w:color="000000"/>
              <w:start w:val="single" w:sz="2" w:space="0" w:color="000000"/>
            </w:tcBorders>
            <w:shd w:fill="auto" w:val="clear"/>
            <w:tcMar>
              <w:start w:w="42" w:type="dxa"/>
            </w:tcMar>
          </w:tcPr>
          <w:p>
            <w:pPr>
              <w:pStyle w:val="Normal"/>
              <w:jc w:val="center"/>
              <w:rPr>
                <w:vanish/>
              </w:rPr>
            </w:pPr>
            <w:r>
              <w:rPr>
                <w:vanish/>
              </w:rPr>
              <w:t>#G0</w:t>
            </w:r>
          </w:p>
          <w:p>
            <w:pPr>
              <w:pStyle w:val="Normal"/>
              <w:jc w:val="center"/>
              <w:rPr/>
            </w:pPr>
            <w:r>
              <w:rPr/>
              <w:t xml:space="preserve">Класс ответственности зданий и сооружений </w:t>
            </w:r>
          </w:p>
          <w:p>
            <w:pPr>
              <w:pStyle w:val="Normal"/>
              <w:jc w:val="center"/>
              <w:rPr/>
            </w:pPr>
            <w:r>
              <w:rPr/>
            </w:r>
          </w:p>
        </w:tc>
        <w:tc>
          <w:tcPr>
            <w:tcW w:w="3980" w:type="dxa"/>
            <w:gridSpan w:val="3"/>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Расчетная сейсмичность зданий и сооружений при сейсмичности площадки строительства, балл </w:t>
            </w:r>
          </w:p>
          <w:p>
            <w:pPr>
              <w:pStyle w:val="Normal"/>
              <w:rPr/>
            </w:pPr>
            <w:r>
              <w:rPr/>
            </w:r>
          </w:p>
        </w:tc>
      </w:tr>
      <w:tr>
        <w:trPr/>
        <w:tc>
          <w:tcPr>
            <w:tcW w:w="237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по табл. 41 </w:t>
            </w:r>
          </w:p>
          <w:p>
            <w:pPr>
              <w:pStyle w:val="Normal"/>
              <w:rPr/>
            </w:pPr>
            <w:r>
              <w:rPr/>
            </w:r>
          </w:p>
        </w:tc>
        <w:tc>
          <w:tcPr>
            <w:tcW w:w="213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7 </w:t>
            </w:r>
          </w:p>
          <w:p>
            <w:pPr>
              <w:pStyle w:val="Normal"/>
              <w:rPr/>
            </w:pPr>
            <w:r>
              <w:rPr/>
            </w:r>
          </w:p>
        </w:tc>
        <w:tc>
          <w:tcPr>
            <w:tcW w:w="99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8 </w:t>
            </w:r>
          </w:p>
          <w:p>
            <w:pPr>
              <w:pStyle w:val="Normal"/>
              <w:rPr/>
            </w:pPr>
            <w:r>
              <w:rPr/>
            </w:r>
          </w:p>
        </w:tc>
        <w:tc>
          <w:tcPr>
            <w:tcW w:w="86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9 </w:t>
            </w:r>
          </w:p>
          <w:p>
            <w:pPr>
              <w:pStyle w:val="Normal"/>
              <w:rPr/>
            </w:pPr>
            <w:r>
              <w:rPr/>
            </w:r>
          </w:p>
        </w:tc>
      </w:tr>
      <w:tr>
        <w:trPr/>
        <w:tc>
          <w:tcPr>
            <w:tcW w:w="237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I -  II </w:t>
            </w:r>
          </w:p>
          <w:p>
            <w:pPr>
              <w:pStyle w:val="Normal"/>
              <w:rPr/>
            </w:pPr>
            <w:r>
              <w:rPr/>
            </w:r>
          </w:p>
        </w:tc>
        <w:tc>
          <w:tcPr>
            <w:tcW w:w="213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7 </w:t>
            </w:r>
          </w:p>
          <w:p>
            <w:pPr>
              <w:pStyle w:val="Normal"/>
              <w:rPr/>
            </w:pPr>
            <w:r>
              <w:rPr/>
            </w:r>
          </w:p>
        </w:tc>
        <w:tc>
          <w:tcPr>
            <w:tcW w:w="99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8 </w:t>
            </w:r>
          </w:p>
          <w:p>
            <w:pPr>
              <w:pStyle w:val="Normal"/>
              <w:rPr/>
            </w:pPr>
            <w:r>
              <w:rPr/>
            </w:r>
          </w:p>
        </w:tc>
        <w:tc>
          <w:tcPr>
            <w:tcW w:w="860" w:type="dxa"/>
            <w:tcBorders>
              <w:start w:val="single" w:sz="2" w:space="0" w:color="000000"/>
              <w:end w:val="single" w:sz="2" w:space="0" w:color="000000"/>
              <w:insideV w:val="single" w:sz="2" w:space="0" w:color="000000"/>
            </w:tcBorders>
            <w:shd w:fill="auto" w:val="clear"/>
            <w:tcMar>
              <w:start w:w="42" w:type="dxa"/>
            </w:tcMar>
          </w:tcPr>
          <w:p>
            <w:pPr>
              <w:pStyle w:val="Normal"/>
              <w:snapToGrid w:val="false"/>
              <w:rPr/>
            </w:pPr>
            <w:r>
              <w:rPr/>
            </w:r>
          </w:p>
          <w:p>
            <w:pPr>
              <w:pStyle w:val="Normal"/>
              <w:rPr/>
            </w:pPr>
            <w:r>
              <w:rPr/>
              <w:t xml:space="preserve">9 </w:t>
            </w:r>
          </w:p>
          <w:p>
            <w:pPr>
              <w:pStyle w:val="Normal"/>
              <w:rPr/>
            </w:pPr>
            <w:r>
              <w:rPr/>
            </w:r>
          </w:p>
        </w:tc>
      </w:tr>
      <w:tr>
        <w:trPr/>
        <w:tc>
          <w:tcPr>
            <w:tcW w:w="237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III </w:t>
            </w:r>
          </w:p>
          <w:p>
            <w:pPr>
              <w:pStyle w:val="Normal"/>
              <w:rPr/>
            </w:pPr>
            <w:r>
              <w:rPr/>
            </w:r>
          </w:p>
        </w:tc>
        <w:tc>
          <w:tcPr>
            <w:tcW w:w="213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Без учета сейсмических воздействий </w:t>
            </w:r>
          </w:p>
          <w:p>
            <w:pPr>
              <w:pStyle w:val="Normal"/>
              <w:rPr/>
            </w:pPr>
            <w:r>
              <w:rPr/>
            </w:r>
          </w:p>
        </w:tc>
        <w:tc>
          <w:tcPr>
            <w:tcW w:w="99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7 </w:t>
            </w:r>
          </w:p>
          <w:p>
            <w:pPr>
              <w:pStyle w:val="Normal"/>
              <w:rPr/>
            </w:pPr>
            <w:r>
              <w:rPr/>
            </w:r>
          </w:p>
        </w:tc>
        <w:tc>
          <w:tcPr>
            <w:tcW w:w="86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7 </w:t>
            </w:r>
          </w:p>
          <w:p>
            <w:pPr>
              <w:pStyle w:val="Normal"/>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Примечание. Здания и сооружения рассчитываются на нагрузки, соответствующие расчетной сейсмичности. Эти нагрузки для зданий и сооружений, функционирование которых необходимо при ликвидации последствий землетрясения, умножаются на коэффициент 1,2, для водозаборных сооружений поверхностной воды - 1,5.</w:t>
      </w:r>
    </w:p>
    <w:p>
      <w:pPr>
        <w:pStyle w:val="Normal"/>
        <w:ind w:firstLine="225"/>
        <w:jc w:val="both"/>
        <w:rPr/>
      </w:pPr>
      <w:r>
        <w:rPr/>
      </w:r>
    </w:p>
    <w:p>
      <w:pPr>
        <w:pStyle w:val="Normal"/>
        <w:ind w:firstLine="225"/>
        <w:jc w:val="both"/>
        <w:rPr/>
      </w:pPr>
      <w:r>
        <w:rPr/>
      </w:r>
    </w:p>
    <w:p>
      <w:pPr>
        <w:pStyle w:val="Normal"/>
        <w:ind w:firstLine="225"/>
        <w:jc w:val="both"/>
        <w:rPr/>
      </w:pPr>
      <w:r>
        <w:rPr/>
        <w:t>15.18. Сейсмические воздействия на емкостные сооружения и подземные части зданий от собственной массы конструкций и нагрузок на них определяются как для зданий. При этом значения произведений коэффициентов, входящих в формулы (1) и (2) СНиП II-7-81*, допускается принимать по табл. 46.</w:t>
      </w:r>
    </w:p>
    <w:p>
      <w:pPr>
        <w:pStyle w:val="Normal"/>
        <w:ind w:firstLine="225"/>
        <w:jc w:val="both"/>
        <w:rPr/>
      </w:pPr>
      <w:r>
        <w:rPr/>
      </w:r>
    </w:p>
    <w:p>
      <w:pPr>
        <w:pStyle w:val="Normal"/>
        <w:jc w:val="end"/>
        <w:rPr/>
      </w:pPr>
      <w:r>
        <w:rPr/>
        <w:t xml:space="preserve">Таблица 46 </w:t>
      </w:r>
    </w:p>
    <w:p>
      <w:pPr>
        <w:pStyle w:val="Normal"/>
        <w:ind w:firstLine="270"/>
        <w:jc w:val="both"/>
        <w:rPr/>
      </w:pPr>
      <w:r>
        <w:rPr/>
      </w:r>
    </w:p>
    <w:p>
      <w:pPr>
        <w:pStyle w:val="Normal"/>
        <w:ind w:firstLine="270"/>
        <w:jc w:val="both"/>
        <w:rPr/>
      </w:pPr>
      <w:r>
        <w:rPr/>
      </w:r>
    </w:p>
    <w:tbl>
      <w:tblPr>
        <w:tblW w:w="6350" w:type="dxa"/>
        <w:jc w:val="start"/>
        <w:tblInd w:w="30" w:type="dxa"/>
        <w:tblBorders>
          <w:top w:val="single" w:sz="2" w:space="0" w:color="000000"/>
          <w:start w:val="single" w:sz="2" w:space="0" w:color="000000"/>
        </w:tblBorders>
        <w:tblCellMar>
          <w:top w:w="0" w:type="dxa"/>
          <w:start w:w="27" w:type="dxa"/>
          <w:bottom w:w="0" w:type="dxa"/>
          <w:end w:w="30" w:type="dxa"/>
        </w:tblCellMar>
      </w:tblPr>
      <w:tblGrid>
        <w:gridCol w:w="2010"/>
        <w:gridCol w:w="735"/>
        <w:gridCol w:w="735"/>
        <w:gridCol w:w="735"/>
        <w:gridCol w:w="735"/>
        <w:gridCol w:w="735"/>
        <w:gridCol w:w="665"/>
      </w:tblGrid>
      <w:tr>
        <w:trPr/>
        <w:tc>
          <w:tcPr>
            <w:tcW w:w="2010" w:type="dxa"/>
            <w:tcBorders>
              <w:top w:val="single" w:sz="2" w:space="0" w:color="000000"/>
              <w:start w:val="single" w:sz="2" w:space="0" w:color="000000"/>
            </w:tcBorders>
            <w:shd w:fill="auto" w:val="clear"/>
            <w:tcMar>
              <w:start w:w="27" w:type="dxa"/>
            </w:tcMar>
          </w:tcPr>
          <w:p>
            <w:pPr>
              <w:pStyle w:val="Normal"/>
              <w:jc w:val="center"/>
              <w:rPr>
                <w:vanish/>
              </w:rPr>
            </w:pPr>
            <w:r>
              <w:rPr>
                <w:vanish/>
              </w:rPr>
              <w:t>#G0</w:t>
            </w:r>
          </w:p>
          <w:p>
            <w:pPr>
              <w:pStyle w:val="Normal"/>
              <w:jc w:val="center"/>
              <w:rPr/>
            </w:pPr>
            <w:r>
              <w:rPr/>
              <w:t xml:space="preserve">Расположение зданий и сооружений по отношению к грунту </w:t>
            </w:r>
          </w:p>
          <w:p>
            <w:pPr>
              <w:pStyle w:val="Normal"/>
              <w:jc w:val="center"/>
              <w:rPr/>
            </w:pPr>
            <w:r>
              <w:rPr/>
            </w:r>
          </w:p>
        </w:tc>
        <w:tc>
          <w:tcPr>
            <w:tcW w:w="2205" w:type="dxa"/>
            <w:gridSpan w:val="3"/>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Значения произведений коэффициентов </w:t>
            </w:r>
          </w:p>
          <w:p>
            <w:pPr>
              <w:pStyle w:val="Normal"/>
              <w:rPr/>
            </w:pPr>
            <w:r>
              <w:rPr/>
              <w:drawing>
                <wp:inline distT="0" distB="0" distL="0" distR="0">
                  <wp:extent cx="334010" cy="219075"/>
                  <wp:effectExtent l="0" t="0" r="0" b="0"/>
                  <wp:docPr id="178" name="Изображение1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Изображение178" descr="" title=""/>
                          <pic:cNvPicPr>
                            <a:picLocks noChangeAspect="1" noChangeArrowheads="1"/>
                          </pic:cNvPicPr>
                        </pic:nvPicPr>
                        <pic:blipFill>
                          <a:blip r:embed="rId179"/>
                          <a:stretch>
                            <a:fillRect/>
                          </a:stretch>
                        </pic:blipFill>
                        <pic:spPr bwMode="auto">
                          <a:xfrm>
                            <a:off x="0" y="0"/>
                            <a:ext cx="334010" cy="219075"/>
                          </a:xfrm>
                          <a:prstGeom prst="rect">
                            <a:avLst/>
                          </a:prstGeom>
                        </pic:spPr>
                      </pic:pic>
                    </a:graphicData>
                  </a:graphic>
                </wp:inline>
              </w:drawing>
            </w:r>
            <w:r>
              <w:rPr/>
              <w:t xml:space="preserve"> </w:t>
            </w:r>
            <w:r>
              <w:rPr/>
              <w:t>в зависимости от категории грунта  по табл. 1</w:t>
            </w:r>
          </w:p>
          <w:p>
            <w:pPr>
              <w:pStyle w:val="Normal"/>
              <w:rPr/>
            </w:pPr>
            <w:r>
              <w:rPr/>
              <w:t>СНиП II-7-81*</w:t>
            </w:r>
          </w:p>
          <w:p>
            <w:pPr>
              <w:pStyle w:val="Normal"/>
              <w:rPr/>
            </w:pPr>
            <w:r>
              <w:rPr/>
            </w:r>
          </w:p>
        </w:tc>
        <w:tc>
          <w:tcPr>
            <w:tcW w:w="2135" w:type="dxa"/>
            <w:gridSpan w:val="3"/>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Значение произведений коэффициентов </w:t>
            </w:r>
          </w:p>
          <w:p>
            <w:pPr>
              <w:pStyle w:val="Normal"/>
              <w:rPr/>
            </w:pPr>
            <w:r>
              <w:rPr/>
              <w:drawing>
                <wp:inline distT="0" distB="0" distL="0" distR="0">
                  <wp:extent cx="506730" cy="207645"/>
                  <wp:effectExtent l="0" t="0" r="0" b="0"/>
                  <wp:docPr id="179" name="Изображение1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Изображение179" descr="" title=""/>
                          <pic:cNvPicPr>
                            <a:picLocks noChangeAspect="1" noChangeArrowheads="1"/>
                          </pic:cNvPicPr>
                        </pic:nvPicPr>
                        <pic:blipFill>
                          <a:blip r:embed="rId180"/>
                          <a:stretch>
                            <a:fillRect/>
                          </a:stretch>
                        </pic:blipFill>
                        <pic:spPr bwMode="auto">
                          <a:xfrm>
                            <a:off x="0" y="0"/>
                            <a:ext cx="506730" cy="207645"/>
                          </a:xfrm>
                          <a:prstGeom prst="rect">
                            <a:avLst/>
                          </a:prstGeom>
                        </pic:spPr>
                      </pic:pic>
                    </a:graphicData>
                  </a:graphic>
                </wp:inline>
              </w:drawing>
            </w:r>
            <w:r>
              <w:rPr/>
              <w:t xml:space="preserve"> </w:t>
            </w:r>
            <w:r>
              <w:rPr/>
              <w:t xml:space="preserve">в зависимости от класса ответственности зданий и сооружений по табл. 41 </w:t>
            </w:r>
          </w:p>
          <w:p>
            <w:pPr>
              <w:pStyle w:val="Normal"/>
              <w:rPr/>
            </w:pPr>
            <w:r>
              <w:rPr/>
            </w:r>
          </w:p>
        </w:tc>
      </w:tr>
      <w:tr>
        <w:trPr/>
        <w:tc>
          <w:tcPr>
            <w:tcW w:w="201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  </w:t>
            </w:r>
          </w:p>
          <w:p>
            <w:pPr>
              <w:pStyle w:val="Normal"/>
              <w:rPr/>
            </w:pPr>
            <w:r>
              <w:rPr/>
            </w:r>
          </w:p>
        </w:tc>
        <w:tc>
          <w:tcPr>
            <w:tcW w:w="735" w:type="dxa"/>
            <w:tcBorders>
              <w:top w:val="single" w:sz="2" w:space="0" w:color="000000"/>
              <w:start w:val="single" w:sz="2" w:space="0" w:color="000000"/>
            </w:tcBorders>
            <w:shd w:fill="auto" w:val="clear"/>
            <w:tcMar>
              <w:start w:w="27" w:type="dxa"/>
            </w:tcMar>
          </w:tcPr>
          <w:p>
            <w:pPr>
              <w:pStyle w:val="Normal"/>
              <w:jc w:val="center"/>
              <w:rPr/>
            </w:pPr>
            <w:r>
              <w:rPr/>
              <w:t xml:space="preserve">I </w:t>
            </w:r>
          </w:p>
          <w:p>
            <w:pPr>
              <w:pStyle w:val="Normal"/>
              <w:jc w:val="center"/>
              <w:rPr/>
            </w:pPr>
            <w:r>
              <w:rPr/>
            </w:r>
          </w:p>
        </w:tc>
        <w:tc>
          <w:tcPr>
            <w:tcW w:w="73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II </w:t>
            </w:r>
          </w:p>
          <w:p>
            <w:pPr>
              <w:pStyle w:val="Normal"/>
              <w:rPr/>
            </w:pPr>
            <w:r>
              <w:rPr/>
            </w:r>
          </w:p>
        </w:tc>
        <w:tc>
          <w:tcPr>
            <w:tcW w:w="735" w:type="dxa"/>
            <w:tcBorders>
              <w:top w:val="single" w:sz="2" w:space="0" w:color="000000"/>
              <w:start w:val="single" w:sz="2" w:space="0" w:color="000000"/>
            </w:tcBorders>
            <w:shd w:fill="auto" w:val="clear"/>
            <w:tcMar>
              <w:start w:w="27" w:type="dxa"/>
            </w:tcMar>
          </w:tcPr>
          <w:p>
            <w:pPr>
              <w:pStyle w:val="Normal"/>
              <w:rPr/>
            </w:pPr>
            <w:r>
              <w:rPr/>
              <w:t xml:space="preserve">III </w:t>
            </w:r>
          </w:p>
          <w:p>
            <w:pPr>
              <w:pStyle w:val="Normal"/>
              <w:rPr/>
            </w:pPr>
            <w:r>
              <w:rPr/>
            </w:r>
          </w:p>
        </w:tc>
        <w:tc>
          <w:tcPr>
            <w:tcW w:w="73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I </w:t>
            </w:r>
          </w:p>
          <w:p>
            <w:pPr>
              <w:pStyle w:val="Normal"/>
              <w:rPr/>
            </w:pPr>
            <w:r>
              <w:rPr/>
            </w:r>
          </w:p>
        </w:tc>
        <w:tc>
          <w:tcPr>
            <w:tcW w:w="735" w:type="dxa"/>
            <w:tcBorders>
              <w:top w:val="single" w:sz="2" w:space="0" w:color="000000"/>
              <w:start w:val="single" w:sz="2" w:space="0" w:color="000000"/>
            </w:tcBorders>
            <w:shd w:fill="auto" w:val="clear"/>
            <w:tcMar>
              <w:start w:w="27" w:type="dxa"/>
            </w:tcMar>
          </w:tcPr>
          <w:p>
            <w:pPr>
              <w:pStyle w:val="Normal"/>
              <w:rPr/>
            </w:pPr>
            <w:r>
              <w:rPr/>
              <w:t xml:space="preserve">II </w:t>
            </w:r>
          </w:p>
          <w:p>
            <w:pPr>
              <w:pStyle w:val="Normal"/>
              <w:rPr/>
            </w:pPr>
            <w:r>
              <w:rPr/>
            </w:r>
          </w:p>
        </w:tc>
        <w:tc>
          <w:tcPr>
            <w:tcW w:w="66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III </w:t>
            </w:r>
          </w:p>
          <w:p>
            <w:pPr>
              <w:pStyle w:val="Normal"/>
              <w:rPr/>
            </w:pPr>
            <w:r>
              <w:rPr/>
            </w:r>
          </w:p>
        </w:tc>
      </w:tr>
      <w:tr>
        <w:trPr/>
        <w:tc>
          <w:tcPr>
            <w:tcW w:w="2010" w:type="dxa"/>
            <w:tcBorders>
              <w:start w:val="single" w:sz="2" w:space="0" w:color="000000"/>
            </w:tcBorders>
            <w:shd w:fill="auto" w:val="clear"/>
            <w:tcMar>
              <w:start w:w="27" w:type="dxa"/>
            </w:tcMar>
          </w:tcPr>
          <w:p>
            <w:pPr>
              <w:pStyle w:val="Normal"/>
              <w:jc w:val="both"/>
              <w:rPr/>
            </w:pPr>
            <w:r>
              <w:rPr/>
              <w:t xml:space="preserve">Наземные </w:t>
            </w:r>
          </w:p>
          <w:p>
            <w:pPr>
              <w:pStyle w:val="Normal"/>
              <w:jc w:val="both"/>
              <w:rPr/>
            </w:pPr>
            <w:r>
              <w:rPr/>
            </w:r>
          </w:p>
        </w:tc>
        <w:tc>
          <w:tcPr>
            <w:tcW w:w="735" w:type="dxa"/>
            <w:tcBorders>
              <w:top w:val="single" w:sz="2" w:space="0" w:color="000000"/>
              <w:start w:val="single" w:sz="2" w:space="0" w:color="000000"/>
            </w:tcBorders>
            <w:shd w:fill="auto" w:val="clear"/>
            <w:tcMar>
              <w:start w:w="27" w:type="dxa"/>
            </w:tcMar>
          </w:tcPr>
          <w:p>
            <w:pPr>
              <w:pStyle w:val="Normal"/>
              <w:jc w:val="center"/>
              <w:rPr/>
            </w:pPr>
            <w:r>
              <w:rPr/>
              <w:t xml:space="preserve">3 </w:t>
            </w:r>
          </w:p>
          <w:p>
            <w:pPr>
              <w:pStyle w:val="Normal"/>
              <w:jc w:val="center"/>
              <w:rPr/>
            </w:pPr>
            <w:r>
              <w:rPr/>
            </w:r>
          </w:p>
        </w:tc>
        <w:tc>
          <w:tcPr>
            <w:tcW w:w="735" w:type="dxa"/>
            <w:tcBorders>
              <w:start w:val="single" w:sz="2" w:space="0" w:color="000000"/>
            </w:tcBorders>
            <w:shd w:fill="auto" w:val="clear"/>
            <w:tcMar>
              <w:start w:w="27" w:type="dxa"/>
            </w:tcMar>
          </w:tcPr>
          <w:p>
            <w:pPr>
              <w:pStyle w:val="Normal"/>
              <w:rPr/>
            </w:pPr>
            <w:r>
              <w:rPr/>
              <w:t xml:space="preserve">2,7 </w:t>
            </w:r>
          </w:p>
          <w:p>
            <w:pPr>
              <w:pStyle w:val="Normal"/>
              <w:rPr/>
            </w:pPr>
            <w:r>
              <w:rPr/>
            </w:r>
          </w:p>
        </w:tc>
        <w:tc>
          <w:tcPr>
            <w:tcW w:w="735" w:type="dxa"/>
            <w:tcBorders>
              <w:top w:val="single" w:sz="2" w:space="0" w:color="000000"/>
              <w:start w:val="single" w:sz="2" w:space="0" w:color="000000"/>
            </w:tcBorders>
            <w:shd w:fill="auto" w:val="clear"/>
            <w:tcMar>
              <w:start w:w="27" w:type="dxa"/>
            </w:tcMar>
          </w:tcPr>
          <w:p>
            <w:pPr>
              <w:pStyle w:val="Normal"/>
              <w:rPr/>
            </w:pPr>
            <w:r>
              <w:rPr/>
              <w:t xml:space="preserve">2 </w:t>
            </w:r>
          </w:p>
          <w:p>
            <w:pPr>
              <w:pStyle w:val="Normal"/>
              <w:rPr/>
            </w:pPr>
            <w:r>
              <w:rPr/>
            </w:r>
          </w:p>
        </w:tc>
        <w:tc>
          <w:tcPr>
            <w:tcW w:w="735" w:type="dxa"/>
            <w:tcBorders>
              <w:start w:val="single" w:sz="2" w:space="0" w:color="000000"/>
            </w:tcBorders>
            <w:shd w:fill="auto" w:val="clear"/>
            <w:tcMar>
              <w:start w:w="27" w:type="dxa"/>
            </w:tcMar>
          </w:tcPr>
          <w:p>
            <w:pPr>
              <w:pStyle w:val="Normal"/>
              <w:rPr/>
            </w:pPr>
            <w:r>
              <w:rPr/>
              <w:t xml:space="preserve">0,3 </w:t>
            </w:r>
          </w:p>
          <w:p>
            <w:pPr>
              <w:pStyle w:val="Normal"/>
              <w:rPr/>
            </w:pPr>
            <w:r>
              <w:rPr/>
            </w:r>
          </w:p>
        </w:tc>
        <w:tc>
          <w:tcPr>
            <w:tcW w:w="735" w:type="dxa"/>
            <w:tcBorders>
              <w:top w:val="single" w:sz="2" w:space="0" w:color="000000"/>
              <w:start w:val="single" w:sz="2" w:space="0" w:color="000000"/>
            </w:tcBorders>
            <w:shd w:fill="auto" w:val="clear"/>
            <w:tcMar>
              <w:start w:w="27" w:type="dxa"/>
            </w:tcMar>
          </w:tcPr>
          <w:p>
            <w:pPr>
              <w:pStyle w:val="Normal"/>
              <w:rPr/>
            </w:pPr>
            <w:r>
              <w:rPr/>
              <w:t xml:space="preserve">0,25 </w:t>
            </w:r>
          </w:p>
          <w:p>
            <w:pPr>
              <w:pStyle w:val="Normal"/>
              <w:rPr/>
            </w:pPr>
            <w:r>
              <w:rPr/>
            </w:r>
          </w:p>
        </w:tc>
        <w:tc>
          <w:tcPr>
            <w:tcW w:w="66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0,2 </w:t>
            </w:r>
          </w:p>
          <w:p>
            <w:pPr>
              <w:pStyle w:val="Normal"/>
              <w:rPr/>
            </w:pPr>
            <w:r>
              <w:rPr/>
            </w:r>
          </w:p>
        </w:tc>
      </w:tr>
      <w:tr>
        <w:trPr/>
        <w:tc>
          <w:tcPr>
            <w:tcW w:w="2010" w:type="dxa"/>
            <w:tcBorders>
              <w:start w:val="single" w:sz="2" w:space="0" w:color="000000"/>
              <w:bottom w:val="single" w:sz="2" w:space="0" w:color="000000"/>
              <w:insideH w:val="single" w:sz="2" w:space="0" w:color="000000"/>
            </w:tcBorders>
            <w:shd w:fill="auto" w:val="clear"/>
            <w:tcMar>
              <w:start w:w="27" w:type="dxa"/>
            </w:tcMar>
          </w:tcPr>
          <w:p>
            <w:pPr>
              <w:pStyle w:val="Normal"/>
              <w:jc w:val="both"/>
              <w:rPr/>
            </w:pPr>
            <w:r>
              <w:rPr/>
              <w:t xml:space="preserve">Подземные </w:t>
            </w:r>
          </w:p>
          <w:p>
            <w:pPr>
              <w:pStyle w:val="Normal"/>
              <w:jc w:val="both"/>
              <w:rPr/>
            </w:pPr>
            <w:r>
              <w:rPr/>
            </w:r>
          </w:p>
        </w:tc>
        <w:tc>
          <w:tcPr>
            <w:tcW w:w="735" w:type="dxa"/>
            <w:tcBorders>
              <w:start w:val="single" w:sz="2" w:space="0" w:color="000000"/>
              <w:bottom w:val="single" w:sz="2" w:space="0" w:color="000000"/>
              <w:insideH w:val="single" w:sz="2" w:space="0" w:color="000000"/>
            </w:tcBorders>
            <w:shd w:fill="auto" w:val="clear"/>
            <w:tcMar>
              <w:start w:w="27" w:type="dxa"/>
            </w:tcMar>
          </w:tcPr>
          <w:p>
            <w:pPr>
              <w:pStyle w:val="Normal"/>
              <w:jc w:val="center"/>
              <w:rPr/>
            </w:pPr>
            <w:r>
              <w:rPr/>
              <w:t xml:space="preserve">2 </w:t>
            </w:r>
          </w:p>
          <w:p>
            <w:pPr>
              <w:pStyle w:val="Normal"/>
              <w:jc w:val="center"/>
              <w:rPr/>
            </w:pPr>
            <w:r>
              <w:rPr/>
            </w:r>
          </w:p>
        </w:tc>
        <w:tc>
          <w:tcPr>
            <w:tcW w:w="73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1,8 </w:t>
            </w:r>
          </w:p>
          <w:p>
            <w:pPr>
              <w:pStyle w:val="Normal"/>
              <w:rPr/>
            </w:pPr>
            <w:r>
              <w:rPr/>
            </w:r>
          </w:p>
        </w:tc>
        <w:tc>
          <w:tcPr>
            <w:tcW w:w="73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1,5 </w:t>
            </w:r>
          </w:p>
          <w:p>
            <w:pPr>
              <w:pStyle w:val="Normal"/>
              <w:rPr/>
            </w:pPr>
            <w:r>
              <w:rPr/>
            </w:r>
          </w:p>
        </w:tc>
        <w:tc>
          <w:tcPr>
            <w:tcW w:w="73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0,25 </w:t>
            </w:r>
          </w:p>
          <w:p>
            <w:pPr>
              <w:pStyle w:val="Normal"/>
              <w:rPr/>
            </w:pPr>
            <w:r>
              <w:rPr/>
            </w:r>
          </w:p>
        </w:tc>
        <w:tc>
          <w:tcPr>
            <w:tcW w:w="73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0,2 </w:t>
            </w:r>
          </w:p>
          <w:p>
            <w:pPr>
              <w:pStyle w:val="Normal"/>
              <w:rPr/>
            </w:pPr>
            <w:r>
              <w:rPr/>
            </w:r>
          </w:p>
        </w:tc>
        <w:tc>
          <w:tcPr>
            <w:tcW w:w="66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0,15 </w:t>
            </w:r>
          </w:p>
          <w:p>
            <w:pPr>
              <w:pStyle w:val="Normal"/>
              <w:rPr/>
            </w:pPr>
            <w:r>
              <w:rPr/>
            </w:r>
          </w:p>
        </w:tc>
      </w:tr>
    </w:tbl>
    <w:p>
      <w:pPr>
        <w:pStyle w:val="Normal"/>
        <w:jc w:val="both"/>
        <w:rPr/>
      </w:pPr>
      <w:r>
        <w:rPr/>
      </w:r>
    </w:p>
    <w:p>
      <w:pPr>
        <w:pStyle w:val="Normal"/>
        <w:ind w:firstLine="270"/>
        <w:jc w:val="both"/>
        <w:rPr/>
      </w:pPr>
      <w:r>
        <w:rPr/>
        <w:t>Примечание. Сооружения, заглубленные в грунт, рассчитываются как подземные, если величина заглубления превышает половину их высоты, и как наземные при меньшем заглублении.</w:t>
      </w:r>
    </w:p>
    <w:p>
      <w:pPr>
        <w:pStyle w:val="Normal"/>
        <w:ind w:firstLine="270"/>
        <w:jc w:val="both"/>
        <w:rPr/>
      </w:pPr>
      <w:r>
        <w:rPr/>
      </w:r>
    </w:p>
    <w:p>
      <w:pPr>
        <w:pStyle w:val="Normal"/>
        <w:ind w:firstLine="225"/>
        <w:jc w:val="both"/>
        <w:rPr/>
      </w:pPr>
      <w:r>
        <w:rPr/>
      </w:r>
    </w:p>
    <w:p>
      <w:pPr>
        <w:pStyle w:val="Heading"/>
        <w:jc w:val="center"/>
        <w:rPr/>
      </w:pPr>
      <w:r>
        <w:rPr/>
        <w:t>ПОДРАБАТЫВАЕМЫЕ ТЕРРИТОРИИ</w:t>
      </w:r>
    </w:p>
    <w:p>
      <w:pPr>
        <w:pStyle w:val="Heading"/>
        <w:jc w:val="center"/>
        <w:rPr/>
      </w:pPr>
      <w:r>
        <w:rPr/>
      </w:r>
    </w:p>
    <w:p>
      <w:pPr>
        <w:pStyle w:val="Heading"/>
        <w:jc w:val="center"/>
        <w:rPr/>
      </w:pPr>
      <w:r>
        <w:rPr/>
        <w:t xml:space="preserve">Общие указания </w:t>
      </w:r>
    </w:p>
    <w:p>
      <w:pPr>
        <w:pStyle w:val="Normal"/>
        <w:ind w:firstLine="360"/>
        <w:jc w:val="both"/>
        <w:rPr>
          <w:b/>
          <w:b/>
          <w:sz w:val="22"/>
        </w:rPr>
      </w:pPr>
      <w:r>
        <w:rPr>
          <w:b/>
          <w:sz w:val="22"/>
        </w:rPr>
      </w:r>
    </w:p>
    <w:p>
      <w:pPr>
        <w:pStyle w:val="Normal"/>
        <w:jc w:val="both"/>
        <w:rPr>
          <w:b/>
          <w:b/>
          <w:sz w:val="22"/>
        </w:rPr>
      </w:pPr>
      <w:r>
        <w:rPr>
          <w:b/>
          <w:sz w:val="22"/>
        </w:rPr>
      </w:r>
    </w:p>
    <w:p>
      <w:pPr>
        <w:pStyle w:val="Normal"/>
        <w:ind w:firstLine="225"/>
        <w:jc w:val="both"/>
        <w:rPr/>
      </w:pPr>
      <w:r>
        <w:rPr/>
        <w:t>15.19. При проектировании зданий и сооружений, водоводов и сетей необходимо предусматривать защиту их от влияния подземных горных разработок.</w:t>
      </w:r>
    </w:p>
    <w:p>
      <w:pPr>
        <w:pStyle w:val="Normal"/>
        <w:ind w:firstLine="225"/>
        <w:jc w:val="both"/>
        <w:rPr/>
      </w:pPr>
      <w:r>
        <w:rPr/>
      </w:r>
    </w:p>
    <w:p>
      <w:pPr>
        <w:pStyle w:val="Normal"/>
        <w:ind w:firstLine="225"/>
        <w:jc w:val="both"/>
        <w:rPr/>
      </w:pPr>
      <w:r>
        <w:rPr/>
        <w:t xml:space="preserve">15.20. Проектирование закрытых резервуаров допускается на подрабатываемых территориях I-IV групп объемом не более 6000 куб.м, на подрабатываемых территориях Iк-IVк большего объема воды следует предусматривать несколько резервуаров. </w:t>
      </w:r>
    </w:p>
    <w:p>
      <w:pPr>
        <w:pStyle w:val="Normal"/>
        <w:ind w:firstLine="225"/>
        <w:jc w:val="both"/>
        <w:rPr/>
      </w:pPr>
      <w:r>
        <w:rPr/>
      </w:r>
    </w:p>
    <w:p>
      <w:pPr>
        <w:pStyle w:val="Normal"/>
        <w:ind w:firstLine="225"/>
        <w:jc w:val="both"/>
        <w:rPr/>
      </w:pPr>
      <w:r>
        <w:rPr/>
        <w:t>Объем открытых емкостей не нормируется.</w:t>
      </w:r>
    </w:p>
    <w:p>
      <w:pPr>
        <w:pStyle w:val="Normal"/>
        <w:ind w:firstLine="225"/>
        <w:jc w:val="both"/>
        <w:rPr/>
      </w:pPr>
      <w:r>
        <w:rPr/>
      </w:r>
    </w:p>
    <w:p>
      <w:pPr>
        <w:pStyle w:val="Normal"/>
        <w:ind w:firstLine="225"/>
        <w:jc w:val="both"/>
        <w:rPr/>
      </w:pPr>
      <w:r>
        <w:rPr/>
        <w:t>15.21. Камеры переключений должны быть отделены от резервуаров деформационными швами.</w:t>
      </w:r>
    </w:p>
    <w:p>
      <w:pPr>
        <w:pStyle w:val="Normal"/>
        <w:ind w:firstLine="225"/>
        <w:jc w:val="both"/>
        <w:rPr/>
      </w:pPr>
      <w:r>
        <w:rPr/>
      </w:r>
    </w:p>
    <w:p>
      <w:pPr>
        <w:pStyle w:val="Normal"/>
        <w:ind w:firstLine="225"/>
        <w:jc w:val="both"/>
        <w:rPr/>
      </w:pPr>
      <w:r>
        <w:rPr/>
        <w:t>15.22. При проектировании емкостных сооружений необходимо предусматривать свободный доступ к их основным элементам и узлам для обеспечения контроля за работой сооружений и для производства последеформационных ремонтов.</w:t>
      </w:r>
    </w:p>
    <w:p>
      <w:pPr>
        <w:pStyle w:val="Normal"/>
        <w:ind w:firstLine="225"/>
        <w:jc w:val="both"/>
        <w:rPr/>
      </w:pPr>
      <w:r>
        <w:rPr/>
      </w:r>
    </w:p>
    <w:p>
      <w:pPr>
        <w:pStyle w:val="Normal"/>
        <w:ind w:firstLine="225"/>
        <w:jc w:val="both"/>
        <w:rPr/>
      </w:pPr>
      <w:r>
        <w:rPr/>
        <w:t>15.23. В сооружениях для подготовки воды (осветлители, отстойники, фильтры и т. д.) необходимо предусматривать возможность выравнивания водосливных кромок лотков и желобов после деформаций основания.</w:t>
      </w:r>
    </w:p>
    <w:p>
      <w:pPr>
        <w:pStyle w:val="Normal"/>
        <w:ind w:firstLine="225"/>
        <w:jc w:val="both"/>
        <w:rPr/>
      </w:pPr>
      <w:r>
        <w:rPr/>
      </w:r>
    </w:p>
    <w:p>
      <w:pPr>
        <w:pStyle w:val="Normal"/>
        <w:ind w:firstLine="225"/>
        <w:jc w:val="both"/>
        <w:rPr/>
      </w:pPr>
      <w:r>
        <w:rPr/>
        <w:t>Для лотков и желобов с затопленными отверстиями выравнивание кромок предусматривать не требуется.</w:t>
      </w:r>
    </w:p>
    <w:p>
      <w:pPr>
        <w:pStyle w:val="Normal"/>
        <w:ind w:firstLine="225"/>
        <w:jc w:val="both"/>
        <w:rPr/>
      </w:pPr>
      <w:r>
        <w:rPr/>
      </w:r>
    </w:p>
    <w:p>
      <w:pPr>
        <w:pStyle w:val="Normal"/>
        <w:ind w:firstLine="225"/>
        <w:jc w:val="both"/>
        <w:rPr/>
      </w:pPr>
      <w:r>
        <w:rPr/>
        <w:t>15.24. При проектировании станций подготовки воды необходимо применять раздельную компоновку основных сооружений. Блокировка их допускается для станций производительностью до 30 000 куб.м/сут и в случаях строительства на подрабатываемых территориях IV группы.</w:t>
      </w:r>
    </w:p>
    <w:p>
      <w:pPr>
        <w:pStyle w:val="Normal"/>
        <w:ind w:firstLine="225"/>
        <w:jc w:val="both"/>
        <w:rPr/>
      </w:pPr>
      <w:r>
        <w:rPr/>
      </w:r>
    </w:p>
    <w:p>
      <w:pPr>
        <w:pStyle w:val="Normal"/>
        <w:ind w:firstLine="225"/>
        <w:jc w:val="both"/>
        <w:rPr/>
      </w:pPr>
      <w:r>
        <w:rPr/>
        <w:t>15.25. В целях повышения надежности работы станций водоподготовки отдельные сооружения надлежит разделять на блоки и секции.</w:t>
      </w:r>
    </w:p>
    <w:p>
      <w:pPr>
        <w:pStyle w:val="Normal"/>
        <w:ind w:firstLine="225"/>
        <w:jc w:val="both"/>
        <w:rPr/>
      </w:pPr>
      <w:r>
        <w:rPr/>
      </w:r>
    </w:p>
    <w:p>
      <w:pPr>
        <w:pStyle w:val="Normal"/>
        <w:ind w:firstLine="225"/>
        <w:jc w:val="both"/>
        <w:rPr/>
      </w:pPr>
      <w:r>
        <w:rPr/>
        <w:t>15.26. Отметки днища и уровней воды в емкостных сооружениях необходимо назначать с учетом обеспечения самотечности движения воды после деформаций основания.</w:t>
      </w:r>
    </w:p>
    <w:p>
      <w:pPr>
        <w:pStyle w:val="Normal"/>
        <w:ind w:firstLine="225"/>
        <w:jc w:val="both"/>
        <w:rPr/>
      </w:pPr>
      <w:r>
        <w:rPr/>
      </w:r>
    </w:p>
    <w:p>
      <w:pPr>
        <w:pStyle w:val="Normal"/>
        <w:ind w:firstLine="225"/>
        <w:jc w:val="both"/>
        <w:rPr/>
      </w:pPr>
      <w:r>
        <w:rPr/>
        <w:t>15.27. Трубопроводы и арматура в зданиях и сооружениях водопровода должны приниматься стальными.</w:t>
      </w:r>
    </w:p>
    <w:p>
      <w:pPr>
        <w:pStyle w:val="Normal"/>
        <w:ind w:firstLine="225"/>
        <w:jc w:val="both"/>
        <w:rPr/>
      </w:pPr>
      <w:r>
        <w:rPr/>
      </w:r>
    </w:p>
    <w:p>
      <w:pPr>
        <w:pStyle w:val="Normal"/>
        <w:ind w:firstLine="225"/>
        <w:jc w:val="both"/>
        <w:rPr/>
      </w:pPr>
      <w:r>
        <w:rPr/>
        <w:t>Узлы крепления трубопроводов и арматуры к конструкциям сооружения должны проектироваться с учетом их возможных взаимных перемещений и усилий, передаваемых на них трубопроводами.</w:t>
      </w:r>
    </w:p>
    <w:p>
      <w:pPr>
        <w:pStyle w:val="Normal"/>
        <w:ind w:firstLine="225"/>
        <w:jc w:val="both"/>
        <w:rPr/>
      </w:pPr>
      <w:r>
        <w:rPr/>
      </w:r>
    </w:p>
    <w:p>
      <w:pPr>
        <w:pStyle w:val="Normal"/>
        <w:ind w:firstLine="225"/>
        <w:jc w:val="both"/>
        <w:rPr/>
      </w:pPr>
      <w:r>
        <w:rPr/>
        <w:t>Примечание. Применение чугунной арматуры допускается только в сооружениях II и III категорий по степени обеспеченности подачи воды по п. 4.4.</w:t>
      </w:r>
    </w:p>
    <w:p>
      <w:pPr>
        <w:pStyle w:val="Normal"/>
        <w:ind w:firstLine="225"/>
        <w:jc w:val="both"/>
        <w:rPr/>
      </w:pPr>
      <w:r>
        <w:rPr/>
      </w:r>
    </w:p>
    <w:p>
      <w:pPr>
        <w:pStyle w:val="Normal"/>
        <w:ind w:firstLine="225"/>
        <w:jc w:val="both"/>
        <w:rPr/>
      </w:pPr>
      <w:r>
        <w:rPr/>
        <w:t>15.28. Для уменьшения усилий в трубопроводах, вызванных перемещениями конструкций сооружений и деформацией грунта вследствие подработки, следует повышать податливость трубопроводов за счет применения компенсирующих устройств, рационального размещения и выбора типа узлов крепления и конструкции пропусков труб через стены сооружений.</w:t>
      </w:r>
    </w:p>
    <w:p>
      <w:pPr>
        <w:pStyle w:val="Normal"/>
        <w:ind w:firstLine="225"/>
        <w:jc w:val="both"/>
        <w:rPr/>
      </w:pPr>
      <w:r>
        <w:rPr/>
      </w:r>
    </w:p>
    <w:p>
      <w:pPr>
        <w:pStyle w:val="Heading"/>
        <w:jc w:val="center"/>
        <w:rPr/>
      </w:pPr>
      <w:r>
        <w:rPr/>
      </w:r>
    </w:p>
    <w:p>
      <w:pPr>
        <w:pStyle w:val="Heading"/>
        <w:jc w:val="center"/>
        <w:rPr/>
      </w:pPr>
      <w:r>
        <w:rPr/>
        <w:t xml:space="preserve">Водоводы и сети </w:t>
      </w:r>
    </w:p>
    <w:p>
      <w:pPr>
        <w:pStyle w:val="Normal"/>
        <w:ind w:firstLine="270"/>
        <w:jc w:val="both"/>
        <w:rPr/>
      </w:pPr>
      <w:r>
        <w:rPr/>
      </w:r>
    </w:p>
    <w:p>
      <w:pPr>
        <w:pStyle w:val="Normal"/>
        <w:ind w:firstLine="270"/>
        <w:jc w:val="both"/>
        <w:rPr/>
      </w:pPr>
      <w:r>
        <w:rPr/>
      </w:r>
    </w:p>
    <w:p>
      <w:pPr>
        <w:pStyle w:val="Normal"/>
        <w:ind w:firstLine="225"/>
        <w:jc w:val="both"/>
        <w:rPr/>
      </w:pPr>
      <w:r>
        <w:rPr/>
        <w:t>15.29. При проектировании трубопроводов на подрабатываемых территориях следует применять все виды труб с учетом назначения трубопроводов, требуемой прочности труб и компенсационной способности стыков.</w:t>
      </w:r>
    </w:p>
    <w:p>
      <w:pPr>
        <w:pStyle w:val="Normal"/>
        <w:ind w:firstLine="225"/>
        <w:jc w:val="both"/>
        <w:rPr/>
      </w:pPr>
      <w:r>
        <w:rPr/>
      </w:r>
    </w:p>
    <w:p>
      <w:pPr>
        <w:pStyle w:val="Normal"/>
        <w:ind w:firstLine="225"/>
        <w:jc w:val="both"/>
        <w:rPr/>
      </w:pPr>
      <w:r>
        <w:rPr/>
        <w:t>15.30. Стыковые соединения раструбных и муфтовых труб должны быть податливыми с применением уплотнительных упругих колец или мастик.</w:t>
      </w:r>
    </w:p>
    <w:p>
      <w:pPr>
        <w:pStyle w:val="Normal"/>
        <w:ind w:firstLine="225"/>
        <w:jc w:val="both"/>
        <w:rPr/>
      </w:pPr>
      <w:r>
        <w:rPr/>
      </w:r>
    </w:p>
    <w:p>
      <w:pPr>
        <w:pStyle w:val="Normal"/>
        <w:ind w:firstLine="225"/>
        <w:jc w:val="both"/>
        <w:rPr/>
      </w:pPr>
      <w:r>
        <w:rPr/>
        <w:t>Прочность сварных соединений стальных и пластмассовых труб должна быть не ниже прочности трубы.</w:t>
      </w:r>
    </w:p>
    <w:p>
      <w:pPr>
        <w:pStyle w:val="Normal"/>
        <w:ind w:firstLine="225"/>
        <w:jc w:val="both"/>
        <w:rPr/>
      </w:pPr>
      <w:r>
        <w:rPr/>
      </w:r>
    </w:p>
    <w:p>
      <w:pPr>
        <w:pStyle w:val="Normal"/>
        <w:ind w:firstLine="225"/>
        <w:jc w:val="both"/>
        <w:rPr/>
      </w:pPr>
      <w:r>
        <w:rPr/>
        <w:t>15.31. На водоводах места установки вантузов и выпусков необходимо назначать с учетом ожидаемых деформаций оснований.</w:t>
      </w:r>
    </w:p>
    <w:p>
      <w:pPr>
        <w:pStyle w:val="Normal"/>
        <w:ind w:firstLine="225"/>
        <w:jc w:val="both"/>
        <w:rPr/>
      </w:pPr>
      <w:r>
        <w:rPr/>
      </w:r>
    </w:p>
    <w:p>
      <w:pPr>
        <w:pStyle w:val="Normal"/>
        <w:ind w:firstLine="225"/>
        <w:jc w:val="both"/>
        <w:rPr/>
      </w:pPr>
      <w:r>
        <w:rPr/>
        <w:t>15.32. При проектировании водоводов в две или более линии их следует прокладывать на площадях с разными сроками подработки.</w:t>
      </w:r>
    </w:p>
    <w:p>
      <w:pPr>
        <w:pStyle w:val="Normal"/>
        <w:ind w:firstLine="225"/>
        <w:jc w:val="both"/>
        <w:rPr/>
      </w:pPr>
      <w:r>
        <w:rPr/>
      </w:r>
    </w:p>
    <w:p>
      <w:pPr>
        <w:pStyle w:val="Normal"/>
        <w:ind w:firstLine="225"/>
        <w:jc w:val="both"/>
        <w:rPr/>
      </w:pPr>
      <w:r>
        <w:rPr/>
        <w:t>15.33. Допускается применять совмещенную прокладку трубопроводов в тоннелях или каналах с учетом воздействия деформаций земной поверхности.</w:t>
      </w:r>
    </w:p>
    <w:p>
      <w:pPr>
        <w:pStyle w:val="Normal"/>
        <w:ind w:firstLine="225"/>
        <w:jc w:val="both"/>
        <w:rPr/>
      </w:pPr>
      <w:r>
        <w:rPr/>
      </w:r>
    </w:p>
    <w:p>
      <w:pPr>
        <w:pStyle w:val="Normal"/>
        <w:ind w:firstLine="225"/>
        <w:jc w:val="both"/>
        <w:rPr/>
      </w:pPr>
      <w:r>
        <w:rPr/>
        <w:t>15.34. Конструктивные мероприятия по защите трубопроводов следует назначать исходя из расчета деформаций земной поверхности от разработки полезных ископаемых за 20-летний период эксплуатации трубопроводов.</w:t>
      </w:r>
    </w:p>
    <w:p>
      <w:pPr>
        <w:pStyle w:val="Normal"/>
        <w:ind w:firstLine="225"/>
        <w:jc w:val="both"/>
        <w:rPr/>
      </w:pPr>
      <w:r>
        <w:rPr/>
      </w:r>
    </w:p>
    <w:p>
      <w:pPr>
        <w:pStyle w:val="Normal"/>
        <w:ind w:firstLine="225"/>
        <w:jc w:val="both"/>
        <w:rPr/>
      </w:pPr>
      <w:r>
        <w:rPr/>
        <w:t>Для трубопроводов систем водоснабжения II и III категорий выполнение конструктивных мероприятий допускается назначать, исходя из деформаций земной поверхности от разработки полезных ископаемых за период менее 20 лет. При этом в проекте должна предусматриваться возможность осуществления дополнительных мер защиты в процессе эксплуатации.</w:t>
      </w:r>
    </w:p>
    <w:p>
      <w:pPr>
        <w:pStyle w:val="Normal"/>
        <w:ind w:firstLine="225"/>
        <w:jc w:val="both"/>
        <w:rPr/>
      </w:pPr>
      <w:r>
        <w:rPr/>
      </w:r>
    </w:p>
    <w:p>
      <w:pPr>
        <w:pStyle w:val="Normal"/>
        <w:ind w:firstLine="225"/>
        <w:jc w:val="both"/>
        <w:rPr/>
      </w:pPr>
      <w:r>
        <w:rPr/>
        <w:t>15.35. Объем конструктивных мер защиты подземных трубопроводов должен обосновываться расчетом, при этом следует рассматривать:</w:t>
      </w:r>
    </w:p>
    <w:p>
      <w:pPr>
        <w:pStyle w:val="Normal"/>
        <w:ind w:firstLine="225"/>
        <w:jc w:val="both"/>
        <w:rPr/>
      </w:pPr>
      <w:r>
        <w:rPr/>
      </w:r>
    </w:p>
    <w:p>
      <w:pPr>
        <w:pStyle w:val="Normal"/>
        <w:ind w:firstLine="225"/>
        <w:jc w:val="both"/>
        <w:rPr/>
      </w:pPr>
      <w:r>
        <w:rPr/>
        <w:t>применение изоляции, снижающей силовое воздействие деформирующегося грунта на трубопровод;</w:t>
      </w:r>
    </w:p>
    <w:p>
      <w:pPr>
        <w:pStyle w:val="Normal"/>
        <w:ind w:firstLine="225"/>
        <w:jc w:val="both"/>
        <w:rPr/>
      </w:pPr>
      <w:r>
        <w:rPr/>
      </w:r>
    </w:p>
    <w:p>
      <w:pPr>
        <w:pStyle w:val="Normal"/>
        <w:ind w:firstLine="225"/>
        <w:jc w:val="both"/>
        <w:rPr/>
      </w:pPr>
      <w:r>
        <w:rPr/>
        <w:t xml:space="preserve">применение малозащемляющих материалов для обсыпки труб; </w:t>
      </w:r>
    </w:p>
    <w:p>
      <w:pPr>
        <w:pStyle w:val="Normal"/>
        <w:ind w:firstLine="225"/>
        <w:jc w:val="both"/>
        <w:rPr/>
      </w:pPr>
      <w:r>
        <w:rPr/>
      </w:r>
    </w:p>
    <w:p>
      <w:pPr>
        <w:pStyle w:val="Normal"/>
        <w:ind w:firstLine="225"/>
        <w:jc w:val="both"/>
        <w:rPr/>
      </w:pPr>
      <w:r>
        <w:rPr/>
        <w:t xml:space="preserve">увеличение толщины стенки трубы; </w:t>
      </w:r>
    </w:p>
    <w:p>
      <w:pPr>
        <w:pStyle w:val="Normal"/>
        <w:ind w:firstLine="225"/>
        <w:jc w:val="both"/>
        <w:rPr/>
      </w:pPr>
      <w:r>
        <w:rPr/>
      </w:r>
    </w:p>
    <w:p>
      <w:pPr>
        <w:pStyle w:val="Normal"/>
        <w:ind w:firstLine="225"/>
        <w:jc w:val="both"/>
        <w:rPr/>
      </w:pPr>
      <w:r>
        <w:rPr/>
        <w:t xml:space="preserve">применение труб из более прочных материалов; </w:t>
      </w:r>
    </w:p>
    <w:p>
      <w:pPr>
        <w:pStyle w:val="Normal"/>
        <w:ind w:firstLine="225"/>
        <w:jc w:val="both"/>
        <w:rPr/>
      </w:pPr>
      <w:r>
        <w:rPr/>
      </w:r>
    </w:p>
    <w:p>
      <w:pPr>
        <w:pStyle w:val="Normal"/>
        <w:ind w:firstLine="225"/>
        <w:jc w:val="both"/>
        <w:rPr/>
      </w:pPr>
      <w:r>
        <w:rPr/>
        <w:t xml:space="preserve">установку компенсаторов. </w:t>
      </w:r>
    </w:p>
    <w:p>
      <w:pPr>
        <w:pStyle w:val="Normal"/>
        <w:ind w:firstLine="225"/>
        <w:jc w:val="both"/>
        <w:rPr/>
      </w:pPr>
      <w:r>
        <w:rPr/>
      </w:r>
    </w:p>
    <w:p>
      <w:pPr>
        <w:pStyle w:val="Normal"/>
        <w:ind w:firstLine="225"/>
        <w:jc w:val="both"/>
        <w:rPr/>
      </w:pPr>
      <w:r>
        <w:rPr/>
        <w:t>15.36. Проверку прочности подземных трубопроводов необходимо производить с учетом совместного действия кольцевых и продольных напряжений. Кольцевые напряжения следует учитывать от воздействия внутреннего давления или вакуума, внешней нагрузки от засыпки и транспортных средств и деформации контура поперечного сечения в зоне уступа.</w:t>
      </w:r>
    </w:p>
    <w:p>
      <w:pPr>
        <w:pStyle w:val="Normal"/>
        <w:ind w:firstLine="225"/>
        <w:jc w:val="both"/>
        <w:rPr/>
      </w:pPr>
      <w:r>
        <w:rPr/>
      </w:r>
    </w:p>
    <w:p>
      <w:pPr>
        <w:pStyle w:val="Normal"/>
        <w:ind w:firstLine="225"/>
        <w:jc w:val="both"/>
        <w:rPr/>
      </w:pPr>
      <w:r>
        <w:rPr/>
        <w:t xml:space="preserve">Продольные напряжения следует учитывать от воздействия внутреннего давления, изменения температуры и деформирующегося грунта. </w:t>
      </w:r>
    </w:p>
    <w:p>
      <w:pPr>
        <w:pStyle w:val="Normal"/>
        <w:ind w:firstLine="225"/>
        <w:jc w:val="both"/>
        <w:rPr/>
      </w:pPr>
      <w:r>
        <w:rPr/>
      </w:r>
    </w:p>
    <w:p>
      <w:pPr>
        <w:pStyle w:val="Normal"/>
        <w:ind w:firstLine="225"/>
        <w:jc w:val="both"/>
        <w:rPr/>
      </w:pPr>
      <w:r>
        <w:rPr/>
        <w:t>15.37. Для трубопроводов из напорных асбестоцементных, чугунных и железобетонных труб, соединяемых на раструбах и муфтах, предельное состояние определяется максимальным раскрытием стыков, при котором сохраняется герметичность.</w:t>
      </w:r>
    </w:p>
    <w:p>
      <w:pPr>
        <w:pStyle w:val="Normal"/>
        <w:ind w:firstLine="225"/>
        <w:jc w:val="both"/>
        <w:rPr/>
      </w:pPr>
      <w:r>
        <w:rPr/>
      </w:r>
    </w:p>
    <w:p>
      <w:pPr>
        <w:pStyle w:val="Normal"/>
        <w:ind w:firstLine="225"/>
        <w:jc w:val="both"/>
        <w:rPr/>
      </w:pPr>
      <w:r>
        <w:rPr/>
        <w:t xml:space="preserve">Предельное раскрытие стыкового соединения напорного трубопровода следует принимать, см: </w:t>
      </w:r>
    </w:p>
    <w:p>
      <w:pPr>
        <w:pStyle w:val="Normal"/>
        <w:ind w:firstLine="225"/>
        <w:jc w:val="both"/>
        <w:rPr/>
      </w:pPr>
      <w:r>
        <w:rPr/>
      </w:r>
    </w:p>
    <w:p>
      <w:pPr>
        <w:pStyle w:val="Normal"/>
        <w:ind w:firstLine="225"/>
        <w:jc w:val="both"/>
        <w:rPr/>
      </w:pPr>
      <w:r>
        <w:rPr/>
        <w:t xml:space="preserve">0,2  - для чугунных труб; </w:t>
      </w:r>
    </w:p>
    <w:p>
      <w:pPr>
        <w:pStyle w:val="Normal"/>
        <w:ind w:firstLine="225"/>
        <w:jc w:val="both"/>
        <w:rPr/>
      </w:pPr>
      <w:r>
        <w:rPr/>
      </w:r>
    </w:p>
    <w:p>
      <w:pPr>
        <w:pStyle w:val="Normal"/>
        <w:ind w:firstLine="225"/>
        <w:jc w:val="both"/>
        <w:rPr/>
      </w:pPr>
      <w:r>
        <w:rPr/>
        <w:t xml:space="preserve">0,3  - для железобетонных раструбных труб; </w:t>
      </w:r>
    </w:p>
    <w:p>
      <w:pPr>
        <w:pStyle w:val="Normal"/>
        <w:ind w:firstLine="225"/>
        <w:jc w:val="both"/>
        <w:rPr/>
      </w:pPr>
      <w:r>
        <w:rPr/>
      </w:r>
    </w:p>
    <w:p>
      <w:pPr>
        <w:pStyle w:val="Normal"/>
        <w:ind w:firstLine="225"/>
        <w:jc w:val="both"/>
        <w:rPr/>
      </w:pPr>
      <w:r>
        <w:rPr/>
        <w:t>1,5  - для асбестоцементных труб.</w:t>
      </w:r>
    </w:p>
    <w:p>
      <w:pPr>
        <w:pStyle w:val="Normal"/>
        <w:ind w:firstLine="225"/>
        <w:jc w:val="both"/>
        <w:rPr/>
      </w:pPr>
      <w:r>
        <w:rPr/>
      </w:r>
    </w:p>
    <w:p>
      <w:pPr>
        <w:pStyle w:val="Heading"/>
        <w:jc w:val="center"/>
        <w:rPr/>
      </w:pPr>
      <w:r>
        <w:rPr/>
      </w:r>
    </w:p>
    <w:p>
      <w:pPr>
        <w:pStyle w:val="Heading"/>
        <w:jc w:val="center"/>
        <w:rPr/>
      </w:pPr>
      <w:r>
        <w:rPr/>
        <w:t xml:space="preserve">Строительные конструкции </w:t>
      </w:r>
    </w:p>
    <w:p>
      <w:pPr>
        <w:pStyle w:val="Normal"/>
        <w:ind w:firstLine="270"/>
        <w:jc w:val="both"/>
        <w:rPr/>
      </w:pPr>
      <w:r>
        <w:rPr/>
      </w:r>
    </w:p>
    <w:p>
      <w:pPr>
        <w:pStyle w:val="Normal"/>
        <w:ind w:firstLine="270"/>
        <w:jc w:val="both"/>
        <w:rPr/>
      </w:pPr>
      <w:r>
        <w:rPr/>
      </w:r>
    </w:p>
    <w:p>
      <w:pPr>
        <w:pStyle w:val="Normal"/>
        <w:ind w:firstLine="225"/>
        <w:jc w:val="both"/>
        <w:rPr/>
      </w:pPr>
      <w:r>
        <w:rPr/>
        <w:t>15.38. Емкостные сооружения следует проектировать по жестким, податливым или комбинированным конструктивным схемам, определяющим работу сооружения на воздействие деформаций основания, при этом следует предусматривать:</w:t>
      </w:r>
    </w:p>
    <w:p>
      <w:pPr>
        <w:pStyle w:val="Normal"/>
        <w:ind w:firstLine="225"/>
        <w:jc w:val="both"/>
        <w:rPr/>
      </w:pPr>
      <w:r>
        <w:rPr/>
      </w:r>
    </w:p>
    <w:p>
      <w:pPr>
        <w:pStyle w:val="Normal"/>
        <w:ind w:firstLine="225"/>
        <w:jc w:val="both"/>
        <w:rPr/>
      </w:pPr>
      <w:r>
        <w:rPr/>
        <w:t>по жесткой конструктивной схеме - исключение возможности взаимного перемещения элементов днища, стен, покрытия и перегородок при всех видах неравномерных деформаций;</w:t>
      </w:r>
    </w:p>
    <w:p>
      <w:pPr>
        <w:pStyle w:val="Normal"/>
        <w:ind w:firstLine="225"/>
        <w:jc w:val="both"/>
        <w:rPr/>
      </w:pPr>
      <w:r>
        <w:rPr/>
      </w:r>
    </w:p>
    <w:p>
      <w:pPr>
        <w:pStyle w:val="Normal"/>
        <w:ind w:firstLine="225"/>
        <w:jc w:val="both"/>
        <w:rPr/>
      </w:pPr>
      <w:r>
        <w:rPr/>
        <w:t>по податливой конструктивной схеме - возможность приспособления элементов ко всем видам неравномерных деформаций;</w:t>
      </w:r>
    </w:p>
    <w:p>
      <w:pPr>
        <w:pStyle w:val="Normal"/>
        <w:ind w:firstLine="225"/>
        <w:jc w:val="both"/>
        <w:rPr/>
      </w:pPr>
      <w:r>
        <w:rPr/>
      </w:r>
    </w:p>
    <w:p>
      <w:pPr>
        <w:pStyle w:val="Normal"/>
        <w:ind w:firstLine="225"/>
        <w:jc w:val="both"/>
        <w:rPr/>
      </w:pPr>
      <w:r>
        <w:rPr/>
        <w:t>по комбинированной конструктивной схеме - податливость для одних и жесткость для других элементов.</w:t>
      </w:r>
    </w:p>
    <w:p>
      <w:pPr>
        <w:pStyle w:val="Normal"/>
        <w:ind w:firstLine="225"/>
        <w:jc w:val="both"/>
        <w:rPr/>
      </w:pPr>
      <w:r>
        <w:rPr/>
      </w:r>
    </w:p>
    <w:p>
      <w:pPr>
        <w:pStyle w:val="Normal"/>
        <w:ind w:firstLine="225"/>
        <w:jc w:val="both"/>
        <w:rPr/>
      </w:pPr>
      <w:r>
        <w:rPr/>
        <w:t>15.39. Податливость элементов емкостных сооружений должна достигаться устройством деформационных водонепроницаемых швов, преимущественно на стыках сборных конструкций, в соединениях стен с днищем, покрытием и перегородками, а также при необходимости - в днище.</w:t>
      </w:r>
    </w:p>
    <w:p>
      <w:pPr>
        <w:pStyle w:val="Normal"/>
        <w:ind w:firstLine="225"/>
        <w:jc w:val="both"/>
        <w:rPr/>
      </w:pPr>
      <w:r>
        <w:rPr/>
      </w:r>
    </w:p>
    <w:p>
      <w:pPr>
        <w:pStyle w:val="Normal"/>
        <w:ind w:firstLine="225"/>
        <w:jc w:val="both"/>
        <w:rPr/>
      </w:pPr>
      <w:r>
        <w:rPr/>
        <w:t>15.40. При проектировании емкостных сооружений по податливым и комбинированным конструктивным схемам на площадках с высоким уровнем грунтовых вод конструкции податливых швов должны обеспечивать восприятие двухстороннего гидростатического давления.</w:t>
      </w:r>
    </w:p>
    <w:p>
      <w:pPr>
        <w:pStyle w:val="Normal"/>
        <w:ind w:firstLine="225"/>
        <w:jc w:val="both"/>
        <w:rPr/>
      </w:pPr>
      <w:r>
        <w:rPr/>
      </w:r>
    </w:p>
    <w:p>
      <w:pPr>
        <w:pStyle w:val="Normal"/>
        <w:ind w:firstLine="225"/>
        <w:jc w:val="both"/>
        <w:rPr/>
      </w:pPr>
      <w:r>
        <w:rPr/>
        <w:t>15.41. Для емкостных сооружений, запроектированных по податливым и комбинированным схемам, в слабофильтрующих глинистых грунтах необходимо предусматривать устройство дренажной системы.</w:t>
      </w:r>
    </w:p>
    <w:p>
      <w:pPr>
        <w:pStyle w:val="Normal"/>
        <w:ind w:firstLine="225"/>
        <w:jc w:val="both"/>
        <w:rPr/>
      </w:pPr>
      <w:r>
        <w:rPr/>
      </w:r>
    </w:p>
    <w:p>
      <w:pPr>
        <w:pStyle w:val="Normal"/>
        <w:ind w:firstLine="225"/>
        <w:jc w:val="both"/>
        <w:rPr/>
      </w:pPr>
      <w:r>
        <w:rPr/>
        <w:t>15.42. Резервуары необходимо проектировать:</w:t>
      </w:r>
    </w:p>
    <w:p>
      <w:pPr>
        <w:pStyle w:val="Normal"/>
        <w:ind w:firstLine="225"/>
        <w:jc w:val="both"/>
        <w:rPr/>
      </w:pPr>
      <w:r>
        <w:rPr/>
      </w:r>
    </w:p>
    <w:p>
      <w:pPr>
        <w:pStyle w:val="Normal"/>
        <w:ind w:firstLine="225"/>
        <w:jc w:val="both"/>
        <w:rPr/>
      </w:pPr>
      <w:r>
        <w:rPr/>
        <w:t>по жестким конструктивным схемам - объемом 50 и 100 куб.м на I-IV группах и объемом 250 и 500 куб.м  на III-IV группах подрабатываемых территорий;</w:t>
      </w:r>
    </w:p>
    <w:p>
      <w:pPr>
        <w:pStyle w:val="Normal"/>
        <w:ind w:firstLine="225"/>
        <w:jc w:val="both"/>
        <w:rPr/>
      </w:pPr>
      <w:r>
        <w:rPr/>
      </w:r>
    </w:p>
    <w:p>
      <w:pPr>
        <w:pStyle w:val="Normal"/>
        <w:ind w:firstLine="225"/>
        <w:jc w:val="both"/>
        <w:rPr/>
      </w:pPr>
      <w:r>
        <w:rPr/>
        <w:t>по податливым конструктивным схемам - объемом 1000 куб.м на I группе, объемом 2000 и 3000 куб.м  на I-II группах и объемом 6000 куб.м на I-III группах подрабатываемых территорий;</w:t>
      </w:r>
    </w:p>
    <w:p>
      <w:pPr>
        <w:pStyle w:val="Normal"/>
        <w:ind w:firstLine="225"/>
        <w:jc w:val="both"/>
        <w:rPr/>
      </w:pPr>
      <w:r>
        <w:rPr/>
      </w:r>
    </w:p>
    <w:p>
      <w:pPr>
        <w:pStyle w:val="Normal"/>
        <w:ind w:firstLine="225"/>
        <w:jc w:val="both"/>
        <w:rPr/>
      </w:pPr>
      <w:r>
        <w:rPr/>
        <w:t>по комбинированным конструктивным схемам объемом 250 и 500 куб.м на I-II группах, объемом 1000 куб.м на II-IV группах, объемом 2000 и 3000 куб.м на III-IV группах и объемом 6000 куб.м на IV группе подрабатываемых территорий.</w:t>
      </w:r>
    </w:p>
    <w:p>
      <w:pPr>
        <w:pStyle w:val="Normal"/>
        <w:ind w:firstLine="225"/>
        <w:jc w:val="both"/>
        <w:rPr/>
      </w:pPr>
      <w:r>
        <w:rPr/>
      </w:r>
    </w:p>
    <w:p>
      <w:pPr>
        <w:pStyle w:val="Normal"/>
        <w:ind w:firstLine="225"/>
        <w:jc w:val="both"/>
        <w:rPr/>
      </w:pPr>
      <w:r>
        <w:rPr/>
        <w:t>Резервуары на Iк-IVк группах подрабатываемых территорий следует проектировать по жестким, конструктивным схемам.</w:t>
      </w:r>
    </w:p>
    <w:p>
      <w:pPr>
        <w:pStyle w:val="Normal"/>
        <w:ind w:firstLine="225"/>
        <w:jc w:val="both"/>
        <w:rPr/>
      </w:pPr>
      <w:r>
        <w:rPr/>
      </w:r>
    </w:p>
    <w:p>
      <w:pPr>
        <w:pStyle w:val="Normal"/>
        <w:ind w:firstLine="225"/>
        <w:jc w:val="both"/>
        <w:rPr/>
      </w:pPr>
      <w:r>
        <w:rPr/>
        <w:t>15.43. Емкостные сооружения станций водоподготовки следует проектировать:</w:t>
      </w:r>
    </w:p>
    <w:p>
      <w:pPr>
        <w:pStyle w:val="Normal"/>
        <w:ind w:firstLine="225"/>
        <w:jc w:val="both"/>
        <w:rPr/>
      </w:pPr>
      <w:r>
        <w:rPr/>
      </w:r>
    </w:p>
    <w:p>
      <w:pPr>
        <w:pStyle w:val="Normal"/>
        <w:ind w:firstLine="225"/>
        <w:jc w:val="both"/>
        <w:rPr/>
      </w:pPr>
      <w:r>
        <w:rPr/>
        <w:t>осветлители, вертикальные отстойники, смесители, камеры реакции, фильтры - по жесткой схеме;</w:t>
      </w:r>
    </w:p>
    <w:p>
      <w:pPr>
        <w:pStyle w:val="Normal"/>
        <w:ind w:firstLine="225"/>
        <w:jc w:val="both"/>
        <w:rPr/>
      </w:pPr>
      <w:r>
        <w:rPr/>
      </w:r>
    </w:p>
    <w:p>
      <w:pPr>
        <w:pStyle w:val="Normal"/>
        <w:ind w:firstLine="225"/>
        <w:jc w:val="both"/>
        <w:rPr/>
      </w:pPr>
      <w:r>
        <w:rPr/>
        <w:t>горизонтальные отстойники - по податливой или комбинированной схеме;</w:t>
      </w:r>
    </w:p>
    <w:p>
      <w:pPr>
        <w:pStyle w:val="Normal"/>
        <w:ind w:firstLine="225"/>
        <w:jc w:val="both"/>
        <w:rPr/>
      </w:pPr>
      <w:r>
        <w:rPr/>
      </w:r>
    </w:p>
    <w:p>
      <w:pPr>
        <w:pStyle w:val="Normal"/>
        <w:ind w:firstLine="225"/>
        <w:jc w:val="both"/>
        <w:rPr/>
      </w:pPr>
      <w:r>
        <w:rPr/>
        <w:t>радиальные отстойники - по жесткой или комбинированной схеме, обеспечивающей постоянный зазор между днищем и механизмом для удаления осадка.</w:t>
      </w:r>
    </w:p>
    <w:p>
      <w:pPr>
        <w:pStyle w:val="Normal"/>
        <w:ind w:firstLine="225"/>
        <w:jc w:val="both"/>
        <w:rPr/>
      </w:pPr>
      <w:r>
        <w:rPr/>
      </w:r>
    </w:p>
    <w:p>
      <w:pPr>
        <w:pStyle w:val="Normal"/>
        <w:ind w:firstLine="225"/>
        <w:jc w:val="both"/>
        <w:rPr/>
      </w:pPr>
      <w:r>
        <w:rPr/>
        <w:t>15.44. Открытые емкостные сооружения следует проектировать по податливой конструктивной схеме в виде емкостей в грунте с облицовкой откосов и днища. Заложение откосов необходимо принимать равным 1:3.</w:t>
      </w:r>
    </w:p>
    <w:p>
      <w:pPr>
        <w:pStyle w:val="Normal"/>
        <w:ind w:firstLine="225"/>
        <w:jc w:val="both"/>
        <w:rPr/>
      </w:pPr>
      <w:r>
        <w:rPr/>
      </w:r>
    </w:p>
    <w:p>
      <w:pPr>
        <w:pStyle w:val="Normal"/>
        <w:ind w:firstLine="225"/>
        <w:jc w:val="both"/>
        <w:rPr/>
      </w:pPr>
      <w:r>
        <w:rPr/>
        <w:t xml:space="preserve">15.45. При проектировании открытых емкостных сооружений на площадках, сложенных связными </w:t>
      </w:r>
    </w:p>
    <w:tbl>
      <w:tblPr>
        <w:tblW w:w="8520" w:type="dxa"/>
        <w:jc w:val="start"/>
        <w:tblInd w:w="15" w:type="dxa"/>
        <w:tblBorders/>
        <w:tblCellMar>
          <w:top w:w="0" w:type="dxa"/>
          <w:start w:w="15" w:type="dxa"/>
          <w:bottom w:w="0" w:type="dxa"/>
          <w:end w:w="15" w:type="dxa"/>
        </w:tblCellMar>
      </w:tblPr>
      <w:tblGrid>
        <w:gridCol w:w="5025"/>
        <w:gridCol w:w="3495"/>
      </w:tblGrid>
      <w:tr>
        <w:trPr/>
        <w:tc>
          <w:tcPr>
            <w:tcW w:w="5025" w:type="dxa"/>
            <w:tcBorders/>
            <w:shd w:fill="auto" w:val="clear"/>
          </w:tcPr>
          <w:p>
            <w:pPr>
              <w:pStyle w:val="Normal"/>
              <w:rPr/>
            </w:pPr>
            <w:r>
              <w:rPr>
                <w:vanish/>
              </w:rPr>
              <w:t>#G0</w:t>
            </w:r>
            <w:r>
              <w:rPr/>
              <w:t xml:space="preserve">  </w:t>
            </w:r>
          </w:p>
          <w:p>
            <w:pPr>
              <w:pStyle w:val="Normal"/>
              <w:jc w:val="both"/>
              <w:rPr/>
            </w:pPr>
            <w:r>
              <w:rPr/>
              <w:t xml:space="preserve">необводненными грунтами ненарушенной структуры при </w:t>
            </w:r>
          </w:p>
          <w:p>
            <w:pPr>
              <w:pStyle w:val="Normal"/>
              <w:jc w:val="both"/>
              <w:rPr/>
            </w:pPr>
            <w:r>
              <w:rPr/>
            </w:r>
          </w:p>
        </w:tc>
        <w:tc>
          <w:tcPr>
            <w:tcW w:w="3495" w:type="dxa"/>
            <w:tcBorders/>
            <w:shd w:fill="auto" w:val="clear"/>
          </w:tcPr>
          <w:p>
            <w:pPr>
              <w:pStyle w:val="Normal"/>
              <w:rPr/>
            </w:pPr>
            <w:r>
              <w:rPr/>
              <w:t xml:space="preserve">  </w:t>
            </w:r>
          </w:p>
          <w:p>
            <w:pPr>
              <w:pStyle w:val="Normal"/>
              <w:rPr/>
            </w:pPr>
            <w:r>
              <w:rPr/>
              <w:drawing>
                <wp:inline distT="0" distB="0" distL="0" distR="0">
                  <wp:extent cx="2154555" cy="207645"/>
                  <wp:effectExtent l="0" t="0" r="0" b="0"/>
                  <wp:docPr id="180" name="Изображение1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Изображение180" descr="" title=""/>
                          <pic:cNvPicPr>
                            <a:picLocks noChangeAspect="1" noChangeArrowheads="1"/>
                          </pic:cNvPicPr>
                        </pic:nvPicPr>
                        <pic:blipFill>
                          <a:blip r:embed="rId181"/>
                          <a:stretch>
                            <a:fillRect/>
                          </a:stretch>
                        </pic:blipFill>
                        <pic:spPr bwMode="auto">
                          <a:xfrm>
                            <a:off x="0" y="0"/>
                            <a:ext cx="2154555" cy="207645"/>
                          </a:xfrm>
                          <a:prstGeom prst="rect">
                            <a:avLst/>
                          </a:prstGeom>
                        </pic:spPr>
                      </pic:pic>
                    </a:graphicData>
                  </a:graphic>
                </wp:inline>
              </w:drawing>
            </w:r>
            <w:r>
              <w:rPr/>
              <w:t xml:space="preserve">  </w:t>
            </w:r>
          </w:p>
          <w:p>
            <w:pPr>
              <w:pStyle w:val="Normal"/>
              <w:rPr/>
            </w:pPr>
            <w:r>
              <w:rPr/>
            </w:r>
          </w:p>
        </w:tc>
      </w:tr>
    </w:tbl>
    <w:p>
      <w:pPr>
        <w:pStyle w:val="Normal"/>
        <w:jc w:val="both"/>
        <w:rPr/>
      </w:pPr>
      <w:r>
        <w:rPr/>
        <w:t>облицовку емкостей допускается принимать непосредственно по основанию полимерными листовыми материалами. В других случаях облицовку следует предусматривать железобетонными плитами с устройством деформационных швов.</w:t>
      </w:r>
    </w:p>
    <w:p>
      <w:pPr>
        <w:pStyle w:val="Normal"/>
        <w:jc w:val="both"/>
        <w:rPr/>
      </w:pPr>
      <w:r>
        <w:rPr/>
      </w:r>
    </w:p>
    <w:p>
      <w:pPr>
        <w:pStyle w:val="Normal"/>
        <w:ind w:firstLine="225"/>
        <w:jc w:val="both"/>
        <w:rPr/>
      </w:pPr>
      <w:r>
        <w:rPr/>
        <w:t>15.46. Днище железобетонных емкостных сооружений следует проектировать монолитным для территорий Iк-IVк групп -  однослойным, для территорий I-IV групп  - двухслойным.</w:t>
      </w:r>
    </w:p>
    <w:p>
      <w:pPr>
        <w:pStyle w:val="Normal"/>
        <w:ind w:firstLine="225"/>
        <w:jc w:val="both"/>
        <w:rPr/>
      </w:pPr>
      <w:r>
        <w:rPr/>
      </w:r>
    </w:p>
    <w:p>
      <w:pPr>
        <w:pStyle w:val="Normal"/>
        <w:ind w:firstLine="225"/>
        <w:jc w:val="both"/>
        <w:rPr/>
      </w:pPr>
      <w:r>
        <w:rPr/>
        <w:t>Однослойное днище в виде железобетонной плиты должно рассчитываться на восприятие основного и особых сочетаний нагрузок.</w:t>
      </w:r>
    </w:p>
    <w:p>
      <w:pPr>
        <w:pStyle w:val="Normal"/>
        <w:ind w:firstLine="225"/>
        <w:jc w:val="both"/>
        <w:rPr/>
      </w:pPr>
      <w:r>
        <w:rPr/>
      </w:r>
    </w:p>
    <w:p>
      <w:pPr>
        <w:pStyle w:val="Normal"/>
        <w:ind w:firstLine="225"/>
        <w:jc w:val="both"/>
        <w:rPr/>
      </w:pPr>
      <w:r>
        <w:rPr/>
        <w:t xml:space="preserve">Двухслойное днище должно включать железобетонную плиту, рассчитанную на основное сочетание нагрузок и деформацию искривления, и армированную подготовку, рассчитанную на горизонтальные деформации растяжения с учетом нелинейной работы основания и трещинообразования железобетона. При этом предельно допустимая ширина раскрытия трещин в армированной </w:t>
      </w:r>
    </w:p>
    <w:tbl>
      <w:tblPr>
        <w:tblW w:w="6675" w:type="dxa"/>
        <w:jc w:val="start"/>
        <w:tblInd w:w="30" w:type="dxa"/>
        <w:tblBorders/>
        <w:tblCellMar>
          <w:top w:w="0" w:type="dxa"/>
          <w:start w:w="15" w:type="dxa"/>
          <w:bottom w:w="0" w:type="dxa"/>
          <w:end w:w="15" w:type="dxa"/>
        </w:tblCellMar>
      </w:tblPr>
      <w:tblGrid>
        <w:gridCol w:w="3135"/>
        <w:gridCol w:w="3540"/>
      </w:tblGrid>
      <w:tr>
        <w:trPr/>
        <w:tc>
          <w:tcPr>
            <w:tcW w:w="3135" w:type="dxa"/>
            <w:tcBorders/>
            <w:shd w:fill="auto" w:val="clear"/>
          </w:tcPr>
          <w:p>
            <w:pPr>
              <w:pStyle w:val="Normal"/>
              <w:rPr>
                <w:vanish/>
              </w:rPr>
            </w:pPr>
            <w:r>
              <w:rPr>
                <w:vanish/>
              </w:rPr>
              <w:t>#G0</w:t>
            </w:r>
          </w:p>
          <w:p>
            <w:pPr>
              <w:pStyle w:val="Normal"/>
              <w:rPr/>
            </w:pPr>
            <w:r>
              <w:rPr/>
              <w:t xml:space="preserve">подготовке должна приниматься </w:t>
            </w:r>
          </w:p>
          <w:p>
            <w:pPr>
              <w:pStyle w:val="Normal"/>
              <w:rPr/>
            </w:pPr>
            <w:r>
              <w:rPr/>
            </w:r>
          </w:p>
        </w:tc>
        <w:tc>
          <w:tcPr>
            <w:tcW w:w="3540" w:type="dxa"/>
            <w:tcBorders/>
            <w:shd w:fill="auto" w:val="clear"/>
          </w:tcPr>
          <w:p>
            <w:pPr>
              <w:pStyle w:val="Normal"/>
              <w:rPr/>
            </w:pPr>
            <w:r>
              <w:rPr/>
              <w:t xml:space="preserve">  </w:t>
            </w:r>
          </w:p>
          <w:p>
            <w:pPr>
              <w:pStyle w:val="Normal"/>
              <w:rPr/>
            </w:pPr>
            <w:r>
              <w:rPr/>
              <w:drawing>
                <wp:inline distT="0" distB="0" distL="0" distR="0">
                  <wp:extent cx="1577975" cy="207645"/>
                  <wp:effectExtent l="0" t="0" r="0" b="0"/>
                  <wp:docPr id="181" name="Изображение1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Изображение181" descr="" title=""/>
                          <pic:cNvPicPr>
                            <a:picLocks noChangeAspect="1" noChangeArrowheads="1"/>
                          </pic:cNvPicPr>
                        </pic:nvPicPr>
                        <pic:blipFill>
                          <a:blip r:embed="rId182"/>
                          <a:stretch>
                            <a:fillRect/>
                          </a:stretch>
                        </pic:blipFill>
                        <pic:spPr bwMode="auto">
                          <a:xfrm>
                            <a:off x="0" y="0"/>
                            <a:ext cx="1577975" cy="207645"/>
                          </a:xfrm>
                          <a:prstGeom prst="rect">
                            <a:avLst/>
                          </a:prstGeom>
                        </pic:spPr>
                      </pic:pic>
                    </a:graphicData>
                  </a:graphic>
                </wp:inline>
              </w:drawing>
            </w:r>
          </w:p>
        </w:tc>
      </w:tr>
    </w:tbl>
    <w:p>
      <w:pPr>
        <w:pStyle w:val="Normal"/>
        <w:jc w:val="both"/>
        <w:rPr/>
      </w:pPr>
      <w:r>
        <w:rPr/>
      </w:r>
    </w:p>
    <w:p>
      <w:pPr>
        <w:pStyle w:val="Normal"/>
        <w:ind w:firstLine="225"/>
        <w:jc w:val="both"/>
        <w:rPr/>
      </w:pPr>
      <w:r>
        <w:rPr/>
        <w:t>Между плитой и подготовкой необходимо предусматривать слой мастичной гидроизоляции.</w:t>
      </w:r>
    </w:p>
    <w:p>
      <w:pPr>
        <w:pStyle w:val="Normal"/>
        <w:ind w:firstLine="225"/>
        <w:jc w:val="both"/>
        <w:rPr/>
      </w:pPr>
      <w:r>
        <w:rPr/>
      </w:r>
    </w:p>
    <w:p>
      <w:pPr>
        <w:pStyle w:val="Normal"/>
        <w:ind w:firstLine="225"/>
        <w:jc w:val="both"/>
        <w:rPr/>
      </w:pPr>
      <w:r>
        <w:rPr/>
        <w:t>15.47. При необходимости уменьшения лобового давления на стены закрытого емкостного сооружения, возникающего при воздействии горизонтальных деформаций сжатия земной поверхности, следует предусматривать обваловку сооружения песчаным грунтом.</w:t>
      </w:r>
    </w:p>
    <w:p>
      <w:pPr>
        <w:pStyle w:val="Normal"/>
        <w:ind w:firstLine="225"/>
        <w:jc w:val="both"/>
        <w:rPr/>
      </w:pPr>
      <w:r>
        <w:rPr/>
      </w:r>
    </w:p>
    <w:p>
      <w:pPr>
        <w:pStyle w:val="Normal"/>
        <w:ind w:firstLine="225"/>
        <w:jc w:val="both"/>
        <w:rPr/>
      </w:pPr>
      <w:r>
        <w:rPr/>
        <w:t>15.48. При необходимости уменьшения горизонтальных нагрузок по подошве емкостного сооружения, возникающих при воздействии горизонтальных деформаций растяжения, а также для снижения влияния вертикальных деформаций скального основания, возникающих при уступах и искривлении земной поверхности, следует предусматривать под днищем песчаную или грунтовую подушку.</w:t>
      </w:r>
    </w:p>
    <w:p>
      <w:pPr>
        <w:pStyle w:val="Normal"/>
        <w:ind w:firstLine="225"/>
        <w:jc w:val="both"/>
        <w:rPr/>
      </w:pPr>
      <w:r>
        <w:rPr/>
      </w:r>
    </w:p>
    <w:p>
      <w:pPr>
        <w:pStyle w:val="Normal"/>
        <w:ind w:firstLine="225"/>
        <w:jc w:val="both"/>
        <w:rPr/>
      </w:pPr>
      <w:r>
        <w:rPr/>
        <w:t>Толщина подушки должна назначаться по расчету с учетом величин неравномерных деформаций, конструктивной схемы сооружения и его размеров в плане.</w:t>
      </w:r>
    </w:p>
    <w:p>
      <w:pPr>
        <w:pStyle w:val="Normal"/>
        <w:ind w:firstLine="225"/>
        <w:jc w:val="both"/>
        <w:rPr/>
      </w:pPr>
      <w:r>
        <w:rPr/>
      </w:r>
    </w:p>
    <w:p>
      <w:pPr>
        <w:pStyle w:val="Heading"/>
        <w:jc w:val="center"/>
        <w:rPr/>
      </w:pPr>
      <w:r>
        <w:rPr/>
      </w:r>
    </w:p>
    <w:p>
      <w:pPr>
        <w:pStyle w:val="Heading"/>
        <w:jc w:val="center"/>
        <w:rPr/>
      </w:pPr>
      <w:r>
        <w:rPr/>
        <w:t>ВЕЧНОМЕРЗЛЫЕ ГРУНТЫ</w:t>
      </w:r>
    </w:p>
    <w:p>
      <w:pPr>
        <w:pStyle w:val="Heading"/>
        <w:jc w:val="center"/>
        <w:rPr/>
      </w:pPr>
      <w:r>
        <w:rPr/>
      </w:r>
    </w:p>
    <w:p>
      <w:pPr>
        <w:pStyle w:val="Heading"/>
        <w:jc w:val="center"/>
        <w:rPr/>
      </w:pPr>
      <w:r>
        <w:rPr/>
        <w:t xml:space="preserve">Общие указания </w:t>
      </w:r>
    </w:p>
    <w:p>
      <w:pPr>
        <w:pStyle w:val="Normal"/>
        <w:ind w:firstLine="360"/>
        <w:jc w:val="both"/>
        <w:rPr>
          <w:b/>
          <w:b/>
          <w:sz w:val="22"/>
        </w:rPr>
      </w:pPr>
      <w:r>
        <w:rPr>
          <w:b/>
          <w:sz w:val="22"/>
        </w:rPr>
      </w:r>
    </w:p>
    <w:p>
      <w:pPr>
        <w:pStyle w:val="Normal"/>
        <w:jc w:val="both"/>
        <w:rPr>
          <w:b/>
          <w:b/>
          <w:sz w:val="22"/>
        </w:rPr>
      </w:pPr>
      <w:r>
        <w:rPr>
          <w:b/>
          <w:sz w:val="22"/>
        </w:rPr>
      </w:r>
    </w:p>
    <w:p>
      <w:pPr>
        <w:pStyle w:val="Normal"/>
        <w:ind w:firstLine="225"/>
        <w:jc w:val="both"/>
        <w:rPr/>
      </w:pPr>
      <w:r>
        <w:rPr/>
        <w:t>15.49. При проектировании сетей и сооружений водоснабжения следует принимать I или II принцип использования вечномерзлых грунтов в качестве основания согласно СНиП 2.02.04-88.</w:t>
      </w:r>
    </w:p>
    <w:p>
      <w:pPr>
        <w:pStyle w:val="Normal"/>
        <w:ind w:firstLine="225"/>
        <w:jc w:val="both"/>
        <w:rPr/>
      </w:pPr>
      <w:r>
        <w:rPr/>
      </w:r>
    </w:p>
    <w:p>
      <w:pPr>
        <w:pStyle w:val="Normal"/>
        <w:ind w:firstLine="225"/>
        <w:jc w:val="both"/>
        <w:rPr/>
      </w:pPr>
      <w:r>
        <w:rPr/>
        <w:t>15.50. Расчетные расходы воды допускается увеличивать за счет сброса воды для предохранения сетей и водоводов от замерзания. Целесообразность и расход сбрасываемой воды должны обосновываться.</w:t>
      </w:r>
    </w:p>
    <w:p>
      <w:pPr>
        <w:pStyle w:val="Normal"/>
        <w:ind w:firstLine="225"/>
        <w:jc w:val="both"/>
        <w:rPr/>
      </w:pPr>
      <w:r>
        <w:rPr/>
      </w:r>
    </w:p>
    <w:p>
      <w:pPr>
        <w:pStyle w:val="Normal"/>
        <w:ind w:firstLine="225"/>
        <w:jc w:val="both"/>
        <w:rPr/>
      </w:pPr>
      <w:r>
        <w:rPr/>
        <w:t>15.51. При использовании в качестве источника водоснабжения подземных вод (надмерзлотных, межмерзлотных, подмерзлотных) следует использовать источники с более высокой температурой воды.</w:t>
      </w:r>
    </w:p>
    <w:p>
      <w:pPr>
        <w:pStyle w:val="Normal"/>
        <w:ind w:firstLine="225"/>
        <w:jc w:val="both"/>
        <w:rPr/>
      </w:pPr>
      <w:r>
        <w:rPr/>
      </w:r>
    </w:p>
    <w:p>
      <w:pPr>
        <w:pStyle w:val="Normal"/>
        <w:ind w:firstLine="225"/>
        <w:jc w:val="both"/>
        <w:rPr/>
      </w:pPr>
      <w:r>
        <w:rPr/>
        <w:t>15.52. При определении диаметра водозаборных скважин надлежит (при необходимости) учитывать размеры устройств для их обогрева.</w:t>
      </w:r>
    </w:p>
    <w:p>
      <w:pPr>
        <w:pStyle w:val="Normal"/>
        <w:ind w:firstLine="225"/>
        <w:jc w:val="both"/>
        <w:rPr/>
      </w:pPr>
      <w:r>
        <w:rPr/>
      </w:r>
    </w:p>
    <w:p>
      <w:pPr>
        <w:pStyle w:val="Normal"/>
        <w:ind w:firstLine="225"/>
        <w:jc w:val="both"/>
        <w:rPr/>
      </w:pPr>
      <w:r>
        <w:rPr/>
        <w:t>15.53. Искусственное регулирование и пополнение запасов подземных вод следует применять:</w:t>
      </w:r>
    </w:p>
    <w:p>
      <w:pPr>
        <w:pStyle w:val="Normal"/>
        <w:ind w:firstLine="225"/>
        <w:jc w:val="both"/>
        <w:rPr/>
      </w:pPr>
      <w:r>
        <w:rPr/>
      </w:r>
    </w:p>
    <w:p>
      <w:pPr>
        <w:pStyle w:val="Normal"/>
        <w:ind w:firstLine="225"/>
        <w:jc w:val="both"/>
        <w:rPr/>
      </w:pPr>
      <w:r>
        <w:rPr/>
        <w:t>для внутригодового перераспределения и увеличения запасов надмерзлотных вод;</w:t>
      </w:r>
    </w:p>
    <w:p>
      <w:pPr>
        <w:pStyle w:val="Normal"/>
        <w:ind w:firstLine="225"/>
        <w:jc w:val="both"/>
        <w:rPr/>
      </w:pPr>
      <w:r>
        <w:rPr/>
      </w:r>
    </w:p>
    <w:p>
      <w:pPr>
        <w:pStyle w:val="Normal"/>
        <w:ind w:firstLine="225"/>
        <w:jc w:val="both"/>
        <w:rPr/>
      </w:pPr>
      <w:r>
        <w:rPr/>
        <w:t>для создания запасов слабоминерализованных вод путем вытеснения засоленных межмерзлотных и подмерзлотных вод пресными водами;</w:t>
      </w:r>
    </w:p>
    <w:p>
      <w:pPr>
        <w:pStyle w:val="Normal"/>
        <w:ind w:firstLine="225"/>
        <w:jc w:val="both"/>
        <w:rPr/>
      </w:pPr>
      <w:r>
        <w:rPr/>
      </w:r>
    </w:p>
    <w:p>
      <w:pPr>
        <w:pStyle w:val="Normal"/>
        <w:ind w:firstLine="225"/>
        <w:jc w:val="both"/>
        <w:rPr/>
      </w:pPr>
      <w:r>
        <w:rPr/>
        <w:t>для получения воды с требуемой температурой.</w:t>
      </w:r>
    </w:p>
    <w:p>
      <w:pPr>
        <w:pStyle w:val="Normal"/>
        <w:ind w:firstLine="225"/>
        <w:jc w:val="both"/>
        <w:rPr/>
      </w:pPr>
      <w:r>
        <w:rPr/>
      </w:r>
    </w:p>
    <w:p>
      <w:pPr>
        <w:pStyle w:val="Normal"/>
        <w:ind w:firstLine="225"/>
        <w:jc w:val="both"/>
        <w:rPr/>
      </w:pPr>
      <w:r>
        <w:rPr/>
        <w:t>15.54. В составе систем искусственного пополнения подземных вод должны предусматриваться инфильтрационные сооружения, как правило, закрытого типа. Применение сооружений открытого типа допускается при обосновании.</w:t>
      </w:r>
    </w:p>
    <w:p>
      <w:pPr>
        <w:pStyle w:val="Normal"/>
        <w:ind w:firstLine="225"/>
        <w:jc w:val="both"/>
        <w:rPr/>
      </w:pPr>
      <w:r>
        <w:rPr/>
      </w:r>
    </w:p>
    <w:p>
      <w:pPr>
        <w:pStyle w:val="Normal"/>
        <w:ind w:firstLine="225"/>
        <w:jc w:val="both"/>
        <w:rPr/>
      </w:pPr>
      <w:r>
        <w:rPr/>
        <w:t xml:space="preserve">15.55. В вечномерзлых грунтах на водотоках, имеющих постоянный поверхностный сток и устойчивое русло, тип водозаборных сооружений должен приниматься с учетом: </w:t>
      </w:r>
    </w:p>
    <w:p>
      <w:pPr>
        <w:pStyle w:val="Normal"/>
        <w:ind w:firstLine="225"/>
        <w:jc w:val="both"/>
        <w:rPr/>
      </w:pPr>
      <w:r>
        <w:rPr/>
      </w:r>
    </w:p>
    <w:p>
      <w:pPr>
        <w:pStyle w:val="Normal"/>
        <w:ind w:firstLine="225"/>
        <w:jc w:val="both"/>
        <w:rPr/>
      </w:pPr>
      <w:r>
        <w:rPr/>
        <w:t xml:space="preserve">степени промерзания водотоков; </w:t>
      </w:r>
    </w:p>
    <w:p>
      <w:pPr>
        <w:pStyle w:val="Normal"/>
        <w:ind w:firstLine="225"/>
        <w:jc w:val="both"/>
        <w:rPr/>
      </w:pPr>
      <w:r>
        <w:rPr/>
      </w:r>
    </w:p>
    <w:p>
      <w:pPr>
        <w:pStyle w:val="Normal"/>
        <w:ind w:firstLine="225"/>
        <w:jc w:val="both"/>
        <w:rPr/>
      </w:pPr>
      <w:r>
        <w:rPr/>
        <w:t>формирования зоны оттаивания и изменения в связи с этим качества воды;</w:t>
      </w:r>
    </w:p>
    <w:p>
      <w:pPr>
        <w:pStyle w:val="Normal"/>
        <w:ind w:firstLine="225"/>
        <w:jc w:val="both"/>
        <w:rPr/>
      </w:pPr>
      <w:r>
        <w:rPr/>
      </w:r>
    </w:p>
    <w:p>
      <w:pPr>
        <w:pStyle w:val="Normal"/>
        <w:ind w:firstLine="225"/>
        <w:jc w:val="both"/>
        <w:rPr/>
      </w:pPr>
      <w:r>
        <w:rPr/>
        <w:t>мер защиты воды в водоприемных и водоотводящих элементах водозабора от замерзания.</w:t>
      </w:r>
    </w:p>
    <w:p>
      <w:pPr>
        <w:pStyle w:val="Normal"/>
        <w:ind w:firstLine="225"/>
        <w:jc w:val="both"/>
        <w:rPr/>
      </w:pPr>
      <w:r>
        <w:rPr/>
      </w:r>
    </w:p>
    <w:p>
      <w:pPr>
        <w:pStyle w:val="Normal"/>
        <w:ind w:firstLine="225"/>
        <w:jc w:val="both"/>
        <w:rPr/>
      </w:pPr>
      <w:r>
        <w:rPr/>
        <w:t>15.56. Схемы водозабора надлежит принимать:</w:t>
      </w:r>
    </w:p>
    <w:p>
      <w:pPr>
        <w:pStyle w:val="Normal"/>
        <w:ind w:firstLine="225"/>
        <w:jc w:val="both"/>
        <w:rPr/>
      </w:pPr>
      <w:r>
        <w:rPr/>
      </w:r>
    </w:p>
    <w:p>
      <w:pPr>
        <w:pStyle w:val="Normal"/>
        <w:ind w:firstLine="225"/>
        <w:jc w:val="both"/>
        <w:rPr/>
      </w:pPr>
      <w:r>
        <w:rPr/>
        <w:t>с сильно развитым фронтом берегового или затопленного водоприемника, в месте расположения которого русло следует регулировать системой невысоких запруд, размещаемых у противоположного берега;</w:t>
      </w:r>
    </w:p>
    <w:p>
      <w:pPr>
        <w:pStyle w:val="Normal"/>
        <w:ind w:firstLine="225"/>
        <w:jc w:val="both"/>
        <w:rPr/>
      </w:pPr>
      <w:r>
        <w:rPr/>
      </w:r>
    </w:p>
    <w:p>
      <w:pPr>
        <w:pStyle w:val="Normal"/>
        <w:ind w:firstLine="225"/>
        <w:jc w:val="both"/>
        <w:rPr/>
      </w:pPr>
      <w:r>
        <w:rPr/>
        <w:t>с фильтрующим водоприемником, входное отверстие которого расположено на уровне русла водотока;</w:t>
      </w:r>
    </w:p>
    <w:p>
      <w:pPr>
        <w:pStyle w:val="Normal"/>
        <w:ind w:firstLine="225"/>
        <w:jc w:val="both"/>
        <w:rPr/>
      </w:pPr>
      <w:r>
        <w:rPr/>
      </w:r>
    </w:p>
    <w:p>
      <w:pPr>
        <w:pStyle w:val="Normal"/>
        <w:ind w:firstLine="225"/>
        <w:jc w:val="both"/>
        <w:rPr/>
      </w:pPr>
      <w:r>
        <w:rPr/>
        <w:t>комбинированную, приспособленную для забора поверхностных и подрусловых вод.</w:t>
      </w:r>
    </w:p>
    <w:p>
      <w:pPr>
        <w:pStyle w:val="Normal"/>
        <w:ind w:firstLine="225"/>
        <w:jc w:val="both"/>
        <w:rPr/>
      </w:pPr>
      <w:r>
        <w:rPr/>
      </w:r>
    </w:p>
    <w:p>
      <w:pPr>
        <w:pStyle w:val="Normal"/>
        <w:ind w:firstLine="225"/>
        <w:jc w:val="both"/>
        <w:rPr/>
      </w:pPr>
      <w:r>
        <w:rPr/>
      </w:r>
    </w:p>
    <w:p>
      <w:pPr>
        <w:pStyle w:val="Normal"/>
        <w:ind w:firstLine="225"/>
        <w:jc w:val="both"/>
        <w:rPr/>
      </w:pPr>
      <w:r>
        <w:rPr/>
        <w:t>Примечание. При наличии талых водопроницаемых подрусловых пород с хорошими фильтрационными свойствами устройство водозабора поверхностных вод взамен водозабора подрусловых вод необходимо обосновать.</w:t>
      </w:r>
    </w:p>
    <w:p>
      <w:pPr>
        <w:pStyle w:val="Normal"/>
        <w:ind w:firstLine="225"/>
        <w:jc w:val="both"/>
        <w:rPr/>
      </w:pPr>
      <w:r>
        <w:rPr/>
      </w:r>
    </w:p>
    <w:p>
      <w:pPr>
        <w:pStyle w:val="Normal"/>
        <w:ind w:firstLine="225"/>
        <w:jc w:val="both"/>
        <w:rPr/>
      </w:pPr>
      <w:r>
        <w:rPr/>
      </w:r>
    </w:p>
    <w:p>
      <w:pPr>
        <w:pStyle w:val="Normal"/>
        <w:ind w:firstLine="225"/>
        <w:jc w:val="both"/>
        <w:rPr/>
      </w:pPr>
      <w:r>
        <w:rPr/>
        <w:t>15.57. Водозаборные сооружения из поверхностных источников надлежит располагать на естественно талых или вечномерзлых грунтах, при оттаивании которых деформации грунтов оснований не будут превышать допускаемых величин.</w:t>
      </w:r>
    </w:p>
    <w:p>
      <w:pPr>
        <w:pStyle w:val="Normal"/>
        <w:ind w:firstLine="225"/>
        <w:jc w:val="both"/>
        <w:rPr/>
      </w:pPr>
      <w:r>
        <w:rPr/>
      </w:r>
    </w:p>
    <w:p>
      <w:pPr>
        <w:pStyle w:val="Normal"/>
        <w:ind w:firstLine="225"/>
        <w:jc w:val="both"/>
        <w:rPr/>
      </w:pPr>
      <w:r>
        <w:rPr/>
        <w:t>15.58. На водотоках, промерзающих до дна, следует принимать водозаборы из подрусловых вод.</w:t>
      </w:r>
    </w:p>
    <w:p>
      <w:pPr>
        <w:pStyle w:val="Normal"/>
        <w:ind w:firstLine="225"/>
        <w:jc w:val="both"/>
        <w:rPr/>
      </w:pPr>
      <w:r>
        <w:rPr/>
      </w:r>
    </w:p>
    <w:p>
      <w:pPr>
        <w:pStyle w:val="Normal"/>
        <w:ind w:firstLine="225"/>
        <w:jc w:val="both"/>
        <w:rPr/>
      </w:pPr>
      <w:r>
        <w:rPr/>
        <w:t>15.59. Схема водоснабжения должна обеспечивать непрерывное движение воды на всех участках водоводов и сети.</w:t>
      </w:r>
    </w:p>
    <w:p>
      <w:pPr>
        <w:pStyle w:val="Normal"/>
        <w:ind w:firstLine="225"/>
        <w:jc w:val="both"/>
        <w:rPr/>
      </w:pPr>
      <w:r>
        <w:rPr/>
      </w:r>
    </w:p>
    <w:p>
      <w:pPr>
        <w:pStyle w:val="Normal"/>
        <w:ind w:firstLine="225"/>
        <w:jc w:val="both"/>
        <w:rPr/>
      </w:pPr>
      <w:r>
        <w:rPr/>
        <w:t>15.60. В насосных станциях должна предусматриваться возможность подачи воды в обратном направлении -  во всасывающие трубопроводы, при этом количество всасывающих линий должно быть не менее двух.</w:t>
      </w:r>
    </w:p>
    <w:p>
      <w:pPr>
        <w:pStyle w:val="Normal"/>
        <w:ind w:firstLine="225"/>
        <w:jc w:val="both"/>
        <w:rPr/>
      </w:pPr>
      <w:r>
        <w:rPr/>
      </w:r>
    </w:p>
    <w:p>
      <w:pPr>
        <w:pStyle w:val="Normal"/>
        <w:ind w:firstLine="225"/>
        <w:jc w:val="both"/>
        <w:rPr/>
      </w:pPr>
      <w:r>
        <w:rPr/>
        <w:t>15.61. В насосных станциях независимо от их категории надлежит устанавливать не менее трех насосных агрегатов.</w:t>
      </w:r>
    </w:p>
    <w:p>
      <w:pPr>
        <w:pStyle w:val="Normal"/>
        <w:ind w:firstLine="225"/>
        <w:jc w:val="both"/>
        <w:rPr/>
      </w:pPr>
      <w:r>
        <w:rPr/>
      </w:r>
    </w:p>
    <w:p>
      <w:pPr>
        <w:pStyle w:val="Normal"/>
        <w:ind w:firstLine="225"/>
        <w:jc w:val="both"/>
        <w:rPr/>
      </w:pPr>
      <w:r>
        <w:rPr/>
        <w:t>15.62. В резервуарах подводящих и отводящих трубопроводов должно предусматриваться постоянное движение воды.</w:t>
      </w:r>
    </w:p>
    <w:p>
      <w:pPr>
        <w:pStyle w:val="Normal"/>
        <w:ind w:firstLine="225"/>
        <w:jc w:val="both"/>
        <w:rPr/>
      </w:pPr>
      <w:r>
        <w:rPr/>
      </w:r>
    </w:p>
    <w:p>
      <w:pPr>
        <w:pStyle w:val="Normal"/>
        <w:ind w:firstLine="225"/>
        <w:jc w:val="both"/>
        <w:rPr/>
      </w:pPr>
      <w:r>
        <w:rPr/>
        <w:t>Резервуары вместимостью до 100 куб.м допускается размещать в отапливаемых помещениях с устройством вентилируемого подполья.</w:t>
      </w:r>
    </w:p>
    <w:p>
      <w:pPr>
        <w:pStyle w:val="Normal"/>
        <w:ind w:firstLine="225"/>
        <w:jc w:val="both"/>
        <w:rPr/>
      </w:pPr>
      <w:r>
        <w:rPr/>
      </w:r>
    </w:p>
    <w:p>
      <w:pPr>
        <w:pStyle w:val="Normal"/>
        <w:ind w:firstLine="225"/>
        <w:jc w:val="both"/>
        <w:rPr/>
      </w:pPr>
      <w:r>
        <w:rPr/>
      </w:r>
    </w:p>
    <w:p>
      <w:pPr>
        <w:pStyle w:val="Heading"/>
        <w:jc w:val="center"/>
        <w:rPr/>
      </w:pPr>
      <w:r>
        <w:rPr/>
        <w:t xml:space="preserve">Водоводы и сети </w:t>
      </w:r>
    </w:p>
    <w:p>
      <w:pPr>
        <w:pStyle w:val="Normal"/>
        <w:ind w:firstLine="270"/>
        <w:jc w:val="both"/>
        <w:rPr/>
      </w:pPr>
      <w:r>
        <w:rPr/>
      </w:r>
    </w:p>
    <w:p>
      <w:pPr>
        <w:pStyle w:val="Normal"/>
        <w:ind w:firstLine="270"/>
        <w:jc w:val="both"/>
        <w:rPr/>
      </w:pPr>
      <w:r>
        <w:rPr/>
      </w:r>
    </w:p>
    <w:p>
      <w:pPr>
        <w:pStyle w:val="Normal"/>
        <w:ind w:firstLine="225"/>
        <w:jc w:val="both"/>
        <w:rPr/>
      </w:pPr>
      <w:r>
        <w:rPr/>
        <w:t>15.63. При проектировании водоводов и сетей надлежит предусматривать:</w:t>
      </w:r>
    </w:p>
    <w:p>
      <w:pPr>
        <w:pStyle w:val="Normal"/>
        <w:ind w:firstLine="225"/>
        <w:jc w:val="both"/>
        <w:rPr/>
      </w:pPr>
      <w:r>
        <w:rPr/>
      </w:r>
    </w:p>
    <w:p>
      <w:pPr>
        <w:pStyle w:val="Normal"/>
        <w:ind w:firstLine="225"/>
        <w:jc w:val="both"/>
        <w:rPr/>
      </w:pPr>
      <w:r>
        <w:rPr/>
        <w:t>предохранение транспортируемой воды от замерзания;</w:t>
      </w:r>
    </w:p>
    <w:p>
      <w:pPr>
        <w:pStyle w:val="Normal"/>
        <w:ind w:firstLine="225"/>
        <w:jc w:val="both"/>
        <w:rPr/>
      </w:pPr>
      <w:r>
        <w:rPr/>
      </w:r>
    </w:p>
    <w:p>
      <w:pPr>
        <w:pStyle w:val="Normal"/>
        <w:ind w:firstLine="225"/>
        <w:jc w:val="both"/>
        <w:rPr/>
      </w:pPr>
      <w:r>
        <w:rPr/>
        <w:t>обеспечение устойчивости трубопроводов на вечномерзлых грунтах с учетом механического воздействия оттаивающих и промерзающих грунтов на трубопроводы и сооружения на них;</w:t>
      </w:r>
    </w:p>
    <w:p>
      <w:pPr>
        <w:pStyle w:val="Normal"/>
        <w:ind w:firstLine="225"/>
        <w:jc w:val="both"/>
        <w:rPr/>
      </w:pPr>
      <w:r>
        <w:rPr/>
      </w:r>
    </w:p>
    <w:p>
      <w:pPr>
        <w:pStyle w:val="Normal"/>
        <w:ind w:firstLine="225"/>
        <w:jc w:val="both"/>
        <w:rPr/>
      </w:pPr>
      <w:r>
        <w:rPr/>
        <w:t>защиту вечномерзлых грунтов оснований от воздействия на них воды при авариях на трубопроводах;</w:t>
      </w:r>
    </w:p>
    <w:p>
      <w:pPr>
        <w:pStyle w:val="Normal"/>
        <w:ind w:firstLine="225"/>
        <w:jc w:val="both"/>
        <w:rPr/>
      </w:pPr>
      <w:r>
        <w:rPr/>
      </w:r>
    </w:p>
    <w:p>
      <w:pPr>
        <w:pStyle w:val="Normal"/>
        <w:ind w:firstLine="225"/>
        <w:jc w:val="both"/>
        <w:rPr/>
      </w:pPr>
      <w:r>
        <w:rPr/>
        <w:t>организацию контроля за тепловым режимом водоводов и сетей и тепловым воздействием их на основания трубопроводов и близрасположенных зданий и сооружений.</w:t>
      </w:r>
    </w:p>
    <w:p>
      <w:pPr>
        <w:pStyle w:val="Normal"/>
        <w:ind w:firstLine="225"/>
        <w:jc w:val="both"/>
        <w:rPr/>
      </w:pPr>
      <w:r>
        <w:rPr/>
      </w:r>
    </w:p>
    <w:p>
      <w:pPr>
        <w:pStyle w:val="Normal"/>
        <w:ind w:firstLine="225"/>
        <w:jc w:val="both"/>
        <w:rPr/>
      </w:pPr>
      <w:r>
        <w:rPr/>
        <w:t>15.64. При размещении сетей водопровода на генеральном плане следует предусматривать:</w:t>
      </w:r>
    </w:p>
    <w:p>
      <w:pPr>
        <w:pStyle w:val="Normal"/>
        <w:ind w:firstLine="225"/>
        <w:jc w:val="both"/>
        <w:rPr/>
      </w:pPr>
      <w:r>
        <w:rPr/>
      </w:r>
    </w:p>
    <w:p>
      <w:pPr>
        <w:pStyle w:val="Normal"/>
        <w:ind w:firstLine="225"/>
        <w:jc w:val="both"/>
        <w:rPr/>
      </w:pPr>
      <w:r>
        <w:rPr/>
        <w:t>максимальное совмещение с сетями теплоснабжения;</w:t>
      </w:r>
    </w:p>
    <w:p>
      <w:pPr>
        <w:pStyle w:val="Normal"/>
        <w:ind w:firstLine="225"/>
        <w:jc w:val="both"/>
        <w:rPr/>
      </w:pPr>
      <w:r>
        <w:rPr/>
      </w:r>
    </w:p>
    <w:p>
      <w:pPr>
        <w:pStyle w:val="Normal"/>
        <w:ind w:firstLine="225"/>
        <w:jc w:val="both"/>
        <w:rPr/>
      </w:pPr>
      <w:r>
        <w:rPr/>
        <w:t xml:space="preserve">минимальную протяженность сетей; </w:t>
      </w:r>
    </w:p>
    <w:p>
      <w:pPr>
        <w:pStyle w:val="Normal"/>
        <w:ind w:firstLine="225"/>
        <w:jc w:val="both"/>
        <w:rPr/>
      </w:pPr>
      <w:r>
        <w:rPr/>
      </w:r>
    </w:p>
    <w:p>
      <w:pPr>
        <w:pStyle w:val="Normal"/>
        <w:ind w:firstLine="225"/>
        <w:jc w:val="both"/>
        <w:rPr/>
      </w:pPr>
      <w:r>
        <w:rPr/>
        <w:t>использование блокировки зданий, позволяющей прокладывать сети на подвесках в вентилируемых подпольях;</w:t>
      </w:r>
    </w:p>
    <w:p>
      <w:pPr>
        <w:pStyle w:val="Normal"/>
        <w:ind w:firstLine="225"/>
        <w:jc w:val="both"/>
        <w:rPr/>
      </w:pPr>
      <w:r>
        <w:rPr/>
      </w:r>
    </w:p>
    <w:p>
      <w:pPr>
        <w:pStyle w:val="Normal"/>
        <w:ind w:firstLine="225"/>
        <w:jc w:val="both"/>
        <w:rPr/>
      </w:pPr>
      <w:r>
        <w:rPr/>
        <w:t>сокращение числа подключений к сети водопровода за счет присоединения нескольких зданий к одному вводу водопровода.</w:t>
      </w:r>
    </w:p>
    <w:p>
      <w:pPr>
        <w:pStyle w:val="Normal"/>
        <w:ind w:firstLine="225"/>
        <w:jc w:val="both"/>
        <w:rPr/>
      </w:pPr>
      <w:r>
        <w:rPr/>
      </w:r>
    </w:p>
    <w:p>
      <w:pPr>
        <w:pStyle w:val="Normal"/>
        <w:ind w:firstLine="225"/>
        <w:jc w:val="both"/>
        <w:rPr/>
      </w:pPr>
      <w:r>
        <w:rPr/>
        <w:t>15.65. Надземная прокладка, исключающая тепловое воздействие трубопроводов на грунт основания, должна предусматриваться на лежневых, городковых, подвесных, свайных опорах, на мачтах, эстакадах и по конструкциям зданий и сооружений в вентилируемых подпольях зданий.</w:t>
      </w:r>
    </w:p>
    <w:p>
      <w:pPr>
        <w:pStyle w:val="Normal"/>
        <w:ind w:firstLine="225"/>
        <w:jc w:val="both"/>
        <w:rPr/>
      </w:pPr>
      <w:r>
        <w:rPr/>
      </w:r>
    </w:p>
    <w:p>
      <w:pPr>
        <w:pStyle w:val="Normal"/>
        <w:ind w:firstLine="225"/>
        <w:jc w:val="both"/>
        <w:rPr/>
      </w:pPr>
      <w:r>
        <w:rPr/>
        <w:t>В сложных грунтовых условиях и при сейсмической активности вне населенных пунктов следует предусматривать подвесную зигзагообразную прокладку трубопроводов.</w:t>
      </w:r>
    </w:p>
    <w:p>
      <w:pPr>
        <w:pStyle w:val="Normal"/>
        <w:ind w:firstLine="225"/>
        <w:jc w:val="both"/>
        <w:rPr/>
      </w:pPr>
      <w:r>
        <w:rPr/>
      </w:r>
    </w:p>
    <w:p>
      <w:pPr>
        <w:pStyle w:val="Normal"/>
        <w:ind w:firstLine="225"/>
        <w:jc w:val="both"/>
        <w:rPr/>
      </w:pPr>
      <w:r>
        <w:rPr/>
        <w:t>15.66. При надземной прокладке трубопроводов надлежит принимать кольцевую тепловую изоляцию из нестареющего теплоизоляционного материала с гидроизоляцией и защитой от механических повреждений. Водоводы и сети, прокладываемые надземно, при любых способах компенсации температурных деформаций трубопроводов надлежит прокладывать ближе к поверхности земли в слое снежного покрова.</w:t>
      </w:r>
    </w:p>
    <w:p>
      <w:pPr>
        <w:pStyle w:val="Normal"/>
        <w:ind w:firstLine="225"/>
        <w:jc w:val="both"/>
        <w:rPr/>
      </w:pPr>
      <w:r>
        <w:rPr/>
      </w:r>
    </w:p>
    <w:p>
      <w:pPr>
        <w:pStyle w:val="Normal"/>
        <w:ind w:firstLine="225"/>
        <w:jc w:val="both"/>
        <w:rPr/>
      </w:pPr>
      <w:r>
        <w:rPr/>
        <w:t>При расчете тепловых потерь трубопроводов термическое сопротивление снега учитывать не следует.</w:t>
      </w:r>
    </w:p>
    <w:p>
      <w:pPr>
        <w:pStyle w:val="Normal"/>
        <w:ind w:firstLine="225"/>
        <w:jc w:val="both"/>
        <w:rPr/>
      </w:pPr>
      <w:r>
        <w:rPr/>
      </w:r>
    </w:p>
    <w:p>
      <w:pPr>
        <w:pStyle w:val="Normal"/>
        <w:ind w:firstLine="225"/>
        <w:jc w:val="both"/>
        <w:rPr/>
      </w:pPr>
      <w:r>
        <w:rPr/>
        <w:t>15.67. Подземная бесканальная прокладка трубопроводов должна приниматься на основе теплотехнических расчетов, при этом в летнее время зона протаивания грунта вокруг трубы не должна влиять на устойчивость оснований трубопроводов и близрасположенных зданий и сооружений, а в зимнее время - должна предохранять транспортируемую жидкость от замерзания.</w:t>
      </w:r>
    </w:p>
    <w:p>
      <w:pPr>
        <w:pStyle w:val="Normal"/>
        <w:ind w:firstLine="225"/>
        <w:jc w:val="both"/>
        <w:rPr/>
      </w:pPr>
      <w:r>
        <w:rPr/>
      </w:r>
    </w:p>
    <w:p>
      <w:pPr>
        <w:pStyle w:val="Normal"/>
        <w:ind w:firstLine="225"/>
        <w:jc w:val="both"/>
        <w:rPr/>
      </w:pPr>
      <w:r>
        <w:rPr/>
        <w:t>При защите водопроводных труб от замерзания автоматическими выпусками воды или греющим электрическим кабелем допускается прокладка их в слое сезонного промерзания грунта.</w:t>
      </w:r>
    </w:p>
    <w:p>
      <w:pPr>
        <w:pStyle w:val="Normal"/>
        <w:ind w:firstLine="225"/>
        <w:jc w:val="both"/>
        <w:rPr/>
      </w:pPr>
      <w:r>
        <w:rPr/>
      </w:r>
    </w:p>
    <w:p>
      <w:pPr>
        <w:pStyle w:val="Normal"/>
        <w:ind w:firstLine="225"/>
        <w:jc w:val="both"/>
        <w:rPr/>
      </w:pPr>
      <w:r>
        <w:rPr/>
        <w:t>15.68. Расстояния от подземных трубопроводов до фундаментов и сооружений следует принимать по теплотехническому расчету, но не менее 6 м при бесканальной прокладке трубопроводов.</w:t>
      </w:r>
    </w:p>
    <w:p>
      <w:pPr>
        <w:pStyle w:val="Normal"/>
        <w:ind w:firstLine="225"/>
        <w:jc w:val="both"/>
        <w:rPr/>
      </w:pPr>
      <w:r>
        <w:rPr/>
      </w:r>
    </w:p>
    <w:p>
      <w:pPr>
        <w:pStyle w:val="Normal"/>
        <w:ind w:firstLine="225"/>
        <w:jc w:val="both"/>
        <w:rPr/>
      </w:pPr>
      <w:r>
        <w:rPr/>
        <w:t>15.69. Каналы допускается предусматривать на коротких участках сети.</w:t>
      </w:r>
    </w:p>
    <w:p>
      <w:pPr>
        <w:pStyle w:val="Normal"/>
        <w:ind w:firstLine="225"/>
        <w:jc w:val="both"/>
        <w:rPr/>
      </w:pPr>
      <w:r>
        <w:rPr/>
      </w:r>
    </w:p>
    <w:p>
      <w:pPr>
        <w:pStyle w:val="Normal"/>
        <w:ind w:firstLine="225"/>
        <w:jc w:val="both"/>
        <w:rPr/>
      </w:pPr>
      <w:r>
        <w:rPr/>
        <w:t>15.70. Тоннели надлежит принимать при совмещенной прокладке водопровода с другими инженерными коммуникациями.</w:t>
      </w:r>
    </w:p>
    <w:p>
      <w:pPr>
        <w:pStyle w:val="Normal"/>
        <w:ind w:firstLine="225"/>
        <w:jc w:val="both"/>
        <w:rPr/>
      </w:pPr>
      <w:r>
        <w:rPr/>
      </w:r>
    </w:p>
    <w:p>
      <w:pPr>
        <w:pStyle w:val="Normal"/>
        <w:ind w:firstLine="225"/>
        <w:jc w:val="both"/>
        <w:rPr/>
      </w:pPr>
      <w:r>
        <w:rPr/>
        <w:t>15.71. Вводы трубопроводов в здания, сооружаемые по принципу сохранения мерзлоты в основании фундаментов, надлежит предусматривать надземные, в вентилируемых каналах или подвесными к цокольному перекрытию в подпольях зданий.</w:t>
      </w:r>
    </w:p>
    <w:p>
      <w:pPr>
        <w:pStyle w:val="Normal"/>
        <w:ind w:firstLine="225"/>
        <w:jc w:val="both"/>
        <w:rPr/>
      </w:pPr>
      <w:r>
        <w:rPr/>
      </w:r>
    </w:p>
    <w:p>
      <w:pPr>
        <w:pStyle w:val="Normal"/>
        <w:ind w:firstLine="225"/>
        <w:jc w:val="both"/>
        <w:rPr/>
      </w:pPr>
      <w:r>
        <w:rPr/>
        <w:t>Каналы и укладываемые в них трубопроводы должны иметь уклон от зданий.</w:t>
      </w:r>
    </w:p>
    <w:p>
      <w:pPr>
        <w:pStyle w:val="Normal"/>
        <w:ind w:firstLine="225"/>
        <w:jc w:val="both"/>
        <w:rPr/>
      </w:pPr>
      <w:r>
        <w:rPr/>
      </w:r>
    </w:p>
    <w:p>
      <w:pPr>
        <w:pStyle w:val="Normal"/>
        <w:ind w:firstLine="225"/>
        <w:jc w:val="both"/>
        <w:rPr/>
      </w:pPr>
      <w:r>
        <w:rPr/>
        <w:t>15.72. Переходы трубопроводов через улицы или дороги в каналах или стальных футлярах надлежит ограничивать колодцами с размещением в них вентиляционных шахт и водосборных приямков и прокладывать только по непросадочным (на расчетную глубину протаивания) грунтам оснований.</w:t>
      </w:r>
    </w:p>
    <w:p>
      <w:pPr>
        <w:pStyle w:val="Normal"/>
        <w:ind w:firstLine="225"/>
        <w:jc w:val="both"/>
        <w:rPr/>
      </w:pPr>
      <w:r>
        <w:rPr/>
      </w:r>
    </w:p>
    <w:p>
      <w:pPr>
        <w:pStyle w:val="Normal"/>
        <w:ind w:firstLine="225"/>
        <w:jc w:val="both"/>
        <w:rPr/>
      </w:pPr>
      <w:r>
        <w:rPr/>
        <w:t xml:space="preserve">15.73. При проектировании трубопроводов для предохранения транспортируемой воды от замерзания предусматриваются: </w:t>
      </w:r>
    </w:p>
    <w:p>
      <w:pPr>
        <w:pStyle w:val="Normal"/>
        <w:ind w:firstLine="225"/>
        <w:jc w:val="both"/>
        <w:rPr/>
      </w:pPr>
      <w:r>
        <w:rPr/>
      </w:r>
    </w:p>
    <w:p>
      <w:pPr>
        <w:pStyle w:val="Normal"/>
        <w:ind w:firstLine="225"/>
        <w:jc w:val="both"/>
        <w:rPr/>
      </w:pPr>
      <w:r>
        <w:rPr/>
        <w:t xml:space="preserve">тепловая изоляция трубопроводов; </w:t>
      </w:r>
    </w:p>
    <w:p>
      <w:pPr>
        <w:pStyle w:val="Normal"/>
        <w:ind w:firstLine="225"/>
        <w:jc w:val="both"/>
        <w:rPr/>
      </w:pPr>
      <w:r>
        <w:rPr/>
      </w:r>
    </w:p>
    <w:p>
      <w:pPr>
        <w:pStyle w:val="Normal"/>
        <w:ind w:firstLine="225"/>
        <w:jc w:val="both"/>
        <w:rPr/>
      </w:pPr>
      <w:r>
        <w:rPr/>
        <w:t xml:space="preserve">подогрев воды; </w:t>
      </w:r>
    </w:p>
    <w:p>
      <w:pPr>
        <w:pStyle w:val="Normal"/>
        <w:ind w:firstLine="225"/>
        <w:jc w:val="both"/>
        <w:rPr/>
      </w:pPr>
      <w:r>
        <w:rPr/>
      </w:r>
    </w:p>
    <w:p>
      <w:pPr>
        <w:pStyle w:val="Normal"/>
        <w:ind w:firstLine="225"/>
        <w:jc w:val="both"/>
        <w:rPr/>
      </w:pPr>
      <w:r>
        <w:rPr/>
        <w:t xml:space="preserve">подогрев трубопроводов; </w:t>
      </w:r>
    </w:p>
    <w:p>
      <w:pPr>
        <w:pStyle w:val="Normal"/>
        <w:ind w:firstLine="225"/>
        <w:jc w:val="both"/>
        <w:rPr/>
      </w:pPr>
      <w:r>
        <w:rPr/>
      </w:r>
    </w:p>
    <w:p>
      <w:pPr>
        <w:pStyle w:val="Normal"/>
        <w:ind w:firstLine="225"/>
        <w:jc w:val="both"/>
        <w:rPr/>
      </w:pPr>
      <w:r>
        <w:rPr/>
        <w:t>непрерывное движение воды в трубопроводах;</w:t>
      </w:r>
    </w:p>
    <w:p>
      <w:pPr>
        <w:pStyle w:val="Normal"/>
        <w:ind w:firstLine="225"/>
        <w:jc w:val="both"/>
        <w:rPr/>
      </w:pPr>
      <w:r>
        <w:rPr/>
      </w:r>
    </w:p>
    <w:p>
      <w:pPr>
        <w:pStyle w:val="Normal"/>
        <w:ind w:firstLine="225"/>
        <w:jc w:val="both"/>
        <w:rPr/>
      </w:pPr>
      <w:r>
        <w:rPr/>
        <w:t>повышение гидродинамического трения в трубопроводах;</w:t>
      </w:r>
    </w:p>
    <w:p>
      <w:pPr>
        <w:pStyle w:val="Normal"/>
        <w:ind w:firstLine="225"/>
        <w:jc w:val="both"/>
        <w:rPr/>
      </w:pPr>
      <w:r>
        <w:rPr/>
      </w:r>
    </w:p>
    <w:p>
      <w:pPr>
        <w:pStyle w:val="Normal"/>
        <w:ind w:firstLine="225"/>
        <w:jc w:val="both"/>
        <w:rPr/>
      </w:pPr>
      <w:r>
        <w:rPr/>
        <w:t xml:space="preserve">применение стальной арматуры в исполнении, устойчивом против замерзания; </w:t>
      </w:r>
    </w:p>
    <w:p>
      <w:pPr>
        <w:pStyle w:val="Normal"/>
        <w:ind w:firstLine="225"/>
        <w:jc w:val="both"/>
        <w:rPr/>
      </w:pPr>
      <w:r>
        <w:rPr/>
      </w:r>
    </w:p>
    <w:p>
      <w:pPr>
        <w:pStyle w:val="Normal"/>
        <w:ind w:firstLine="225"/>
        <w:jc w:val="both"/>
        <w:rPr/>
      </w:pPr>
      <w:r>
        <w:rPr/>
        <w:t xml:space="preserve">установка автоматических выпусков воды. </w:t>
      </w:r>
    </w:p>
    <w:p>
      <w:pPr>
        <w:pStyle w:val="Normal"/>
        <w:ind w:firstLine="225"/>
        <w:jc w:val="both"/>
        <w:rPr/>
      </w:pPr>
      <w:r>
        <w:rPr/>
      </w:r>
    </w:p>
    <w:p>
      <w:pPr>
        <w:pStyle w:val="Normal"/>
        <w:ind w:firstLine="225"/>
        <w:jc w:val="both"/>
        <w:rPr/>
      </w:pPr>
      <w:r>
        <w:rPr/>
        <w:t>15.74. Минимальная температура воды в водоводах и сетях должна определяться теплотехническими расчетами, при этом допускается принимать колебание температуры в интервале от нескольких долей градуса до нескольких градусов (3-5 град.С).</w:t>
      </w:r>
    </w:p>
    <w:p>
      <w:pPr>
        <w:pStyle w:val="Normal"/>
        <w:ind w:firstLine="225"/>
        <w:jc w:val="both"/>
        <w:rPr/>
      </w:pPr>
      <w:r>
        <w:rPr/>
      </w:r>
    </w:p>
    <w:p>
      <w:pPr>
        <w:pStyle w:val="Normal"/>
        <w:ind w:firstLine="225"/>
        <w:jc w:val="both"/>
        <w:rPr/>
      </w:pPr>
      <w:r>
        <w:rPr/>
        <w:t xml:space="preserve">При отсутствии теплотехнических расчетов температуру воды в концевых участках сети и водоводов допускается принимать для труб диаметром: </w:t>
      </w:r>
    </w:p>
    <w:p>
      <w:pPr>
        <w:pStyle w:val="Normal"/>
        <w:ind w:firstLine="225"/>
        <w:jc w:val="both"/>
        <w:rPr/>
      </w:pPr>
      <w:r>
        <w:rPr/>
      </w:r>
    </w:p>
    <w:p>
      <w:pPr>
        <w:pStyle w:val="Normal"/>
        <w:ind w:firstLine="225"/>
        <w:jc w:val="both"/>
        <w:rPr/>
      </w:pPr>
      <w:r>
        <w:rPr/>
        <w:t xml:space="preserve">до 300 мм  - не менее 5 град.С; </w:t>
      </w:r>
    </w:p>
    <w:p>
      <w:pPr>
        <w:pStyle w:val="Normal"/>
        <w:ind w:firstLine="225"/>
        <w:jc w:val="both"/>
        <w:rPr/>
      </w:pPr>
      <w:r>
        <w:rPr/>
      </w:r>
    </w:p>
    <w:p>
      <w:pPr>
        <w:pStyle w:val="Normal"/>
        <w:ind w:firstLine="225"/>
        <w:jc w:val="both"/>
        <w:rPr/>
      </w:pPr>
      <w:r>
        <w:rPr/>
        <w:t xml:space="preserve">свыше 300 мм - не менее 3 град.С. </w:t>
      </w:r>
    </w:p>
    <w:p>
      <w:pPr>
        <w:pStyle w:val="Normal"/>
        <w:ind w:firstLine="225"/>
        <w:jc w:val="both"/>
        <w:rPr/>
      </w:pPr>
      <w:r>
        <w:rPr/>
      </w:r>
    </w:p>
    <w:p>
      <w:pPr>
        <w:pStyle w:val="Normal"/>
        <w:ind w:firstLine="225"/>
        <w:jc w:val="both"/>
        <w:rPr/>
      </w:pPr>
      <w:r>
        <w:rPr/>
        <w:t>15.75. Для снижения затрат на подогрев воды следует использовать:</w:t>
      </w:r>
    </w:p>
    <w:p>
      <w:pPr>
        <w:pStyle w:val="Normal"/>
        <w:ind w:firstLine="225"/>
        <w:jc w:val="both"/>
        <w:rPr/>
      </w:pPr>
      <w:r>
        <w:rPr/>
      </w:r>
    </w:p>
    <w:p>
      <w:pPr>
        <w:pStyle w:val="Normal"/>
        <w:ind w:firstLine="225"/>
        <w:jc w:val="both"/>
        <w:rPr/>
      </w:pPr>
      <w:r>
        <w:rPr/>
        <w:t>тепловые вторичные энергетические ресурсы;</w:t>
      </w:r>
    </w:p>
    <w:p>
      <w:pPr>
        <w:pStyle w:val="Normal"/>
        <w:ind w:firstLine="225"/>
        <w:jc w:val="both"/>
        <w:rPr/>
      </w:pPr>
      <w:r>
        <w:rPr/>
      </w:r>
    </w:p>
    <w:p>
      <w:pPr>
        <w:pStyle w:val="Normal"/>
        <w:ind w:firstLine="225"/>
        <w:jc w:val="both"/>
        <w:rPr/>
      </w:pPr>
      <w:r>
        <w:rPr/>
        <w:t>теплоту гидродинамического трения за счет повышения скорости движения воды в трубопроводах,     оптимальное значение которых надлежит определять расчетом.</w:t>
      </w:r>
    </w:p>
    <w:p>
      <w:pPr>
        <w:pStyle w:val="Normal"/>
        <w:ind w:firstLine="225"/>
        <w:jc w:val="both"/>
        <w:rPr/>
      </w:pPr>
      <w:r>
        <w:rPr/>
      </w:r>
    </w:p>
    <w:p>
      <w:pPr>
        <w:pStyle w:val="Normal"/>
        <w:ind w:firstLine="225"/>
        <w:jc w:val="both"/>
        <w:rPr/>
      </w:pPr>
      <w:r>
        <w:rPr/>
        <w:t>15.76. Подогрев трубопроводов надлежит предусматривать с помощью теплового сопровождения или греющего электрокабеля. Греющий кабель при подземной бесканальной прокладке следует располагать над трубопроводом.</w:t>
      </w:r>
    </w:p>
    <w:p>
      <w:pPr>
        <w:pStyle w:val="Normal"/>
        <w:ind w:firstLine="225"/>
        <w:jc w:val="both"/>
        <w:rPr/>
      </w:pPr>
      <w:r>
        <w:rPr/>
      </w:r>
    </w:p>
    <w:p>
      <w:pPr>
        <w:pStyle w:val="Normal"/>
        <w:ind w:firstLine="225"/>
        <w:jc w:val="both"/>
        <w:rPr/>
      </w:pPr>
      <w:r>
        <w:rPr/>
        <w:t>15.77. Непрерывное движение воды в трубопроводах должно обеспечиваться:</w:t>
      </w:r>
    </w:p>
    <w:p>
      <w:pPr>
        <w:pStyle w:val="Normal"/>
        <w:ind w:firstLine="225"/>
        <w:jc w:val="both"/>
        <w:rPr/>
      </w:pPr>
      <w:r>
        <w:rPr/>
      </w:r>
    </w:p>
    <w:p>
      <w:pPr>
        <w:pStyle w:val="Normal"/>
        <w:ind w:firstLine="225"/>
        <w:jc w:val="both"/>
        <w:rPr/>
      </w:pPr>
      <w:r>
        <w:rPr/>
        <w:t>подключением крупных потребителей воды к концевым участкам тупиковой сети;</w:t>
      </w:r>
    </w:p>
    <w:p>
      <w:pPr>
        <w:pStyle w:val="Normal"/>
        <w:ind w:firstLine="225"/>
        <w:jc w:val="both"/>
        <w:rPr/>
      </w:pPr>
      <w:r>
        <w:rPr/>
      </w:r>
    </w:p>
    <w:p>
      <w:pPr>
        <w:pStyle w:val="Normal"/>
        <w:ind w:firstLine="225"/>
        <w:jc w:val="both"/>
        <w:rPr/>
      </w:pPr>
      <w:r>
        <w:rPr/>
        <w:t>применением минимального числа колец сети, вытянутых по направлению основного потока воды к крупному потребителю;</w:t>
      </w:r>
    </w:p>
    <w:p>
      <w:pPr>
        <w:pStyle w:val="Normal"/>
        <w:ind w:firstLine="225"/>
        <w:jc w:val="both"/>
        <w:rPr/>
      </w:pPr>
      <w:r>
        <w:rPr/>
      </w:r>
    </w:p>
    <w:p>
      <w:pPr>
        <w:pStyle w:val="Normal"/>
        <w:ind w:firstLine="225"/>
        <w:jc w:val="both"/>
        <w:rPr/>
      </w:pPr>
      <w:r>
        <w:rPr/>
        <w:t>принятием схемы водопроводных кольцевых сетей, замкнутых на циркуляционных насосных станциях, совмещенных в необходимых случаях с пунктами подогрева воды;</w:t>
      </w:r>
    </w:p>
    <w:p>
      <w:pPr>
        <w:pStyle w:val="Normal"/>
        <w:ind w:firstLine="225"/>
        <w:jc w:val="both"/>
        <w:rPr/>
      </w:pPr>
      <w:r>
        <w:rPr/>
      </w:r>
    </w:p>
    <w:p>
      <w:pPr>
        <w:pStyle w:val="Normal"/>
        <w:ind w:firstLine="225"/>
        <w:jc w:val="both"/>
        <w:rPr/>
      </w:pPr>
      <w:r>
        <w:rPr/>
        <w:t>сбросом воды на концевом участке тупиковой сети;</w:t>
      </w:r>
    </w:p>
    <w:p>
      <w:pPr>
        <w:pStyle w:val="Normal"/>
        <w:ind w:firstLine="225"/>
        <w:jc w:val="both"/>
        <w:rPr/>
      </w:pPr>
      <w:r>
        <w:rPr/>
      </w:r>
    </w:p>
    <w:p>
      <w:pPr>
        <w:pStyle w:val="Normal"/>
        <w:ind w:firstLine="225"/>
        <w:jc w:val="both"/>
        <w:rPr/>
      </w:pPr>
      <w:r>
        <w:rPr/>
        <w:t>бесперебойным электроснабжением насосной станции от двух независимых источников, установкой на площадке насосной станции резервной электростанции на жидком топливе или установкой дополнительного агрегата с двигателем внутреннего сгорания (при наличии одного источника электроснабжения);</w:t>
      </w:r>
    </w:p>
    <w:p>
      <w:pPr>
        <w:pStyle w:val="Normal"/>
        <w:ind w:firstLine="225"/>
        <w:jc w:val="both"/>
        <w:rPr/>
      </w:pPr>
      <w:r>
        <w:rPr/>
      </w:r>
    </w:p>
    <w:p>
      <w:pPr>
        <w:pStyle w:val="Normal"/>
        <w:ind w:firstLine="225"/>
        <w:jc w:val="both"/>
        <w:rPr/>
      </w:pPr>
      <w:r>
        <w:rPr/>
        <w:t>организацией непрерывного контроля за расходом воды в водоводах и сетях.</w:t>
      </w:r>
    </w:p>
    <w:p>
      <w:pPr>
        <w:pStyle w:val="Normal"/>
        <w:ind w:firstLine="225"/>
        <w:jc w:val="both"/>
        <w:rPr/>
      </w:pPr>
      <w:r>
        <w:rPr/>
      </w:r>
    </w:p>
    <w:p>
      <w:pPr>
        <w:pStyle w:val="Normal"/>
        <w:ind w:firstLine="225"/>
        <w:jc w:val="both"/>
        <w:rPr/>
      </w:pPr>
      <w:r>
        <w:rPr/>
        <w:t>15.78. Необходимо предусматривать автоматический контроль за температурой воды в начале и в конце водовода, на промежуточных станциях подогрева воды, в резервуарах и других сооружениях, а также на участках сети, наиболее опасных в отношении замерзания, при этом передача показаний должна предусматриваться на диспетчерский пункт.</w:t>
      </w:r>
    </w:p>
    <w:p>
      <w:pPr>
        <w:pStyle w:val="Normal"/>
        <w:ind w:firstLine="225"/>
        <w:jc w:val="both"/>
        <w:rPr/>
      </w:pPr>
      <w:r>
        <w:rPr/>
      </w:r>
    </w:p>
    <w:p>
      <w:pPr>
        <w:pStyle w:val="Normal"/>
        <w:ind w:firstLine="225"/>
        <w:jc w:val="both"/>
        <w:rPr/>
      </w:pPr>
      <w:r>
        <w:rPr/>
        <w:t>15.79. Для водоводов и сетей необходимо применять стальные и пластмассовые трубы; чугунные трубы допускается применять при прокладке в тоннелях.</w:t>
      </w:r>
    </w:p>
    <w:p>
      <w:pPr>
        <w:pStyle w:val="Normal"/>
        <w:ind w:firstLine="225"/>
        <w:jc w:val="both"/>
        <w:rPr/>
      </w:pPr>
      <w:r>
        <w:rPr/>
      </w:r>
    </w:p>
    <w:p>
      <w:pPr>
        <w:pStyle w:val="Normal"/>
        <w:ind w:firstLine="225"/>
        <w:jc w:val="both"/>
        <w:rPr/>
      </w:pPr>
      <w:r>
        <w:rPr/>
        <w:t>15.80. В местах пересечений трубопроводами строительных конструкций следует предусматривать эластичные уплотнения, допускающие перемещение труб.</w:t>
      </w:r>
    </w:p>
    <w:p>
      <w:pPr>
        <w:pStyle w:val="Normal"/>
        <w:ind w:firstLine="225"/>
        <w:jc w:val="both"/>
        <w:rPr/>
      </w:pPr>
      <w:r>
        <w:rPr/>
      </w:r>
    </w:p>
    <w:p>
      <w:pPr>
        <w:pStyle w:val="Normal"/>
        <w:ind w:firstLine="225"/>
        <w:jc w:val="both"/>
        <w:rPr/>
      </w:pPr>
      <w:r>
        <w:rPr/>
        <w:t>15.81. Водоводы и водопроводные сети надлежит укладывать с уклоном не менее 0,002 по направлению к выпуску.</w:t>
      </w:r>
    </w:p>
    <w:p>
      <w:pPr>
        <w:pStyle w:val="Normal"/>
        <w:ind w:firstLine="225"/>
        <w:jc w:val="both"/>
        <w:rPr/>
      </w:pPr>
      <w:r>
        <w:rPr/>
      </w:r>
    </w:p>
    <w:p>
      <w:pPr>
        <w:pStyle w:val="Normal"/>
        <w:ind w:firstLine="225"/>
        <w:jc w:val="both"/>
        <w:rPr/>
      </w:pPr>
      <w:r>
        <w:rPr/>
        <w:t>Длину ремонтных участков и диаметр выпусков следует принимать с учетом опорожнения участков за время, определяемое теплотехническим расчетом.</w:t>
      </w:r>
    </w:p>
    <w:p>
      <w:pPr>
        <w:pStyle w:val="Normal"/>
        <w:ind w:firstLine="225"/>
        <w:jc w:val="both"/>
        <w:rPr/>
      </w:pPr>
      <w:r>
        <w:rPr/>
      </w:r>
    </w:p>
    <w:p>
      <w:pPr>
        <w:pStyle w:val="Normal"/>
        <w:ind w:firstLine="225"/>
        <w:jc w:val="both"/>
        <w:rPr/>
      </w:pPr>
      <w:r>
        <w:rPr/>
        <w:t>15.82. Пожарные гидранты специальной конструкции для районов с вечномерзлыми грунтами надлежит располагать на магистральных участках сети.</w:t>
      </w:r>
    </w:p>
    <w:p>
      <w:pPr>
        <w:pStyle w:val="Normal"/>
        <w:ind w:firstLine="225"/>
        <w:jc w:val="both"/>
        <w:rPr/>
      </w:pPr>
      <w:r>
        <w:rPr/>
      </w:r>
    </w:p>
    <w:p>
      <w:pPr>
        <w:pStyle w:val="Normal"/>
        <w:ind w:firstLine="225"/>
        <w:jc w:val="both"/>
        <w:rPr/>
      </w:pPr>
      <w:r>
        <w:rPr/>
        <w:t>15.83. Диаметр труб на вводах в здания должен быть не менее 50 мм.</w:t>
      </w:r>
    </w:p>
    <w:p>
      <w:pPr>
        <w:pStyle w:val="Normal"/>
        <w:ind w:firstLine="225"/>
        <w:jc w:val="both"/>
        <w:rPr/>
      </w:pPr>
      <w:r>
        <w:rPr/>
      </w:r>
    </w:p>
    <w:p>
      <w:pPr>
        <w:pStyle w:val="Normal"/>
        <w:ind w:firstLine="225"/>
        <w:jc w:val="both"/>
        <w:rPr/>
      </w:pPr>
      <w:r>
        <w:rPr/>
        <w:t>15.84. Для восприятия температурных удлинений надземных стальных трубопроводов надлежит применять гнутые и самоуплотняющиеся компенсаторы.</w:t>
      </w:r>
    </w:p>
    <w:p>
      <w:pPr>
        <w:pStyle w:val="Normal"/>
        <w:ind w:firstLine="225"/>
        <w:jc w:val="both"/>
        <w:rPr/>
      </w:pPr>
      <w:r>
        <w:rPr/>
      </w:r>
    </w:p>
    <w:p>
      <w:pPr>
        <w:pStyle w:val="Normal"/>
        <w:ind w:firstLine="225"/>
        <w:jc w:val="both"/>
        <w:rPr/>
      </w:pPr>
      <w:r>
        <w:rPr/>
        <w:t>15.85. Установка запорной и регулирующей арматуры, сальниковых компенсаторов, спускных и воздушных кранов на трубопроводах, прокладываемых в вентилируемых подпольях зданий, не допускается.</w:t>
      </w:r>
    </w:p>
    <w:p>
      <w:pPr>
        <w:pStyle w:val="Normal"/>
        <w:ind w:firstLine="225"/>
        <w:jc w:val="both"/>
        <w:rPr/>
      </w:pPr>
      <w:r>
        <w:rPr/>
      </w:r>
    </w:p>
    <w:p>
      <w:pPr>
        <w:pStyle w:val="Normal"/>
        <w:ind w:firstLine="225"/>
        <w:jc w:val="both"/>
        <w:rPr/>
      </w:pPr>
      <w:r>
        <w:rPr/>
      </w:r>
    </w:p>
    <w:p>
      <w:pPr>
        <w:pStyle w:val="Heading"/>
        <w:jc w:val="center"/>
        <w:rPr/>
      </w:pPr>
      <w:r>
        <w:rPr/>
        <w:t xml:space="preserve">Строительные конструкции </w:t>
      </w:r>
    </w:p>
    <w:p>
      <w:pPr>
        <w:pStyle w:val="Normal"/>
        <w:ind w:firstLine="270"/>
        <w:jc w:val="both"/>
        <w:rPr/>
      </w:pPr>
      <w:r>
        <w:rPr/>
      </w:r>
    </w:p>
    <w:p>
      <w:pPr>
        <w:pStyle w:val="Normal"/>
        <w:ind w:firstLine="270"/>
        <w:jc w:val="both"/>
        <w:rPr/>
      </w:pPr>
      <w:r>
        <w:rPr/>
      </w:r>
    </w:p>
    <w:p>
      <w:pPr>
        <w:pStyle w:val="Normal"/>
        <w:ind w:firstLine="225"/>
        <w:jc w:val="both"/>
        <w:rPr/>
      </w:pPr>
      <w:r>
        <w:rPr/>
        <w:t>15.86. Заглубление емкостных сооружений и отапливаемых частей зданий, а также коммуникаций между ними ниже планировочных отметок земли без обоснований не допускается.</w:t>
      </w:r>
    </w:p>
    <w:p>
      <w:pPr>
        <w:pStyle w:val="Normal"/>
        <w:ind w:firstLine="225"/>
        <w:jc w:val="both"/>
        <w:rPr/>
      </w:pPr>
      <w:r>
        <w:rPr/>
      </w:r>
    </w:p>
    <w:p>
      <w:pPr>
        <w:pStyle w:val="Normal"/>
        <w:ind w:firstLine="225"/>
        <w:jc w:val="both"/>
        <w:rPr/>
      </w:pPr>
      <w:r>
        <w:rPr/>
        <w:t>15.87. При проектировании емкостных сооружений на нескальных основаниях необходимо предусматривать сохранение грунтов основания в вечномерзлом состоянии. Емкостные сооружения надлежит размещать на насыпи из непучинистых грунтов (крупнозернистый песок, гравелистые грунты и т.д.); в случаях когда устройство насыпи невозможно или нецелесообразно - на свайных фундаментах.</w:t>
      </w:r>
    </w:p>
    <w:p>
      <w:pPr>
        <w:pStyle w:val="Normal"/>
        <w:ind w:firstLine="225"/>
        <w:jc w:val="both"/>
        <w:rPr/>
      </w:pPr>
      <w:r>
        <w:rPr/>
      </w:r>
    </w:p>
    <w:p>
      <w:pPr>
        <w:pStyle w:val="Normal"/>
        <w:ind w:firstLine="225"/>
        <w:jc w:val="both"/>
        <w:rPr/>
      </w:pPr>
      <w:r>
        <w:rPr/>
        <w:t>15.88. При проектировании емкостных сооружений, тоннелей и каналов допускается просадочные при оттаивании грунты в основании заменять на расчетную величину оттаивания непросадочными грунтами с необходимым их уплотнением.</w:t>
      </w:r>
    </w:p>
    <w:p>
      <w:pPr>
        <w:pStyle w:val="Normal"/>
        <w:ind w:firstLine="225"/>
        <w:jc w:val="both"/>
        <w:rPr/>
      </w:pPr>
      <w:r>
        <w:rPr/>
      </w:r>
    </w:p>
    <w:p>
      <w:pPr>
        <w:pStyle w:val="Normal"/>
        <w:ind w:firstLine="225"/>
        <w:jc w:val="both"/>
        <w:rPr/>
      </w:pPr>
      <w:r>
        <w:rPr/>
        <w:t>15.89. Под днищем каналов и тоннелей следует предусматривать подготовку из слоя песка толщиной до 0,15 м и глинобетона толщиной до 0,2 м.</w:t>
      </w:r>
    </w:p>
    <w:p>
      <w:pPr>
        <w:pStyle w:val="Normal"/>
        <w:ind w:firstLine="225"/>
        <w:jc w:val="both"/>
        <w:rPr/>
      </w:pPr>
      <w:r>
        <w:rPr/>
      </w:r>
    </w:p>
    <w:p>
      <w:pPr>
        <w:pStyle w:val="Normal"/>
        <w:ind w:firstLine="225"/>
        <w:jc w:val="both"/>
        <w:rPr/>
      </w:pPr>
      <w:r>
        <w:rPr/>
        <w:t>15.90. При проектировании емкостных сооружений должны предусматриваться мероприятия, исключающие замерзание хранящейся в них воды и намерзание ее на конструкциях путем устройства теплоизолирующей обсыпки, подогрева воды, устройства обогревающих камер с коридорами по периметру.</w:t>
      </w:r>
    </w:p>
    <w:p>
      <w:pPr>
        <w:pStyle w:val="Normal"/>
        <w:ind w:firstLine="225"/>
        <w:jc w:val="both"/>
        <w:rPr/>
      </w:pPr>
      <w:r>
        <w:rPr/>
      </w:r>
    </w:p>
    <w:p>
      <w:pPr>
        <w:pStyle w:val="Normal"/>
        <w:ind w:firstLine="225"/>
        <w:jc w:val="both"/>
        <w:rPr/>
      </w:pPr>
      <w:r>
        <w:rPr/>
        <w:t>15.91. В тех случаях, когда грунты основания используются в оттаявшем состоянии, конструктивные решения сооружений должны обеспечивать надежную эксплуатацию их при осадках основания.</w:t>
      </w:r>
    </w:p>
    <w:p>
      <w:pPr>
        <w:pStyle w:val="Normal"/>
        <w:ind w:firstLine="225"/>
        <w:jc w:val="both"/>
        <w:rPr/>
      </w:pPr>
      <w:r>
        <w:rPr/>
      </w:r>
    </w:p>
    <w:p>
      <w:pPr>
        <w:pStyle w:val="Normal"/>
        <w:ind w:firstLine="225"/>
        <w:jc w:val="both"/>
        <w:rPr/>
      </w:pPr>
      <w:r>
        <w:rPr/>
        <w:t>15.92. Для уменьшения теплового воздействия тоннелей и каналов на грунты оснований следует предусматривать их вентиляцию с устройством приточных и вытяжных шахт, размещаемых в местах, исключающих возможность заноса шахт снегом; кроме того, необходимо обеспечивать контроль температуры и удаление аварийных вод.</w:t>
      </w:r>
    </w:p>
    <w:p>
      <w:pPr>
        <w:pStyle w:val="Normal"/>
        <w:ind w:firstLine="225"/>
        <w:jc w:val="both"/>
        <w:rPr/>
      </w:pPr>
      <w:r>
        <w:rPr/>
      </w:r>
    </w:p>
    <w:p>
      <w:pPr>
        <w:pStyle w:val="Normal"/>
        <w:ind w:firstLine="225"/>
        <w:jc w:val="both"/>
        <w:rPr/>
      </w:pPr>
      <w:r>
        <w:rPr/>
        <w:t>Естественную вентиляцию каналов на вводах в здания следует принимать раздельно от вентиляции тоннелей и каналов для магистральных линий водопровода, при этом движение воздуха должно быть от здания.</w:t>
      </w:r>
    </w:p>
    <w:p>
      <w:pPr>
        <w:pStyle w:val="Normal"/>
        <w:ind w:firstLine="225"/>
        <w:jc w:val="both"/>
        <w:rPr/>
      </w:pPr>
      <w:r>
        <w:rPr/>
      </w:r>
    </w:p>
    <w:p>
      <w:pPr>
        <w:pStyle w:val="Heading"/>
        <w:jc w:val="center"/>
        <w:rPr/>
      </w:pPr>
      <w:r>
        <w:rPr/>
      </w:r>
    </w:p>
    <w:p>
      <w:pPr>
        <w:pStyle w:val="Heading"/>
        <w:jc w:val="center"/>
        <w:rPr/>
      </w:pPr>
      <w:r>
        <w:rPr/>
        <w:t>ПРОСАДОЧНЫЕ ГРУНТЫ</w:t>
      </w:r>
    </w:p>
    <w:p>
      <w:pPr>
        <w:pStyle w:val="Heading"/>
        <w:jc w:val="center"/>
        <w:rPr/>
      </w:pPr>
      <w:r>
        <w:rPr/>
      </w:r>
    </w:p>
    <w:p>
      <w:pPr>
        <w:pStyle w:val="Heading"/>
        <w:jc w:val="center"/>
        <w:rPr/>
      </w:pPr>
      <w:r>
        <w:rPr/>
        <w:t xml:space="preserve">Общие указания </w:t>
      </w:r>
    </w:p>
    <w:p>
      <w:pPr>
        <w:pStyle w:val="Normal"/>
        <w:ind w:firstLine="360"/>
        <w:jc w:val="both"/>
        <w:rPr>
          <w:b/>
          <w:b/>
          <w:sz w:val="22"/>
        </w:rPr>
      </w:pPr>
      <w:r>
        <w:rPr>
          <w:b/>
          <w:sz w:val="22"/>
        </w:rPr>
      </w:r>
    </w:p>
    <w:p>
      <w:pPr>
        <w:pStyle w:val="Normal"/>
        <w:jc w:val="both"/>
        <w:rPr>
          <w:b/>
          <w:b/>
          <w:sz w:val="22"/>
        </w:rPr>
      </w:pPr>
      <w:r>
        <w:rPr>
          <w:b/>
          <w:sz w:val="22"/>
        </w:rPr>
      </w:r>
    </w:p>
    <w:p>
      <w:pPr>
        <w:pStyle w:val="Normal"/>
        <w:ind w:firstLine="225"/>
        <w:jc w:val="both"/>
        <w:rPr/>
      </w:pPr>
      <w:r>
        <w:rPr/>
        <w:t>15.93. Здания и сооружения водоснабжения, подлежащие строительству на просадочных грунтах, необходимо проектировать с учетом указаний СНиП 2.02.01-83.</w:t>
      </w:r>
    </w:p>
    <w:p>
      <w:pPr>
        <w:pStyle w:val="Normal"/>
        <w:ind w:firstLine="225"/>
        <w:jc w:val="both"/>
        <w:rPr/>
      </w:pPr>
      <w:r>
        <w:rPr/>
      </w:r>
    </w:p>
    <w:p>
      <w:pPr>
        <w:pStyle w:val="Normal"/>
        <w:ind w:firstLine="225"/>
        <w:jc w:val="both"/>
        <w:rPr/>
      </w:pPr>
      <w:r>
        <w:rPr/>
        <w:t xml:space="preserve">15.94. При разработке генеральных планов должно обеспечиваться сохранение естественных условий отведения дождевых и талых вод. </w:t>
      </w:r>
    </w:p>
    <w:p>
      <w:pPr>
        <w:pStyle w:val="Normal"/>
        <w:ind w:firstLine="225"/>
        <w:jc w:val="both"/>
        <w:rPr/>
      </w:pPr>
      <w:r>
        <w:rPr/>
      </w:r>
    </w:p>
    <w:p>
      <w:pPr>
        <w:pStyle w:val="Normal"/>
        <w:ind w:firstLine="225"/>
        <w:jc w:val="both"/>
        <w:rPr/>
      </w:pPr>
      <w:r>
        <w:rPr/>
        <w:t>Емкостные сооружения должны располагаться, как правило, на участках с наличием дренирующего слоя, минимальной величиной толщин просадочных грунтов.</w:t>
      </w:r>
    </w:p>
    <w:p>
      <w:pPr>
        <w:pStyle w:val="Normal"/>
        <w:ind w:firstLine="225"/>
        <w:jc w:val="both"/>
        <w:rPr/>
      </w:pPr>
      <w:r>
        <w:rPr/>
      </w:r>
    </w:p>
    <w:p>
      <w:pPr>
        <w:pStyle w:val="Normal"/>
        <w:ind w:firstLine="225"/>
        <w:jc w:val="both"/>
        <w:rPr/>
      </w:pPr>
      <w:r>
        <w:rPr/>
      </w:r>
    </w:p>
    <w:p>
      <w:pPr>
        <w:pStyle w:val="Normal"/>
        <w:ind w:firstLine="225"/>
        <w:jc w:val="both"/>
        <w:rPr/>
      </w:pPr>
      <w:r>
        <w:rPr/>
        <w:t>Примечание. При расположении площадки строительства на склоне должна предусматриваться нагорная канава для отведения дождевых и талых вод.</w:t>
      </w:r>
    </w:p>
    <w:p>
      <w:pPr>
        <w:pStyle w:val="Normal"/>
        <w:ind w:firstLine="225"/>
        <w:jc w:val="both"/>
        <w:rPr/>
      </w:pPr>
      <w:r>
        <w:rPr/>
      </w:r>
    </w:p>
    <w:p>
      <w:pPr>
        <w:pStyle w:val="Normal"/>
        <w:ind w:firstLine="225"/>
        <w:jc w:val="both"/>
        <w:rPr/>
      </w:pPr>
      <w:r>
        <w:rPr/>
      </w:r>
    </w:p>
    <w:p>
      <w:pPr>
        <w:pStyle w:val="Normal"/>
        <w:ind w:firstLine="225"/>
        <w:jc w:val="both"/>
        <w:rPr/>
      </w:pPr>
      <w:r>
        <w:rPr/>
        <w:t>15.95. Расстояние от емкостных сооружений до зданий различного назначения должно приниматься в грунтовых условиях:</w:t>
      </w:r>
    </w:p>
    <w:p>
      <w:pPr>
        <w:pStyle w:val="Normal"/>
        <w:ind w:firstLine="225"/>
        <w:jc w:val="both"/>
        <w:rPr/>
      </w:pPr>
      <w:r>
        <w:rPr/>
      </w:r>
    </w:p>
    <w:p>
      <w:pPr>
        <w:pStyle w:val="Normal"/>
        <w:ind w:firstLine="225"/>
        <w:jc w:val="both"/>
        <w:rPr/>
      </w:pPr>
      <w:r>
        <w:rPr/>
        <w:t>I типа по просадочности -  не менее 1,5 толщины слоя просадочного грунта;</w:t>
      </w:r>
    </w:p>
    <w:p>
      <w:pPr>
        <w:pStyle w:val="Normal"/>
        <w:ind w:firstLine="225"/>
        <w:jc w:val="both"/>
        <w:rPr/>
      </w:pPr>
      <w:r>
        <w:rPr/>
      </w:r>
    </w:p>
    <w:p>
      <w:pPr>
        <w:pStyle w:val="Normal"/>
        <w:ind w:firstLine="225"/>
        <w:jc w:val="both"/>
        <w:rPr/>
      </w:pPr>
      <w:r>
        <w:rPr/>
        <w:t>II типа по просадочности при дренирующих подстилающих грунтах - не менее 1,5 толщины просадочного слоя, а при недренирующих подстилающих грунтах - не менее трех толщин просадочного слоя, но не более 40 м.</w:t>
      </w:r>
    </w:p>
    <w:p>
      <w:pPr>
        <w:pStyle w:val="Normal"/>
        <w:ind w:firstLine="225"/>
        <w:jc w:val="both"/>
        <w:rPr/>
      </w:pPr>
      <w:r>
        <w:rPr/>
      </w:r>
    </w:p>
    <w:p>
      <w:pPr>
        <w:pStyle w:val="Normal"/>
        <w:ind w:firstLine="225"/>
        <w:jc w:val="both"/>
        <w:rPr/>
      </w:pPr>
      <w:r>
        <w:rPr/>
      </w:r>
    </w:p>
    <w:p>
      <w:pPr>
        <w:pStyle w:val="Normal"/>
        <w:ind w:firstLine="225"/>
        <w:jc w:val="both"/>
        <w:rPr/>
      </w:pPr>
      <w:r>
        <w:rPr/>
        <w:t>Примечания*: 1. Величину слоя просадочного грунта следует принимать от поверхности естественного рельефа, а при планировке площадки - от уровня срезки.</w:t>
      </w:r>
    </w:p>
    <w:p>
      <w:pPr>
        <w:pStyle w:val="Normal"/>
        <w:ind w:firstLine="225"/>
        <w:jc w:val="both"/>
        <w:rPr/>
      </w:pPr>
      <w:r>
        <w:rPr/>
      </w:r>
    </w:p>
    <w:p>
      <w:pPr>
        <w:pStyle w:val="Normal"/>
        <w:ind w:firstLine="225"/>
        <w:jc w:val="both"/>
        <w:rPr/>
      </w:pPr>
      <w:r>
        <w:rPr/>
        <w:t>2. Тип грунтовых условий по просадочности и возможные величины просадок грунтов от их собственной массы следует принимать с учетом возможной срезки и подсыпки грунта при планировке.</w:t>
      </w:r>
    </w:p>
    <w:p>
      <w:pPr>
        <w:pStyle w:val="Normal"/>
        <w:ind w:firstLine="225"/>
        <w:jc w:val="both"/>
        <w:rPr/>
      </w:pPr>
      <w:r>
        <w:rPr/>
      </w:r>
    </w:p>
    <w:p>
      <w:pPr>
        <w:pStyle w:val="Normal"/>
        <w:ind w:firstLine="225"/>
        <w:jc w:val="both"/>
        <w:rPr/>
      </w:pPr>
      <w:r>
        <w:rPr/>
        <w:t>3. При полном устранении просадочных свойств грунтов в пределах застраиваемой площадки, а также при устройстве водонепроницаемых поддонов под емкостными сооружениями с отведением с них воды утечек за пределы площадки допускается принимать расстояния от емкостных сооружений до зданий без учета просадочности грунтов.</w:t>
      </w:r>
    </w:p>
    <w:p>
      <w:pPr>
        <w:pStyle w:val="Normal"/>
        <w:ind w:firstLine="225"/>
        <w:jc w:val="both"/>
        <w:rPr/>
      </w:pPr>
      <w:r>
        <w:rPr/>
      </w:r>
    </w:p>
    <w:p>
      <w:pPr>
        <w:pStyle w:val="Normal"/>
        <w:ind w:firstLine="225"/>
        <w:jc w:val="both"/>
        <w:rPr/>
      </w:pPr>
      <w:r>
        <w:rPr/>
      </w:r>
    </w:p>
    <w:p>
      <w:pPr>
        <w:pStyle w:val="Normal"/>
        <w:ind w:firstLine="225"/>
        <w:jc w:val="both"/>
        <w:rPr/>
      </w:pPr>
      <w:r>
        <w:rPr/>
        <w:t>15.96. Расстояния от постоянно действующих источников замачивания систем водоснабжения до строящихся зданий и сооружений допускается уменьшать в 1,5 раза по сравнению с расстояниями, указанными в п. 15.95, при условии полного или частичного устранения просадочных свойств грунтов в пределах деформируемой зоны или прорезки просадочных грунтов свайными фундаментами, столбами из закрепленного грунта и т.п.</w:t>
      </w:r>
    </w:p>
    <w:p>
      <w:pPr>
        <w:pStyle w:val="Normal"/>
        <w:ind w:firstLine="225"/>
        <w:jc w:val="both"/>
        <w:rPr/>
      </w:pPr>
      <w:r>
        <w:rPr/>
      </w:r>
    </w:p>
    <w:p>
      <w:pPr>
        <w:pStyle w:val="Normal"/>
        <w:ind w:firstLine="225"/>
        <w:jc w:val="both"/>
        <w:rPr/>
      </w:pPr>
      <w:r>
        <w:rPr/>
        <w:t>15.97. При проектировании зданий, сооружений и трубопроводов, подлежащих строительству на просадочных грунтах, необходимо предусматривать герметизацию емкостных сооружений и трубопроводов, мероприятия по предотвращению проникания воды в грунт из трубопроводов и сооружений, по контролю за утечками воды, по сбору и отводу воды в местах возможных утечек, а также по защите котлованов и траншей от замачивания дождевыми и талыми водами.</w:t>
      </w:r>
    </w:p>
    <w:p>
      <w:pPr>
        <w:pStyle w:val="Normal"/>
        <w:ind w:firstLine="225"/>
        <w:jc w:val="both"/>
        <w:rPr/>
      </w:pPr>
      <w:r>
        <w:rPr/>
      </w:r>
    </w:p>
    <w:p>
      <w:pPr>
        <w:pStyle w:val="Normal"/>
        <w:ind w:firstLine="225"/>
        <w:jc w:val="both"/>
        <w:rPr/>
      </w:pPr>
      <w:r>
        <w:rPr/>
        <w:t>15.98. Укладка трубопроводов в зданиях и сооружениях водоснабжения должна предусматриваться над поверхностью пола; допускается укладка трубопроводов ниже пола в водонепроницаемых каналах с отводом аварийных вод.</w:t>
      </w:r>
    </w:p>
    <w:p>
      <w:pPr>
        <w:pStyle w:val="Normal"/>
        <w:ind w:firstLine="225"/>
        <w:jc w:val="both"/>
        <w:rPr/>
      </w:pPr>
      <w:r>
        <w:rPr/>
      </w:r>
    </w:p>
    <w:p>
      <w:pPr>
        <w:pStyle w:val="Normal"/>
        <w:ind w:firstLine="225"/>
        <w:jc w:val="both"/>
        <w:rPr/>
      </w:pPr>
      <w:r>
        <w:rPr/>
        <w:t>15.99. При наличии просадочных грунтов опирание ограждающих конструкций зданий на стены емкостных сооружений не допускается.</w:t>
      </w:r>
    </w:p>
    <w:p>
      <w:pPr>
        <w:pStyle w:val="Normal"/>
        <w:ind w:firstLine="225"/>
        <w:jc w:val="both"/>
        <w:rPr/>
      </w:pPr>
      <w:r>
        <w:rPr/>
      </w:r>
    </w:p>
    <w:p>
      <w:pPr>
        <w:pStyle w:val="Normal"/>
        <w:ind w:firstLine="225"/>
        <w:jc w:val="both"/>
        <w:rPr/>
      </w:pPr>
      <w:r>
        <w:rPr/>
        <w:t>15.100. Для обеспечения контроля за состоянием и работой сооружений водоснабжения необходимо предусматривать возможность свободного доступа к их основным конструктивным элементам и узлам технологического оборудования.</w:t>
      </w:r>
    </w:p>
    <w:p>
      <w:pPr>
        <w:pStyle w:val="Normal"/>
        <w:ind w:firstLine="225"/>
        <w:jc w:val="both"/>
        <w:rPr/>
      </w:pPr>
      <w:r>
        <w:rPr/>
      </w:r>
    </w:p>
    <w:p>
      <w:pPr>
        <w:pStyle w:val="Normal"/>
        <w:ind w:firstLine="225"/>
        <w:jc w:val="both"/>
        <w:rPr/>
      </w:pPr>
      <w:r>
        <w:rPr/>
        <w:t xml:space="preserve">15.101. Вводы и выводы из зданий надлежит предусматривать согласно </w:t>
      </w:r>
      <w:r>
        <w:rPr>
          <w:vanish/>
        </w:rPr>
        <w:t>#M12293 0 5200243 3704477087 78 23944 2465715557 2685059051 3363248087 4294967268 584910322</w:t>
      </w:r>
      <w:r>
        <w:rPr/>
        <w:t>СНиП 2.04.01-85</w:t>
      </w:r>
      <w:r>
        <w:rPr>
          <w:vanish/>
        </w:rPr>
        <w:t>#S</w:t>
      </w:r>
      <w:r>
        <w:rPr/>
        <w:t>.</w:t>
      </w:r>
    </w:p>
    <w:p>
      <w:pPr>
        <w:pStyle w:val="Normal"/>
        <w:ind w:firstLine="225"/>
        <w:jc w:val="both"/>
        <w:rPr/>
      </w:pPr>
      <w:r>
        <w:rPr/>
      </w:r>
    </w:p>
    <w:p>
      <w:pPr>
        <w:pStyle w:val="Normal"/>
        <w:ind w:firstLine="225"/>
        <w:jc w:val="both"/>
        <w:rPr/>
      </w:pPr>
      <w:r>
        <w:rPr/>
        <w:t>При разности осадок здания или сооружения и трубопровода на вводе, вызывающей повреждение труб или ограждающих конструкций, на трубопроводах в колодцах следует предусматривать установку компенсаторов.</w:t>
      </w:r>
    </w:p>
    <w:p>
      <w:pPr>
        <w:pStyle w:val="Normal"/>
        <w:ind w:firstLine="225"/>
        <w:jc w:val="both"/>
        <w:rPr/>
      </w:pPr>
      <w:r>
        <w:rPr/>
      </w:r>
    </w:p>
    <w:p>
      <w:pPr>
        <w:pStyle w:val="Normal"/>
        <w:ind w:firstLine="225"/>
        <w:jc w:val="both"/>
        <w:rPr/>
      </w:pPr>
      <w:r>
        <w:rPr/>
        <w:t>Жесткая заделка труб в стены емкостных сооружений и подземных частей зданий не допускается, для пропуска труб через стены следует предусматривать сальники.</w:t>
      </w:r>
    </w:p>
    <w:p>
      <w:pPr>
        <w:pStyle w:val="Normal"/>
        <w:ind w:firstLine="225"/>
        <w:jc w:val="both"/>
        <w:rPr/>
      </w:pPr>
      <w:r>
        <w:rPr/>
      </w:r>
    </w:p>
    <w:p>
      <w:pPr>
        <w:pStyle w:val="Normal"/>
        <w:ind w:firstLine="225"/>
        <w:jc w:val="both"/>
        <w:rPr/>
      </w:pPr>
      <w:r>
        <w:rPr/>
        <w:t>15.102. В ограждающих конструкциях, к которым не предъявляются требования герметичности, следует назначать увеличенные размеры отверстий для пропуска труб и лотков. Зазоры между верхом и низом трубы или лотка и соответствующим краем отверстия рекомендуется принимать равным 1/3 возможной величины просадки грунта в основании. Зазоры должны заполняться плотным эластичным материалом.</w:t>
      </w:r>
    </w:p>
    <w:p>
      <w:pPr>
        <w:pStyle w:val="Normal"/>
        <w:ind w:firstLine="225"/>
        <w:jc w:val="both"/>
        <w:rPr/>
      </w:pPr>
      <w:r>
        <w:rPr/>
      </w:r>
    </w:p>
    <w:p>
      <w:pPr>
        <w:pStyle w:val="Normal"/>
        <w:ind w:firstLine="225"/>
        <w:jc w:val="both"/>
        <w:rPr/>
      </w:pPr>
      <w:r>
        <w:rPr/>
        <w:t>Необходимо предусматривать при этом возможность выравнивания в процессе эксплуатации водосливных кромок лотков и желобов.</w:t>
      </w:r>
    </w:p>
    <w:p>
      <w:pPr>
        <w:pStyle w:val="Normal"/>
        <w:ind w:firstLine="225"/>
        <w:jc w:val="both"/>
        <w:rPr/>
      </w:pPr>
      <w:r>
        <w:rPr/>
      </w:r>
    </w:p>
    <w:p>
      <w:pPr>
        <w:pStyle w:val="Normal"/>
        <w:ind w:firstLine="225"/>
        <w:jc w:val="both"/>
        <w:rPr/>
      </w:pPr>
      <w:r>
        <w:rPr/>
        <w:t>15.103. Трубопроводы и лотки между отдельными сооружениями должны иметь возможность их относительного поворота и смещения.</w:t>
      </w:r>
    </w:p>
    <w:p>
      <w:pPr>
        <w:pStyle w:val="Normal"/>
        <w:ind w:firstLine="225"/>
        <w:jc w:val="both"/>
        <w:rPr/>
      </w:pPr>
      <w:r>
        <w:rPr/>
      </w:r>
    </w:p>
    <w:p>
      <w:pPr>
        <w:pStyle w:val="Normal"/>
        <w:ind w:firstLine="225"/>
        <w:jc w:val="both"/>
        <w:rPr/>
      </w:pPr>
      <w:r>
        <w:rPr/>
        <w:t>Заделка труб и лотков в стенах должна обеспечивать горизонтальное их смещение внутрь и за пределы сооружения на 1/5 от возможной величины просадки грунтов в основании.</w:t>
      </w:r>
    </w:p>
    <w:p>
      <w:pPr>
        <w:pStyle w:val="Normal"/>
        <w:ind w:firstLine="225"/>
        <w:jc w:val="both"/>
        <w:rPr/>
      </w:pPr>
      <w:r>
        <w:rPr/>
      </w:r>
    </w:p>
    <w:p>
      <w:pPr>
        <w:pStyle w:val="Normal"/>
        <w:ind w:firstLine="225"/>
        <w:jc w:val="both"/>
        <w:rPr/>
      </w:pPr>
      <w:r>
        <w:rPr/>
        <w:t>15.104. Подсыпка при планировке территории, обратные засыпки котлованов и траншей должны предусматриваться из местных глинистых грунтов.</w:t>
      </w:r>
    </w:p>
    <w:p>
      <w:pPr>
        <w:pStyle w:val="Normal"/>
        <w:ind w:firstLine="225"/>
        <w:jc w:val="both"/>
        <w:rPr/>
      </w:pPr>
      <w:r>
        <w:rPr/>
      </w:r>
    </w:p>
    <w:p>
      <w:pPr>
        <w:pStyle w:val="Normal"/>
        <w:ind w:firstLine="225"/>
        <w:jc w:val="both"/>
        <w:rPr/>
      </w:pPr>
      <w:r>
        <w:rPr/>
        <w:t>Необходимую степень уплотнения грунта следует принимать в зависимости от возможных нагрузок на уплотненный грунт.</w:t>
      </w:r>
    </w:p>
    <w:p>
      <w:pPr>
        <w:pStyle w:val="Normal"/>
        <w:ind w:firstLine="225"/>
        <w:jc w:val="both"/>
        <w:rPr/>
      </w:pPr>
      <w:r>
        <w:rPr/>
      </w:r>
    </w:p>
    <w:p>
      <w:pPr>
        <w:pStyle w:val="Normal"/>
        <w:ind w:firstLine="225"/>
        <w:jc w:val="both"/>
        <w:rPr/>
      </w:pPr>
      <w:r>
        <w:rPr/>
        <w:t>Обратная засыпка должна предусматриваться грунтом с оптимальной влажностью отдельными слоями с уплотнением их до плотности сухого грунта не менее 1,6 т/куб.м. Толщину слоев надлежит принимать в зависимости от применяемых грунтоуплотняющих механизмов.</w:t>
      </w:r>
    </w:p>
    <w:p>
      <w:pPr>
        <w:pStyle w:val="Normal"/>
        <w:ind w:firstLine="225"/>
        <w:jc w:val="both"/>
        <w:rPr/>
      </w:pPr>
      <w:r>
        <w:rPr/>
      </w:r>
    </w:p>
    <w:p>
      <w:pPr>
        <w:pStyle w:val="Normal"/>
        <w:ind w:firstLine="225"/>
        <w:jc w:val="both"/>
        <w:rPr/>
      </w:pPr>
      <w:r>
        <w:rPr/>
        <w:t>15.105. Вокруг водопроводных сооружений следует предусматривать водонепроницаемые отмостки с    уклоном 0,03 от сооружений. Ширина отмостки должна быть:</w:t>
      </w:r>
    </w:p>
    <w:p>
      <w:pPr>
        <w:pStyle w:val="Normal"/>
        <w:ind w:firstLine="225"/>
        <w:jc w:val="both"/>
        <w:rPr/>
      </w:pPr>
      <w:r>
        <w:rPr/>
      </w:r>
    </w:p>
    <w:p>
      <w:pPr>
        <w:pStyle w:val="Normal"/>
        <w:ind w:firstLine="225"/>
        <w:jc w:val="both"/>
        <w:rPr/>
      </w:pPr>
      <w:r>
        <w:rPr/>
        <w:t>1,5 м - для емкостных сооружений в грунтовых условиях I типа и 2 м - для II типа по просадочности;</w:t>
      </w:r>
    </w:p>
    <w:p>
      <w:pPr>
        <w:pStyle w:val="Normal"/>
        <w:ind w:firstLine="225"/>
        <w:jc w:val="both"/>
        <w:rPr/>
      </w:pPr>
      <w:r>
        <w:rPr/>
      </w:r>
    </w:p>
    <w:p>
      <w:pPr>
        <w:pStyle w:val="Normal"/>
        <w:ind w:firstLine="225"/>
        <w:jc w:val="both"/>
        <w:rPr/>
      </w:pPr>
      <w:r>
        <w:rPr/>
        <w:t>5 м  - для градирен и брызгальных бассейнов;</w:t>
      </w:r>
    </w:p>
    <w:p>
      <w:pPr>
        <w:pStyle w:val="Normal"/>
        <w:ind w:firstLine="225"/>
        <w:jc w:val="both"/>
        <w:rPr/>
      </w:pPr>
      <w:r>
        <w:rPr/>
      </w:r>
    </w:p>
    <w:p>
      <w:pPr>
        <w:pStyle w:val="Normal"/>
        <w:ind w:firstLine="225"/>
        <w:jc w:val="both"/>
        <w:rPr/>
      </w:pPr>
      <w:r>
        <w:rPr/>
        <w:t xml:space="preserve">3 м -  для водонапорных башен. </w:t>
      </w:r>
    </w:p>
    <w:p>
      <w:pPr>
        <w:pStyle w:val="Normal"/>
        <w:ind w:firstLine="225"/>
        <w:jc w:val="both"/>
        <w:rPr/>
      </w:pPr>
      <w:r>
        <w:rPr/>
      </w:r>
    </w:p>
    <w:p>
      <w:pPr>
        <w:pStyle w:val="Normal"/>
        <w:ind w:firstLine="225"/>
        <w:jc w:val="both"/>
        <w:rPr/>
      </w:pPr>
      <w:r>
        <w:rPr/>
        <w:t>Под отмостками необходимо предусматривать уплотнение грунта.</w:t>
      </w:r>
    </w:p>
    <w:p>
      <w:pPr>
        <w:pStyle w:val="Normal"/>
        <w:ind w:firstLine="225"/>
        <w:jc w:val="both"/>
        <w:rPr/>
      </w:pPr>
      <w:r>
        <w:rPr/>
      </w:r>
    </w:p>
    <w:p>
      <w:pPr>
        <w:pStyle w:val="Normal"/>
        <w:ind w:firstLine="225"/>
        <w:jc w:val="both"/>
        <w:rPr/>
      </w:pPr>
      <w:r>
        <w:rPr/>
        <w:t>15.106. В местах прохода колонн через водосборные бассейны градирен должна предусматриваться конструкция, исключающая возможность проникания воды в грунт, при этом должна быть обеспечена свободная осадка несущей конструкции.</w:t>
      </w:r>
    </w:p>
    <w:p>
      <w:pPr>
        <w:pStyle w:val="Normal"/>
        <w:ind w:firstLine="225"/>
        <w:jc w:val="both"/>
        <w:rPr/>
      </w:pPr>
      <w:r>
        <w:rPr/>
      </w:r>
    </w:p>
    <w:p>
      <w:pPr>
        <w:pStyle w:val="Heading"/>
        <w:jc w:val="center"/>
        <w:rPr/>
      </w:pPr>
      <w:r>
        <w:rPr/>
      </w:r>
    </w:p>
    <w:p>
      <w:pPr>
        <w:pStyle w:val="Heading"/>
        <w:jc w:val="center"/>
        <w:rPr/>
      </w:pPr>
      <w:r>
        <w:rPr/>
        <w:t xml:space="preserve">Водоводы и сети </w:t>
      </w:r>
    </w:p>
    <w:p>
      <w:pPr>
        <w:pStyle w:val="Normal"/>
        <w:ind w:firstLine="270"/>
        <w:jc w:val="both"/>
        <w:rPr/>
      </w:pPr>
      <w:r>
        <w:rPr/>
      </w:r>
    </w:p>
    <w:p>
      <w:pPr>
        <w:pStyle w:val="Normal"/>
        <w:ind w:firstLine="270"/>
        <w:jc w:val="both"/>
        <w:rPr/>
      </w:pPr>
      <w:r>
        <w:rPr/>
      </w:r>
    </w:p>
    <w:p>
      <w:pPr>
        <w:pStyle w:val="Normal"/>
        <w:ind w:firstLine="225"/>
        <w:jc w:val="both"/>
        <w:rPr/>
      </w:pPr>
      <w:r>
        <w:rPr/>
        <w:t>15.107. Требования к основаниям под напорные трубопроводы в грунтовых условиях I и II типов по просадочности приведены в табл. 47.</w:t>
      </w:r>
    </w:p>
    <w:p>
      <w:pPr>
        <w:pStyle w:val="Normal"/>
        <w:ind w:firstLine="225"/>
        <w:jc w:val="both"/>
        <w:rPr/>
      </w:pPr>
      <w:r>
        <w:rPr/>
      </w:r>
    </w:p>
    <w:p>
      <w:pPr>
        <w:pStyle w:val="Normal"/>
        <w:ind w:firstLine="225"/>
        <w:jc w:val="both"/>
        <w:rPr/>
      </w:pPr>
      <w:r>
        <w:rPr/>
        <w:t>15.108. Поддоны, днища каналов и тоннелей должны иметь уклон в сторону контрольных колодцев.</w:t>
      </w:r>
    </w:p>
    <w:p>
      <w:pPr>
        <w:pStyle w:val="Normal"/>
        <w:ind w:firstLine="225"/>
        <w:jc w:val="both"/>
        <w:rPr/>
      </w:pPr>
      <w:r>
        <w:rPr/>
      </w:r>
    </w:p>
    <w:p>
      <w:pPr>
        <w:pStyle w:val="Normal"/>
        <w:ind w:firstLine="225"/>
        <w:jc w:val="both"/>
        <w:rPr/>
      </w:pPr>
      <w:r>
        <w:rPr/>
        <w:t>15.109. При обосновании допускается принимать наземную или надземную прокладку водоводов и водопроводных сетей.</w:t>
      </w:r>
    </w:p>
    <w:p>
      <w:pPr>
        <w:pStyle w:val="Normal"/>
        <w:ind w:firstLine="225"/>
        <w:jc w:val="both"/>
        <w:rPr/>
      </w:pPr>
      <w:r>
        <w:rPr/>
      </w:r>
    </w:p>
    <w:p>
      <w:pPr>
        <w:pStyle w:val="Normal"/>
        <w:ind w:firstLine="225"/>
        <w:jc w:val="both"/>
        <w:rPr/>
      </w:pPr>
      <w:r>
        <w:rPr/>
        <w:t>15.110. При грунтовых условиях I и II типов с возможной просадкой до 20 см систем водоснабжения всех категорий следует принимать материал труб, указанный в п. 8.21. Для заделки раструбных и муфтовых труб следует применять эластичные материалы.</w:t>
      </w:r>
    </w:p>
    <w:p>
      <w:pPr>
        <w:pStyle w:val="Normal"/>
        <w:ind w:firstLine="225"/>
        <w:jc w:val="both"/>
        <w:rPr/>
      </w:pPr>
      <w:r>
        <w:rPr/>
      </w:r>
    </w:p>
    <w:p>
      <w:pPr>
        <w:pStyle w:val="Normal"/>
        <w:ind w:firstLine="225"/>
        <w:jc w:val="both"/>
        <w:rPr/>
      </w:pPr>
      <w:r>
        <w:rPr/>
        <w:t>При грунтовых условиях II типа с возможной просадкой более 20 см для систем водоснабжения I и II категорий водоводы и сети следует проектировать из стальных или пластмассовых труб; применение раструбных труб не допускается;</w:t>
      </w:r>
    </w:p>
    <w:p>
      <w:pPr>
        <w:pStyle w:val="Normal"/>
        <w:ind w:firstLine="225"/>
        <w:jc w:val="both"/>
        <w:rPr/>
      </w:pPr>
      <w:r>
        <w:rPr/>
      </w:r>
    </w:p>
    <w:p>
      <w:pPr>
        <w:pStyle w:val="Normal"/>
        <w:ind w:firstLine="225"/>
        <w:jc w:val="both"/>
        <w:rPr/>
      </w:pPr>
      <w:r>
        <w:rPr/>
        <w:t>для систем водоснабжения III категории следует применять пластмассовые или напорные железобетонные трубы с эластичной заделкой стыков; допускается применение чугунных труб под резиновую манжету.</w:t>
      </w:r>
    </w:p>
    <w:p>
      <w:pPr>
        <w:pStyle w:val="Normal"/>
        <w:ind w:firstLine="225"/>
        <w:jc w:val="both"/>
        <w:rPr/>
      </w:pPr>
      <w:r>
        <w:rPr/>
      </w:r>
    </w:p>
    <w:p>
      <w:pPr>
        <w:pStyle w:val="Normal"/>
        <w:ind w:firstLine="225"/>
        <w:jc w:val="both"/>
        <w:rPr/>
      </w:pPr>
      <w:r>
        <w:rPr/>
        <w:t>15.111. Для наблюдения во время эксплуатации за трубопроводами, прокладка которых предусматривается на поддонах, в каналах или тоннелях, следует предусматривать контрольные колодцы на расстояниях, определяемых местными условиями, но не более 200 м. При этом должен быть обеспечен отвод воды в обход колодцев на сети.</w:t>
      </w:r>
    </w:p>
    <w:p>
      <w:pPr>
        <w:pStyle w:val="Normal"/>
        <w:jc w:val="end"/>
        <w:rPr/>
      </w:pPr>
      <w:r>
        <w:rPr/>
        <w:t xml:space="preserve">Таблица 47 </w:t>
      </w:r>
    </w:p>
    <w:p>
      <w:pPr>
        <w:pStyle w:val="Normal"/>
        <w:ind w:firstLine="270"/>
        <w:jc w:val="both"/>
        <w:rPr/>
      </w:pPr>
      <w:r>
        <w:rPr/>
      </w:r>
    </w:p>
    <w:p>
      <w:pPr>
        <w:pStyle w:val="Normal"/>
        <w:ind w:firstLine="270"/>
        <w:jc w:val="both"/>
        <w:rPr/>
      </w:pPr>
      <w:r>
        <w:rPr/>
      </w:r>
    </w:p>
    <w:tbl>
      <w:tblPr>
        <w:tblW w:w="7415" w:type="dxa"/>
        <w:jc w:val="start"/>
        <w:tblInd w:w="45" w:type="dxa"/>
        <w:tblBorders>
          <w:top w:val="single" w:sz="2" w:space="0" w:color="000000"/>
          <w:start w:val="single" w:sz="2" w:space="0" w:color="000000"/>
          <w:bottom w:val="single" w:sz="2" w:space="0" w:color="000000"/>
          <w:insideH w:val="single" w:sz="2" w:space="0" w:color="000000"/>
        </w:tblBorders>
        <w:tblCellMar>
          <w:top w:w="0" w:type="dxa"/>
          <w:start w:w="42" w:type="dxa"/>
          <w:bottom w:w="0" w:type="dxa"/>
          <w:end w:w="45" w:type="dxa"/>
        </w:tblCellMar>
      </w:tblPr>
      <w:tblGrid>
        <w:gridCol w:w="1440"/>
        <w:gridCol w:w="1545"/>
        <w:gridCol w:w="1455"/>
        <w:gridCol w:w="2975"/>
      </w:tblGrid>
      <w:tr>
        <w:trPr/>
        <w:tc>
          <w:tcPr>
            <w:tcW w:w="144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vanish/>
              </w:rPr>
            </w:pPr>
            <w:r>
              <w:rPr>
                <w:vanish/>
              </w:rPr>
              <w:t>#G0</w:t>
            </w:r>
          </w:p>
          <w:p>
            <w:pPr>
              <w:pStyle w:val="Normal"/>
              <w:jc w:val="center"/>
              <w:rPr/>
            </w:pPr>
            <w:r>
              <w:rPr/>
              <w:t xml:space="preserve">Тип грунта </w:t>
            </w:r>
          </w:p>
          <w:p>
            <w:pPr>
              <w:pStyle w:val="Normal"/>
              <w:jc w:val="center"/>
              <w:rPr/>
            </w:pPr>
            <w:r>
              <w:rPr/>
              <w:t xml:space="preserve">по просадочности </w:t>
            </w:r>
          </w:p>
          <w:p>
            <w:pPr>
              <w:pStyle w:val="Normal"/>
              <w:jc w:val="center"/>
              <w:rPr/>
            </w:pPr>
            <w:r>
              <w:rPr/>
            </w:r>
          </w:p>
        </w:tc>
        <w:tc>
          <w:tcPr>
            <w:tcW w:w="154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Категория обеспеченности подачи воды по </w:t>
            </w:r>
          </w:p>
          <w:p>
            <w:pPr>
              <w:pStyle w:val="Normal"/>
              <w:rPr/>
            </w:pPr>
            <w:r>
              <w:rPr/>
              <w:t xml:space="preserve">п. 4.4 </w:t>
            </w:r>
          </w:p>
          <w:p>
            <w:pPr>
              <w:pStyle w:val="Normal"/>
              <w:rPr/>
            </w:pPr>
            <w:r>
              <w:rPr/>
            </w:r>
          </w:p>
        </w:tc>
        <w:tc>
          <w:tcPr>
            <w:tcW w:w="145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Характеристика территории </w:t>
            </w:r>
          </w:p>
          <w:p>
            <w:pPr>
              <w:pStyle w:val="Normal"/>
              <w:rPr/>
            </w:pPr>
            <w:r>
              <w:rPr/>
            </w:r>
          </w:p>
        </w:tc>
        <w:tc>
          <w:tcPr>
            <w:tcW w:w="297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snapToGrid w:val="false"/>
              <w:rPr/>
            </w:pPr>
            <w:r>
              <w:rPr/>
            </w:r>
          </w:p>
          <w:p>
            <w:pPr>
              <w:pStyle w:val="Normal"/>
              <w:rPr/>
            </w:pPr>
            <w:r>
              <w:rPr/>
              <w:t xml:space="preserve">Требования к основанию </w:t>
            </w:r>
          </w:p>
          <w:p>
            <w:pPr>
              <w:pStyle w:val="Normal"/>
              <w:rPr/>
            </w:pPr>
            <w:r>
              <w:rPr/>
              <w:t xml:space="preserve">под трубопроводы </w:t>
            </w:r>
          </w:p>
          <w:p>
            <w:pPr>
              <w:pStyle w:val="Normal"/>
              <w:rPr/>
            </w:pPr>
            <w:r>
              <w:rPr/>
            </w:r>
          </w:p>
        </w:tc>
      </w:tr>
      <w:tr>
        <w:trPr/>
        <w:tc>
          <w:tcPr>
            <w:tcW w:w="144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I </w:t>
            </w:r>
          </w:p>
          <w:p>
            <w:pPr>
              <w:pStyle w:val="Normal"/>
              <w:rPr/>
            </w:pPr>
            <w:r>
              <w:rPr/>
            </w:r>
          </w:p>
        </w:tc>
        <w:tc>
          <w:tcPr>
            <w:tcW w:w="154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I и II </w:t>
            </w:r>
          </w:p>
          <w:p>
            <w:pPr>
              <w:pStyle w:val="Normal"/>
              <w:rPr/>
            </w:pPr>
            <w:r>
              <w:rPr/>
            </w:r>
          </w:p>
        </w:tc>
        <w:tc>
          <w:tcPr>
            <w:tcW w:w="145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Застроенная Незастроенная </w:t>
            </w:r>
          </w:p>
          <w:p>
            <w:pPr>
              <w:pStyle w:val="Normal"/>
              <w:rPr/>
            </w:pPr>
            <w:r>
              <w:rPr/>
            </w:r>
          </w:p>
        </w:tc>
        <w:tc>
          <w:tcPr>
            <w:tcW w:w="297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Уплотнение грунта </w:t>
            </w:r>
          </w:p>
          <w:p>
            <w:pPr>
              <w:pStyle w:val="Normal"/>
              <w:rPr/>
            </w:pPr>
            <w:r>
              <w:rPr/>
              <w:t xml:space="preserve">Без учета просадочности </w:t>
            </w:r>
          </w:p>
          <w:p>
            <w:pPr>
              <w:pStyle w:val="Normal"/>
              <w:rPr/>
            </w:pPr>
            <w:r>
              <w:rPr/>
            </w:r>
          </w:p>
        </w:tc>
      </w:tr>
      <w:tr>
        <w:trPr/>
        <w:tc>
          <w:tcPr>
            <w:tcW w:w="144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p>
          <w:p>
            <w:pPr>
              <w:pStyle w:val="Normal"/>
              <w:rPr/>
            </w:pPr>
            <w:r>
              <w:rPr/>
            </w:r>
          </w:p>
        </w:tc>
        <w:tc>
          <w:tcPr>
            <w:tcW w:w="154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III </w:t>
            </w:r>
          </w:p>
          <w:p>
            <w:pPr>
              <w:pStyle w:val="Normal"/>
              <w:jc w:val="center"/>
              <w:rPr/>
            </w:pPr>
            <w:r>
              <w:rPr/>
            </w:r>
          </w:p>
        </w:tc>
        <w:tc>
          <w:tcPr>
            <w:tcW w:w="145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Застроенная Незастроенная </w:t>
            </w:r>
          </w:p>
          <w:p>
            <w:pPr>
              <w:pStyle w:val="Normal"/>
              <w:rPr/>
            </w:pPr>
            <w:r>
              <w:rPr/>
            </w:r>
          </w:p>
        </w:tc>
        <w:tc>
          <w:tcPr>
            <w:tcW w:w="297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Без учета просадочности </w:t>
            </w:r>
          </w:p>
          <w:p>
            <w:pPr>
              <w:pStyle w:val="Normal"/>
              <w:rPr/>
            </w:pPr>
            <w:r>
              <w:rPr/>
              <w:t xml:space="preserve">То же </w:t>
            </w:r>
          </w:p>
          <w:p>
            <w:pPr>
              <w:pStyle w:val="Normal"/>
              <w:rPr/>
            </w:pPr>
            <w:r>
              <w:rPr/>
            </w:r>
          </w:p>
        </w:tc>
      </w:tr>
      <w:tr>
        <w:trPr/>
        <w:tc>
          <w:tcPr>
            <w:tcW w:w="1440" w:type="dxa"/>
            <w:tcBorders>
              <w:top w:val="single" w:sz="2" w:space="0" w:color="000000"/>
              <w:start w:val="single" w:sz="2" w:space="0" w:color="000000"/>
            </w:tcBorders>
            <w:shd w:fill="auto" w:val="clear"/>
            <w:tcMar>
              <w:start w:w="42" w:type="dxa"/>
            </w:tcMar>
          </w:tcPr>
          <w:p>
            <w:pPr>
              <w:pStyle w:val="Normal"/>
              <w:rPr/>
            </w:pPr>
            <w:r>
              <w:rPr/>
              <w:t xml:space="preserve">II </w:t>
            </w:r>
          </w:p>
          <w:p>
            <w:pPr>
              <w:pStyle w:val="Normal"/>
              <w:rPr/>
            </w:pPr>
            <w:r>
              <w:rPr/>
              <w:t xml:space="preserve">(величина просадки </w:t>
            </w:r>
          </w:p>
          <w:p>
            <w:pPr>
              <w:pStyle w:val="Normal"/>
              <w:rPr/>
            </w:pPr>
            <w:r>
              <w:rPr/>
            </w:r>
          </w:p>
        </w:tc>
        <w:tc>
          <w:tcPr>
            <w:tcW w:w="154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I и II </w:t>
            </w:r>
          </w:p>
          <w:p>
            <w:pPr>
              <w:pStyle w:val="Normal"/>
              <w:rPr/>
            </w:pPr>
            <w:r>
              <w:rPr/>
            </w:r>
          </w:p>
        </w:tc>
        <w:tc>
          <w:tcPr>
            <w:tcW w:w="145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Застроенная </w:t>
            </w:r>
          </w:p>
          <w:p>
            <w:pPr>
              <w:pStyle w:val="Normal"/>
              <w:rPr/>
            </w:pPr>
            <w:r>
              <w:rPr/>
            </w:r>
          </w:p>
          <w:p>
            <w:pPr>
              <w:pStyle w:val="Normal"/>
              <w:rPr/>
            </w:pPr>
            <w:r>
              <w:rPr/>
              <w:t xml:space="preserve">Незастроенная </w:t>
            </w:r>
          </w:p>
          <w:p>
            <w:pPr>
              <w:pStyle w:val="Normal"/>
              <w:rPr/>
            </w:pPr>
            <w:r>
              <w:rPr/>
            </w:r>
          </w:p>
        </w:tc>
        <w:tc>
          <w:tcPr>
            <w:tcW w:w="297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Уплотнение грунта и устройство поддона </w:t>
            </w:r>
          </w:p>
          <w:p>
            <w:pPr>
              <w:pStyle w:val="Normal"/>
              <w:rPr/>
            </w:pPr>
            <w:r>
              <w:rPr/>
              <w:t xml:space="preserve">Уплотнение грунта </w:t>
            </w:r>
          </w:p>
          <w:p>
            <w:pPr>
              <w:pStyle w:val="Normal"/>
              <w:rPr/>
            </w:pPr>
            <w:r>
              <w:rPr/>
            </w:r>
          </w:p>
        </w:tc>
      </w:tr>
      <w:tr>
        <w:trPr/>
        <w:tc>
          <w:tcPr>
            <w:tcW w:w="144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до 20 см)</w:t>
            </w:r>
          </w:p>
          <w:p>
            <w:pPr>
              <w:pStyle w:val="Normal"/>
              <w:rPr/>
            </w:pPr>
            <w:r>
              <w:rPr/>
            </w:r>
          </w:p>
        </w:tc>
        <w:tc>
          <w:tcPr>
            <w:tcW w:w="154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III </w:t>
            </w:r>
          </w:p>
          <w:p>
            <w:pPr>
              <w:pStyle w:val="Normal"/>
              <w:rPr/>
            </w:pPr>
            <w:r>
              <w:rPr/>
            </w:r>
          </w:p>
        </w:tc>
        <w:tc>
          <w:tcPr>
            <w:tcW w:w="145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Застроенная Незастроенная </w:t>
            </w:r>
          </w:p>
          <w:p>
            <w:pPr>
              <w:pStyle w:val="Normal"/>
              <w:rPr/>
            </w:pPr>
            <w:r>
              <w:rPr/>
            </w:r>
          </w:p>
        </w:tc>
        <w:tc>
          <w:tcPr>
            <w:tcW w:w="297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Уплотнение грунта </w:t>
            </w:r>
          </w:p>
          <w:p>
            <w:pPr>
              <w:pStyle w:val="Normal"/>
              <w:rPr/>
            </w:pPr>
            <w:r>
              <w:rPr/>
              <w:t xml:space="preserve">Без учета просадочности </w:t>
            </w:r>
          </w:p>
          <w:p>
            <w:pPr>
              <w:pStyle w:val="Normal"/>
              <w:rPr/>
            </w:pPr>
            <w:r>
              <w:rPr/>
            </w:r>
          </w:p>
        </w:tc>
      </w:tr>
      <w:tr>
        <w:trPr/>
        <w:tc>
          <w:tcPr>
            <w:tcW w:w="1440" w:type="dxa"/>
            <w:tcBorders>
              <w:top w:val="single" w:sz="2" w:space="0" w:color="000000"/>
              <w:start w:val="single" w:sz="2" w:space="0" w:color="000000"/>
            </w:tcBorders>
            <w:shd w:fill="auto" w:val="clear"/>
            <w:tcMar>
              <w:start w:w="42" w:type="dxa"/>
            </w:tcMar>
          </w:tcPr>
          <w:p>
            <w:pPr>
              <w:pStyle w:val="Normal"/>
              <w:rPr/>
            </w:pPr>
            <w:r>
              <w:rPr/>
              <w:t xml:space="preserve">II (величина просадки </w:t>
            </w:r>
          </w:p>
          <w:p>
            <w:pPr>
              <w:pStyle w:val="Normal"/>
              <w:rPr/>
            </w:pPr>
            <w:r>
              <w:rPr/>
            </w:r>
          </w:p>
        </w:tc>
        <w:tc>
          <w:tcPr>
            <w:tcW w:w="154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I и II </w:t>
            </w:r>
          </w:p>
          <w:p>
            <w:pPr>
              <w:pStyle w:val="Normal"/>
              <w:rPr/>
            </w:pPr>
            <w:r>
              <w:rPr/>
            </w:r>
          </w:p>
        </w:tc>
        <w:tc>
          <w:tcPr>
            <w:tcW w:w="145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Застроенная </w:t>
            </w:r>
          </w:p>
          <w:p>
            <w:pPr>
              <w:pStyle w:val="Normal"/>
              <w:rPr/>
            </w:pPr>
            <w:r>
              <w:rPr/>
            </w:r>
          </w:p>
          <w:p>
            <w:pPr>
              <w:pStyle w:val="Normal"/>
              <w:rPr/>
            </w:pPr>
            <w:r>
              <w:rPr/>
              <w:t xml:space="preserve">Незастроенная </w:t>
            </w:r>
          </w:p>
          <w:p>
            <w:pPr>
              <w:pStyle w:val="Normal"/>
              <w:rPr/>
            </w:pPr>
            <w:r>
              <w:rPr/>
            </w:r>
          </w:p>
        </w:tc>
        <w:tc>
          <w:tcPr>
            <w:tcW w:w="297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Уплотнение грунта, укладка труб в канале или тоннеле </w:t>
            </w:r>
          </w:p>
          <w:p>
            <w:pPr>
              <w:pStyle w:val="Normal"/>
              <w:rPr/>
            </w:pPr>
            <w:r>
              <w:rPr/>
              <w:t xml:space="preserve">Уплотнение грунта </w:t>
            </w:r>
          </w:p>
          <w:p>
            <w:pPr>
              <w:pStyle w:val="Normal"/>
              <w:rPr/>
            </w:pPr>
            <w:r>
              <w:rPr/>
            </w:r>
          </w:p>
        </w:tc>
      </w:tr>
      <w:tr>
        <w:trPr/>
        <w:tc>
          <w:tcPr>
            <w:tcW w:w="144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более 20 см)</w:t>
            </w:r>
          </w:p>
          <w:p>
            <w:pPr>
              <w:pStyle w:val="Normal"/>
              <w:rPr/>
            </w:pPr>
            <w:r>
              <w:rPr/>
            </w:r>
          </w:p>
        </w:tc>
        <w:tc>
          <w:tcPr>
            <w:tcW w:w="154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III </w:t>
            </w:r>
          </w:p>
          <w:p>
            <w:pPr>
              <w:pStyle w:val="Normal"/>
              <w:rPr/>
            </w:pPr>
            <w:r>
              <w:rPr/>
            </w:r>
          </w:p>
        </w:tc>
        <w:tc>
          <w:tcPr>
            <w:tcW w:w="145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Застроенная </w:t>
            </w:r>
          </w:p>
          <w:p>
            <w:pPr>
              <w:pStyle w:val="Normal"/>
              <w:rPr/>
            </w:pPr>
            <w:r>
              <w:rPr/>
            </w:r>
          </w:p>
          <w:p>
            <w:pPr>
              <w:pStyle w:val="Normal"/>
              <w:rPr/>
            </w:pPr>
            <w:r>
              <w:rPr/>
              <w:t xml:space="preserve">Незастроенная </w:t>
            </w:r>
          </w:p>
          <w:p>
            <w:pPr>
              <w:pStyle w:val="Normal"/>
              <w:rPr/>
            </w:pPr>
            <w:r>
              <w:rPr/>
            </w:r>
          </w:p>
        </w:tc>
        <w:tc>
          <w:tcPr>
            <w:tcW w:w="297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Уплотнение грунта и устройство поддона </w:t>
            </w:r>
          </w:p>
          <w:p>
            <w:pPr>
              <w:pStyle w:val="Normal"/>
              <w:rPr/>
            </w:pPr>
            <w:r>
              <w:rPr/>
              <w:t xml:space="preserve">Уплотнение грунта </w:t>
            </w:r>
          </w:p>
          <w:p>
            <w:pPr>
              <w:pStyle w:val="Normal"/>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Примечания: 1. Незастроенная территория - территория, на которой в ближайшие 15 лет не предусматривается строительство населенных пунктов и объектов народного хозяйства.</w:t>
      </w:r>
    </w:p>
    <w:p>
      <w:pPr>
        <w:pStyle w:val="Normal"/>
        <w:ind w:firstLine="225"/>
        <w:jc w:val="both"/>
        <w:rPr/>
      </w:pPr>
      <w:r>
        <w:rPr/>
      </w:r>
    </w:p>
    <w:p>
      <w:pPr>
        <w:pStyle w:val="Normal"/>
        <w:ind w:firstLine="225"/>
        <w:jc w:val="both"/>
        <w:rPr/>
      </w:pPr>
      <w:r>
        <w:rPr/>
        <w:t>2. Уплотнение грунта - трамбование грунта основания на глубину 0,3 м до плотности сухого грунта не менее 1,65 тс/куб.м на нижней границе уплотненного слоя.</w:t>
      </w:r>
    </w:p>
    <w:p>
      <w:pPr>
        <w:pStyle w:val="Normal"/>
        <w:ind w:firstLine="225"/>
        <w:jc w:val="both"/>
        <w:rPr/>
      </w:pPr>
      <w:r>
        <w:rPr/>
      </w:r>
    </w:p>
    <w:p>
      <w:pPr>
        <w:pStyle w:val="Normal"/>
        <w:ind w:firstLine="225"/>
        <w:jc w:val="both"/>
        <w:rPr/>
      </w:pPr>
      <w:r>
        <w:rPr/>
        <w:t>3. Поддон - водонепроницаемая конструкция с бортами высотой 0,1-0,15 м, на которую укладывается дренажный слой толщиной 0,1 м.</w:t>
      </w:r>
    </w:p>
    <w:p>
      <w:pPr>
        <w:pStyle w:val="Normal"/>
        <w:ind w:firstLine="225"/>
        <w:jc w:val="both"/>
        <w:rPr/>
      </w:pPr>
      <w:r>
        <w:rPr/>
      </w:r>
    </w:p>
    <w:p>
      <w:pPr>
        <w:pStyle w:val="Normal"/>
        <w:ind w:firstLine="225"/>
        <w:jc w:val="both"/>
        <w:rPr/>
      </w:pPr>
      <w:r>
        <w:rPr/>
        <w:t>4. Требования к основаниям под трубопроводы следует уточнять в зависимости от класса ответственности зданий и сооружений, расположенных вблизи трубопровода.</w:t>
      </w:r>
    </w:p>
    <w:p>
      <w:pPr>
        <w:pStyle w:val="Normal"/>
        <w:ind w:firstLine="225"/>
        <w:jc w:val="both"/>
        <w:rPr/>
      </w:pPr>
      <w:r>
        <w:rPr/>
      </w:r>
    </w:p>
    <w:p>
      <w:pPr>
        <w:pStyle w:val="Normal"/>
        <w:ind w:firstLine="225"/>
        <w:jc w:val="both"/>
        <w:rPr/>
      </w:pPr>
      <w:r>
        <w:rPr/>
        <w:t>5. Для углубления траншей под стыковые соединения трубопроводов следует применять трамбование грунта.</w:t>
      </w:r>
    </w:p>
    <w:p>
      <w:pPr>
        <w:pStyle w:val="Normal"/>
        <w:ind w:firstLine="225"/>
        <w:jc w:val="both"/>
        <w:rPr/>
      </w:pPr>
      <w:r>
        <w:rPr/>
      </w:r>
    </w:p>
    <w:p>
      <w:pPr>
        <w:pStyle w:val="Normal"/>
        <w:ind w:firstLine="225"/>
        <w:jc w:val="both"/>
        <w:rPr/>
      </w:pPr>
      <w:r>
        <w:rPr/>
        <w:t xml:space="preserve">6. На территории населенных пунктов в системах водоснабжения I и II категорий прокладка трубопроводов в каналах и тоннелях должна приниматься только в случаях, когда расстояние в свету между наружной поверхностью труб и фундаментами зданий менее длины каналов на вводах водопровода в здания по </w:t>
      </w:r>
      <w:r>
        <w:rPr>
          <w:vanish/>
        </w:rPr>
        <w:t>#M12293 0 5200243 3704477087 78 23944 2465715557 2685059051 3363248087 4294967268 584910322</w:t>
      </w:r>
      <w:r>
        <w:rPr/>
        <w:t>СНиП 2.04.01-85</w:t>
      </w:r>
      <w:r>
        <w:rPr>
          <w:vanish/>
        </w:rPr>
        <w:t>#S</w:t>
      </w:r>
      <w:r>
        <w:rPr/>
        <w:t>.</w:t>
      </w:r>
    </w:p>
    <w:p>
      <w:pPr>
        <w:pStyle w:val="Normal"/>
        <w:ind w:firstLine="225"/>
        <w:jc w:val="both"/>
        <w:rPr/>
      </w:pPr>
      <w:r>
        <w:rPr/>
      </w:r>
    </w:p>
    <w:p>
      <w:pPr>
        <w:pStyle w:val="Normal"/>
        <w:ind w:firstLine="180"/>
        <w:jc w:val="both"/>
        <w:rPr/>
      </w:pPr>
      <w:r>
        <w:rPr/>
      </w:r>
    </w:p>
    <w:p>
      <w:pPr>
        <w:pStyle w:val="Normal"/>
        <w:ind w:firstLine="315"/>
        <w:jc w:val="both"/>
        <w:rPr/>
      </w:pPr>
      <w:r>
        <w:rPr/>
        <w:t xml:space="preserve">15.112*. При траншейной прокладке водопроводных сетей в грунтовых условиях I типа по просадочности расстояние по горизонтали (в свету) от сетей до фундаментов зданий и сооружений должно быть не менее 5 м, в грунтовых условиях II типа по просадочности - согласно табл. 48. </w:t>
      </w:r>
    </w:p>
    <w:p>
      <w:pPr>
        <w:pStyle w:val="Normal"/>
        <w:ind w:firstLine="315"/>
        <w:jc w:val="both"/>
        <w:rPr/>
      </w:pPr>
      <w:r>
        <w:rPr/>
      </w:r>
    </w:p>
    <w:p>
      <w:pPr>
        <w:pStyle w:val="Normal"/>
        <w:jc w:val="end"/>
        <w:rPr/>
      </w:pPr>
      <w:r>
        <w:rPr/>
        <w:t xml:space="preserve">Таблица 48 </w:t>
      </w:r>
    </w:p>
    <w:p>
      <w:pPr>
        <w:pStyle w:val="Normal"/>
        <w:ind w:firstLine="270"/>
        <w:jc w:val="both"/>
        <w:rPr/>
      </w:pPr>
      <w:r>
        <w:rPr/>
      </w:r>
    </w:p>
    <w:p>
      <w:pPr>
        <w:pStyle w:val="Normal"/>
        <w:ind w:firstLine="270"/>
        <w:jc w:val="both"/>
        <w:rPr/>
      </w:pPr>
      <w:r>
        <w:rPr/>
      </w:r>
    </w:p>
    <w:tbl>
      <w:tblPr>
        <w:tblW w:w="6305"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1575"/>
        <w:gridCol w:w="1575"/>
        <w:gridCol w:w="1575"/>
        <w:gridCol w:w="1565"/>
        <w:gridCol w:w="15"/>
      </w:tblGrid>
      <w:tr>
        <w:trPr/>
        <w:tc>
          <w:tcPr>
            <w:tcW w:w="1575" w:type="dxa"/>
            <w:tcBorders>
              <w:top w:val="single" w:sz="2" w:space="0" w:color="000000"/>
              <w:start w:val="single" w:sz="2" w:space="0" w:color="000000"/>
            </w:tcBorders>
            <w:shd w:fill="auto" w:val="clear"/>
            <w:tcMar>
              <w:start w:w="42" w:type="dxa"/>
            </w:tcMar>
          </w:tcPr>
          <w:p>
            <w:pPr>
              <w:pStyle w:val="Normal"/>
              <w:jc w:val="center"/>
              <w:rPr/>
            </w:pPr>
            <w:r>
              <w:rPr>
                <w:vanish/>
              </w:rPr>
              <w:t>#G0</w:t>
            </w:r>
            <w:r>
              <w:rPr/>
              <w:t xml:space="preserve">Толщина слоя просадочного грунта, м </w:t>
            </w:r>
          </w:p>
          <w:p>
            <w:pPr>
              <w:pStyle w:val="Normal"/>
              <w:jc w:val="center"/>
              <w:rPr/>
            </w:pPr>
            <w:r>
              <w:rPr/>
            </w:r>
          </w:p>
        </w:tc>
        <w:tc>
          <w:tcPr>
            <w:tcW w:w="4715" w:type="dxa"/>
            <w:gridSpan w:val="3"/>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Минимальные расстояния (в свету), м, от сетей до фундаментов зданий и сооружений в грунтовых условиях II типа по просадочности при диаметре труб, мм </w:t>
            </w:r>
          </w:p>
          <w:p>
            <w:pPr>
              <w:pStyle w:val="Normal"/>
              <w:rPr/>
            </w:pPr>
            <w:r>
              <w:rPr/>
            </w:r>
          </w:p>
        </w:tc>
      </w:tr>
      <w:tr>
        <w:trPr/>
        <w:tc>
          <w:tcPr>
            <w:tcW w:w="15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p>
          <w:p>
            <w:pPr>
              <w:pStyle w:val="Normal"/>
              <w:rPr/>
            </w:pPr>
            <w:r>
              <w:rPr/>
            </w:r>
          </w:p>
        </w:tc>
        <w:tc>
          <w:tcPr>
            <w:tcW w:w="15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до 100 </w:t>
            </w:r>
          </w:p>
          <w:p>
            <w:pPr>
              <w:pStyle w:val="Normal"/>
              <w:jc w:val="center"/>
              <w:rPr/>
            </w:pPr>
            <w:r>
              <w:rPr/>
            </w:r>
          </w:p>
        </w:tc>
        <w:tc>
          <w:tcPr>
            <w:tcW w:w="15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св. 100 до 300 </w:t>
            </w:r>
          </w:p>
          <w:p>
            <w:pPr>
              <w:pStyle w:val="Normal"/>
              <w:rPr/>
            </w:pPr>
            <w:r>
              <w:rPr/>
            </w:r>
          </w:p>
        </w:tc>
        <w:tc>
          <w:tcPr>
            <w:tcW w:w="15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св. 300 </w:t>
            </w:r>
          </w:p>
          <w:p>
            <w:pPr>
              <w:pStyle w:val="Normal"/>
              <w:rPr/>
            </w:pPr>
            <w:r>
              <w:rPr/>
            </w:r>
          </w:p>
        </w:tc>
      </w:tr>
      <w:tr>
        <w:trPr/>
        <w:tc>
          <w:tcPr>
            <w:tcW w:w="1575" w:type="dxa"/>
            <w:tcBorders>
              <w:top w:val="single" w:sz="2" w:space="0" w:color="000000"/>
              <w:start w:val="single" w:sz="2" w:space="0" w:color="000000"/>
            </w:tcBorders>
            <w:shd w:fill="auto" w:val="clear"/>
            <w:tcMar>
              <w:start w:w="42" w:type="dxa"/>
            </w:tcMar>
          </w:tcPr>
          <w:p>
            <w:pPr>
              <w:pStyle w:val="Normal"/>
              <w:jc w:val="both"/>
              <w:rPr/>
            </w:pPr>
            <w:r>
              <w:rPr/>
              <w:t xml:space="preserve">До 5 </w:t>
            </w:r>
          </w:p>
          <w:p>
            <w:pPr>
              <w:pStyle w:val="Normal"/>
              <w:jc w:val="both"/>
              <w:rPr/>
            </w:pPr>
            <w:r>
              <w:rPr/>
            </w:r>
          </w:p>
        </w:tc>
        <w:tc>
          <w:tcPr>
            <w:tcW w:w="4715" w:type="dxa"/>
            <w:gridSpan w:val="3"/>
            <w:tcBorders>
              <w:top w:val="single" w:sz="2" w:space="0" w:color="000000"/>
              <w:start w:val="single" w:sz="2" w:space="0" w:color="000000"/>
              <w:end w:val="single" w:sz="2" w:space="0" w:color="000000"/>
              <w:insideV w:val="single" w:sz="2" w:space="0" w:color="000000"/>
            </w:tcBorders>
            <w:shd w:fill="auto" w:val="clear"/>
            <w:tcMar>
              <w:start w:w="42" w:type="dxa"/>
            </w:tcMar>
          </w:tcPr>
          <w:p>
            <w:pPr>
              <w:pStyle w:val="Normal"/>
              <w:jc w:val="center"/>
              <w:rPr/>
            </w:pPr>
            <w:r>
              <w:rPr/>
              <w:t xml:space="preserve">Без учета просадочности </w:t>
            </w:r>
          </w:p>
          <w:p>
            <w:pPr>
              <w:pStyle w:val="Normal"/>
              <w:jc w:val="center"/>
              <w:rPr/>
            </w:pPr>
            <w:r>
              <w:rPr/>
            </w:r>
          </w:p>
        </w:tc>
      </w:tr>
      <w:tr>
        <w:trPr/>
        <w:tc>
          <w:tcPr>
            <w:tcW w:w="1575" w:type="dxa"/>
            <w:tcBorders>
              <w:start w:val="single" w:sz="2" w:space="0" w:color="000000"/>
            </w:tcBorders>
            <w:shd w:fill="auto" w:val="clear"/>
            <w:tcMar>
              <w:start w:w="42" w:type="dxa"/>
            </w:tcMar>
          </w:tcPr>
          <w:p>
            <w:pPr>
              <w:pStyle w:val="Normal"/>
              <w:jc w:val="both"/>
              <w:rPr/>
            </w:pPr>
            <w:r>
              <w:rPr/>
              <w:t xml:space="preserve">Св. 5 до 12 </w:t>
            </w:r>
          </w:p>
          <w:p>
            <w:pPr>
              <w:pStyle w:val="Normal"/>
              <w:jc w:val="both"/>
              <w:rPr/>
            </w:pPr>
            <w:r>
              <w:rPr/>
            </w:r>
          </w:p>
        </w:tc>
        <w:tc>
          <w:tcPr>
            <w:tcW w:w="1575" w:type="dxa"/>
            <w:tcBorders>
              <w:start w:val="single" w:sz="2" w:space="0" w:color="000000"/>
            </w:tcBorders>
            <w:shd w:fill="auto" w:val="clear"/>
            <w:tcMar>
              <w:start w:w="42" w:type="dxa"/>
            </w:tcMar>
          </w:tcPr>
          <w:p>
            <w:pPr>
              <w:pStyle w:val="Normal"/>
              <w:jc w:val="center"/>
              <w:rPr/>
            </w:pPr>
            <w:r>
              <w:rPr/>
              <w:t xml:space="preserve">5 </w:t>
            </w:r>
          </w:p>
          <w:p>
            <w:pPr>
              <w:pStyle w:val="Normal"/>
              <w:jc w:val="center"/>
              <w:rPr/>
            </w:pPr>
            <w:r>
              <w:rPr/>
            </w:r>
          </w:p>
        </w:tc>
        <w:tc>
          <w:tcPr>
            <w:tcW w:w="1575" w:type="dxa"/>
            <w:tcBorders>
              <w:start w:val="single" w:sz="2" w:space="0" w:color="000000"/>
            </w:tcBorders>
            <w:shd w:fill="auto" w:val="clear"/>
            <w:tcMar>
              <w:start w:w="42" w:type="dxa"/>
            </w:tcMar>
          </w:tcPr>
          <w:p>
            <w:pPr>
              <w:pStyle w:val="Normal"/>
              <w:rPr/>
            </w:pPr>
            <w:r>
              <w:rPr/>
              <w:t xml:space="preserve">7,5 </w:t>
            </w:r>
          </w:p>
          <w:p>
            <w:pPr>
              <w:pStyle w:val="Normal"/>
              <w:rPr/>
            </w:pPr>
            <w:r>
              <w:rPr/>
            </w:r>
          </w:p>
        </w:tc>
        <w:tc>
          <w:tcPr>
            <w:tcW w:w="158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10 </w:t>
            </w:r>
          </w:p>
          <w:p>
            <w:pPr>
              <w:pStyle w:val="Normal"/>
              <w:rPr/>
            </w:pPr>
            <w:r>
              <w:rPr/>
            </w:r>
          </w:p>
        </w:tc>
      </w:tr>
      <w:tr>
        <w:trPr/>
        <w:tc>
          <w:tcPr>
            <w:tcW w:w="1575" w:type="dxa"/>
            <w:tcBorders>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Св. 12 </w:t>
            </w:r>
          </w:p>
          <w:p>
            <w:pPr>
              <w:pStyle w:val="Normal"/>
              <w:jc w:val="both"/>
              <w:rPr/>
            </w:pPr>
            <w:r>
              <w:rPr/>
            </w:r>
          </w:p>
        </w:tc>
        <w:tc>
          <w:tcPr>
            <w:tcW w:w="1575"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7,5 </w:t>
            </w:r>
          </w:p>
          <w:p>
            <w:pPr>
              <w:pStyle w:val="Normal"/>
              <w:jc w:val="center"/>
              <w:rPr/>
            </w:pPr>
            <w:r>
              <w:rPr/>
            </w:r>
          </w:p>
        </w:tc>
        <w:tc>
          <w:tcPr>
            <w:tcW w:w="15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10 </w:t>
            </w:r>
          </w:p>
          <w:p>
            <w:pPr>
              <w:pStyle w:val="Normal"/>
              <w:rPr/>
            </w:pPr>
            <w:r>
              <w:rPr/>
            </w:r>
          </w:p>
        </w:tc>
        <w:tc>
          <w:tcPr>
            <w:tcW w:w="158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15 </w:t>
            </w:r>
          </w:p>
          <w:p>
            <w:pPr>
              <w:pStyle w:val="Normal"/>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Примечания: 1. При возведении зданий и сооружений в грунтовых условиях II типа, просадочные свойства которых полностью устранены, расстояния от сетей до фундаментов зданий и сооружений надлежит принимать без учета просадочности.</w:t>
      </w:r>
    </w:p>
    <w:p>
      <w:pPr>
        <w:pStyle w:val="Normal"/>
        <w:ind w:firstLine="225"/>
        <w:jc w:val="both"/>
        <w:rPr/>
      </w:pPr>
      <w:r>
        <w:rPr/>
      </w:r>
    </w:p>
    <w:p>
      <w:pPr>
        <w:pStyle w:val="Normal"/>
        <w:ind w:firstLine="225"/>
        <w:jc w:val="both"/>
        <w:rPr/>
      </w:pPr>
      <w:r>
        <w:rPr/>
        <w:t>2. При прокладке водопроводных линий, работающих при давлении свыше 0,6 МПа (6 кгс/кв.см), указанные расстояния следует увеличивать на 30 %.</w:t>
      </w:r>
    </w:p>
    <w:p>
      <w:pPr>
        <w:pStyle w:val="Normal"/>
        <w:ind w:firstLine="225"/>
        <w:jc w:val="both"/>
        <w:rPr/>
      </w:pPr>
      <w:r>
        <w:rPr/>
      </w:r>
    </w:p>
    <w:p>
      <w:pPr>
        <w:pStyle w:val="Normal"/>
        <w:ind w:firstLine="225"/>
        <w:jc w:val="both"/>
        <w:rPr/>
      </w:pPr>
      <w:r>
        <w:rPr/>
        <w:t>3. При невозможности соблюдения указанных в табл. 48 расстояний прокладка трубопроводов должна предусматриваться в водонепроницаемых каналах, тоннелях или на поддонах с обязательным устройством выпусков аварийных вод в контрольные колодцы.</w:t>
      </w:r>
    </w:p>
    <w:p>
      <w:pPr>
        <w:pStyle w:val="Normal"/>
        <w:ind w:firstLine="225"/>
        <w:jc w:val="both"/>
        <w:rPr/>
      </w:pPr>
      <w:r>
        <w:rPr/>
      </w:r>
    </w:p>
    <w:p>
      <w:pPr>
        <w:pStyle w:val="Normal"/>
        <w:ind w:firstLine="225"/>
        <w:jc w:val="both"/>
        <w:rPr/>
      </w:pPr>
      <w:r>
        <w:rPr/>
      </w:r>
    </w:p>
    <w:p>
      <w:pPr>
        <w:pStyle w:val="Normal"/>
        <w:ind w:firstLine="225"/>
        <w:jc w:val="both"/>
        <w:rPr/>
      </w:pPr>
      <w:r>
        <w:rPr/>
        <w:t>При невозможности соблюдения этих расстояний, а также на вводах водопровода в здания и сооружения прокладка трубопроводов должна предусматриваться в грунтовых условиях I категории по просадочности на водонепроницаемых поддонах, II категории - в каналах или тоннелях.</w:t>
      </w:r>
    </w:p>
    <w:p>
      <w:pPr>
        <w:pStyle w:val="Normal"/>
        <w:ind w:firstLine="225"/>
        <w:jc w:val="both"/>
        <w:rPr/>
      </w:pPr>
      <w:r>
        <w:rPr/>
      </w:r>
    </w:p>
    <w:p>
      <w:pPr>
        <w:pStyle w:val="Normal"/>
        <w:ind w:firstLine="225"/>
        <w:jc w:val="both"/>
        <w:rPr/>
      </w:pPr>
      <w:r>
        <w:rPr/>
        <w:t>15.113. На водоводах и водопроводных сетях перед фланцевой арматурой следует предусматривать установку в колодцах, каналах и тоннелях подвижных стыковых соединений.</w:t>
      </w:r>
    </w:p>
    <w:p>
      <w:pPr>
        <w:pStyle w:val="Normal"/>
        <w:ind w:firstLine="225"/>
        <w:jc w:val="both"/>
        <w:rPr/>
      </w:pPr>
      <w:r>
        <w:rPr/>
      </w:r>
    </w:p>
    <w:p>
      <w:pPr>
        <w:pStyle w:val="Normal"/>
        <w:ind w:firstLine="225"/>
        <w:jc w:val="both"/>
        <w:rPr/>
      </w:pPr>
      <w:r>
        <w:rPr/>
        <w:t>15.114. Колодцы на сетях водопровода надлежит проектировать в грунтовых условиях I типа по просадочности с уплотнением грунта в основании на глубину 0,3 м, в грунтовых условиях II типа -  с уплотнением грунта на глубину 1 м и устройством водонепроницаемых днища и стен колодца ниже трубопровода.</w:t>
      </w:r>
    </w:p>
    <w:p>
      <w:pPr>
        <w:pStyle w:val="Normal"/>
        <w:ind w:firstLine="225"/>
        <w:jc w:val="both"/>
        <w:rPr/>
      </w:pPr>
      <w:r>
        <w:rPr/>
      </w:r>
    </w:p>
    <w:p>
      <w:pPr>
        <w:pStyle w:val="Normal"/>
        <w:ind w:firstLine="225"/>
        <w:jc w:val="both"/>
        <w:rPr/>
      </w:pPr>
      <w:r>
        <w:rPr/>
        <w:t>Поверхность земли вокруг люков колодцев на 0,3 м шире пазух должна быть спланирована с уклоном 0,03 от колодца.</w:t>
      </w:r>
    </w:p>
    <w:p>
      <w:pPr>
        <w:pStyle w:val="Normal"/>
        <w:ind w:firstLine="225"/>
        <w:jc w:val="both"/>
        <w:rPr/>
      </w:pPr>
      <w:r>
        <w:rPr/>
      </w:r>
    </w:p>
    <w:p>
      <w:pPr>
        <w:pStyle w:val="Normal"/>
        <w:ind w:firstLine="225"/>
        <w:jc w:val="both"/>
        <w:rPr/>
      </w:pPr>
      <w:r>
        <w:rPr/>
        <w:t>15.115. Водозаборные колонки надлежит размещать на пониженных участках на расстоянии не менее 20 м от зданий и сооружений.</w:t>
      </w:r>
    </w:p>
    <w:p>
      <w:pPr>
        <w:pStyle w:val="Normal"/>
        <w:ind w:firstLine="225"/>
        <w:jc w:val="both"/>
        <w:rPr/>
      </w:pPr>
      <w:r>
        <w:rPr/>
      </w:r>
    </w:p>
    <w:p>
      <w:pPr>
        <w:pStyle w:val="Normal"/>
        <w:ind w:firstLine="225"/>
        <w:jc w:val="both"/>
        <w:rPr/>
      </w:pPr>
      <w:r>
        <w:rPr/>
        <w:t>15.116. Нижняя часть контрольных колодцев должна быть водонепроницаемой.</w:t>
      </w:r>
    </w:p>
    <w:p>
      <w:pPr>
        <w:pStyle w:val="Normal"/>
        <w:ind w:firstLine="225"/>
        <w:jc w:val="both"/>
        <w:rPr/>
      </w:pPr>
      <w:r>
        <w:rPr/>
      </w:r>
    </w:p>
    <w:p>
      <w:pPr>
        <w:pStyle w:val="Normal"/>
        <w:ind w:firstLine="225"/>
        <w:jc w:val="both"/>
        <w:rPr/>
      </w:pPr>
      <w:r>
        <w:rPr/>
        <w:t>Отвод воды из контрольных колодцев следует предусматривать согласно п. 8.15. При отсутствии отвода воды объем и заглубление нижней части колодца должны обеспечивать необходимость ее опорожнения не чаще одного раза в сутки.</w:t>
      </w:r>
    </w:p>
    <w:p>
      <w:pPr>
        <w:pStyle w:val="Normal"/>
        <w:ind w:firstLine="225"/>
        <w:jc w:val="both"/>
        <w:rPr/>
      </w:pPr>
      <w:r>
        <w:rPr/>
      </w:r>
    </w:p>
    <w:p>
      <w:pPr>
        <w:pStyle w:val="Normal"/>
        <w:ind w:firstLine="225"/>
        <w:jc w:val="both"/>
        <w:rPr/>
      </w:pPr>
      <w:r>
        <w:rPr/>
        <w:t>При необходимости контрольные колодцы должны быть оборудованы водоизмерительным устройством или автоматической сигнализацией уровня воды с подачей сигнала на диспетчерский пункт.</w:t>
      </w:r>
    </w:p>
    <w:p>
      <w:pPr>
        <w:pStyle w:val="Normal"/>
        <w:ind w:firstLine="225"/>
        <w:jc w:val="both"/>
        <w:rPr/>
      </w:pPr>
      <w:r>
        <w:rPr/>
      </w:r>
    </w:p>
    <w:p>
      <w:pPr>
        <w:pStyle w:val="Normal"/>
        <w:ind w:firstLine="225"/>
        <w:jc w:val="both"/>
        <w:rPr/>
      </w:pPr>
      <w:r>
        <w:rPr/>
      </w:r>
    </w:p>
    <w:p>
      <w:pPr>
        <w:pStyle w:val="Heading"/>
        <w:jc w:val="center"/>
        <w:rPr/>
      </w:pPr>
      <w:r>
        <w:rPr/>
        <w:t xml:space="preserve">Строительные конструкции </w:t>
      </w:r>
    </w:p>
    <w:p>
      <w:pPr>
        <w:pStyle w:val="Normal"/>
        <w:ind w:firstLine="270"/>
        <w:jc w:val="both"/>
        <w:rPr/>
      </w:pPr>
      <w:r>
        <w:rPr/>
      </w:r>
    </w:p>
    <w:p>
      <w:pPr>
        <w:pStyle w:val="Normal"/>
        <w:ind w:firstLine="270"/>
        <w:jc w:val="both"/>
        <w:rPr/>
      </w:pPr>
      <w:r>
        <w:rPr/>
      </w:r>
    </w:p>
    <w:p>
      <w:pPr>
        <w:pStyle w:val="Normal"/>
        <w:ind w:firstLine="225"/>
        <w:jc w:val="both"/>
        <w:rPr/>
      </w:pPr>
      <w:r>
        <w:rPr/>
        <w:t>15.117. При грунтовых условиях I типа по просадочности основание под емкостными сооружениями следует принимать:</w:t>
      </w:r>
    </w:p>
    <w:p>
      <w:pPr>
        <w:pStyle w:val="Normal"/>
        <w:ind w:firstLine="225"/>
        <w:jc w:val="both"/>
        <w:rPr/>
      </w:pPr>
      <w:r>
        <w:rPr/>
      </w:r>
    </w:p>
    <w:p>
      <w:pPr>
        <w:pStyle w:val="Normal"/>
        <w:ind w:firstLine="225"/>
        <w:jc w:val="both"/>
        <w:rPr/>
      </w:pPr>
      <w:r>
        <w:rPr/>
        <w:t xml:space="preserve">а) естественное, если в пределах слоя просадочного грунта суммарное давление от сооружения    </w:t>
      </w:r>
    </w:p>
    <w:tbl>
      <w:tblPr>
        <w:tblW w:w="8310" w:type="dxa"/>
        <w:jc w:val="start"/>
        <w:tblInd w:w="15" w:type="dxa"/>
        <w:tblBorders/>
        <w:tblCellMar>
          <w:top w:w="0" w:type="dxa"/>
          <w:start w:w="15" w:type="dxa"/>
          <w:bottom w:w="0" w:type="dxa"/>
          <w:end w:w="15" w:type="dxa"/>
        </w:tblCellMar>
      </w:tblPr>
      <w:tblGrid>
        <w:gridCol w:w="675"/>
        <w:gridCol w:w="525"/>
        <w:gridCol w:w="2010"/>
        <w:gridCol w:w="15"/>
        <w:gridCol w:w="660"/>
        <w:gridCol w:w="630"/>
        <w:gridCol w:w="1725"/>
        <w:gridCol w:w="600"/>
        <w:gridCol w:w="30"/>
        <w:gridCol w:w="180"/>
        <w:gridCol w:w="960"/>
        <w:gridCol w:w="75"/>
        <w:gridCol w:w="210"/>
        <w:gridCol w:w="15"/>
      </w:tblGrid>
      <w:tr>
        <w:trPr/>
        <w:tc>
          <w:tcPr>
            <w:tcW w:w="675" w:type="dxa"/>
            <w:tcBorders/>
            <w:shd w:fill="auto" w:val="clear"/>
          </w:tcPr>
          <w:p>
            <w:pPr>
              <w:pStyle w:val="Normal"/>
              <w:rPr/>
            </w:pPr>
            <w:r>
              <w:rPr>
                <w:vanish/>
              </w:rPr>
              <w:t>#G0</w:t>
            </w:r>
            <w:r>
              <w:rPr/>
              <w:t xml:space="preserve">  </w:t>
            </w:r>
          </w:p>
          <w:p>
            <w:pPr>
              <w:pStyle w:val="Normal"/>
              <w:rPr/>
            </w:pPr>
            <w:r>
              <w:rPr/>
              <w:drawing>
                <wp:inline distT="0" distB="0" distL="0" distR="0">
                  <wp:extent cx="345440" cy="299720"/>
                  <wp:effectExtent l="0" t="0" r="0" b="0"/>
                  <wp:docPr id="182" name="Изображение1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Изображение182" descr="" title=""/>
                          <pic:cNvPicPr>
                            <a:picLocks noChangeAspect="1" noChangeArrowheads="1"/>
                          </pic:cNvPicPr>
                        </pic:nvPicPr>
                        <pic:blipFill>
                          <a:blip r:embed="rId183"/>
                          <a:stretch>
                            <a:fillRect/>
                          </a:stretch>
                        </pic:blipFill>
                        <pic:spPr bwMode="auto">
                          <a:xfrm>
                            <a:off x="0" y="0"/>
                            <a:ext cx="345440" cy="299720"/>
                          </a:xfrm>
                          <a:prstGeom prst="rect">
                            <a:avLst/>
                          </a:prstGeom>
                        </pic:spPr>
                      </pic:pic>
                    </a:graphicData>
                  </a:graphic>
                </wp:inline>
              </w:drawing>
            </w:r>
          </w:p>
        </w:tc>
        <w:tc>
          <w:tcPr>
            <w:tcW w:w="2550" w:type="dxa"/>
            <w:gridSpan w:val="3"/>
            <w:tcBorders/>
            <w:shd w:fill="auto" w:val="clear"/>
          </w:tcPr>
          <w:p>
            <w:pPr>
              <w:pStyle w:val="Normal"/>
              <w:snapToGrid w:val="false"/>
              <w:rPr/>
            </w:pPr>
            <w:r>
              <w:rPr/>
            </w:r>
          </w:p>
          <w:p>
            <w:pPr>
              <w:pStyle w:val="Normal"/>
              <w:rPr/>
            </w:pPr>
            <w:r>
              <w:rPr/>
              <w:t xml:space="preserve"> </w:t>
            </w:r>
            <w:r>
              <w:rPr/>
              <w:t xml:space="preserve">и собственной массы грунта </w:t>
            </w:r>
          </w:p>
          <w:p>
            <w:pPr>
              <w:pStyle w:val="Normal"/>
              <w:rPr/>
            </w:pPr>
            <w:r>
              <w:rPr/>
            </w:r>
          </w:p>
        </w:tc>
        <w:tc>
          <w:tcPr>
            <w:tcW w:w="660" w:type="dxa"/>
            <w:tcBorders/>
            <w:shd w:fill="auto" w:val="clear"/>
          </w:tcPr>
          <w:p>
            <w:pPr>
              <w:pStyle w:val="Normal"/>
              <w:rPr/>
            </w:pPr>
            <w:r>
              <w:rPr/>
              <w:t xml:space="preserve"> </w:t>
            </w:r>
          </w:p>
          <w:p>
            <w:pPr>
              <w:pStyle w:val="Normal"/>
              <w:rPr/>
            </w:pPr>
            <w:r>
              <w:rPr/>
              <w:drawing>
                <wp:inline distT="0" distB="0" distL="0" distR="0">
                  <wp:extent cx="207645" cy="207645"/>
                  <wp:effectExtent l="0" t="0" r="0" b="0"/>
                  <wp:docPr id="183" name="Изображение1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Изображение183" descr="" title=""/>
                          <pic:cNvPicPr>
                            <a:picLocks noChangeAspect="1" noChangeArrowheads="1"/>
                          </pic:cNvPicPr>
                        </pic:nvPicPr>
                        <pic:blipFill>
                          <a:blip r:embed="rId184"/>
                          <a:stretch>
                            <a:fillRect/>
                          </a:stretch>
                        </pic:blipFill>
                        <pic:spPr bwMode="auto">
                          <a:xfrm>
                            <a:off x="0" y="0"/>
                            <a:ext cx="207645" cy="207645"/>
                          </a:xfrm>
                          <a:prstGeom prst="rect">
                            <a:avLst/>
                          </a:prstGeom>
                        </pic:spPr>
                      </pic:pic>
                    </a:graphicData>
                  </a:graphic>
                </wp:inline>
              </w:drawing>
            </w:r>
          </w:p>
        </w:tc>
        <w:tc>
          <w:tcPr>
            <w:tcW w:w="4410" w:type="dxa"/>
            <w:gridSpan w:val="8"/>
            <w:tcBorders/>
            <w:shd w:fill="auto" w:val="clear"/>
          </w:tcPr>
          <w:p>
            <w:pPr>
              <w:pStyle w:val="Normal"/>
              <w:rPr/>
            </w:pPr>
            <w:r>
              <w:rPr/>
              <w:t xml:space="preserve">  </w:t>
            </w:r>
          </w:p>
          <w:p>
            <w:pPr>
              <w:pStyle w:val="Normal"/>
              <w:ind w:firstLine="45"/>
              <w:jc w:val="both"/>
              <w:rPr/>
            </w:pPr>
            <w:r>
              <w:rPr/>
              <w:t xml:space="preserve">меньше или равно начальному просадочному </w:t>
            </w:r>
          </w:p>
          <w:p>
            <w:pPr>
              <w:pStyle w:val="Normal"/>
              <w:ind w:firstLine="45"/>
              <w:jc w:val="both"/>
              <w:rPr/>
            </w:pPr>
            <w:r>
              <w:rPr/>
            </w:r>
          </w:p>
        </w:tc>
      </w:tr>
      <w:tr>
        <w:trPr/>
        <w:tc>
          <w:tcPr>
            <w:tcW w:w="675" w:type="dxa"/>
            <w:tcBorders/>
            <w:shd w:fill="auto" w:val="clear"/>
          </w:tcPr>
          <w:p>
            <w:pPr>
              <w:pStyle w:val="Normal"/>
              <w:rPr/>
            </w:pPr>
            <w:r>
              <w:rPr/>
              <w:t xml:space="preserve">  </w:t>
            </w:r>
          </w:p>
          <w:p>
            <w:pPr>
              <w:pStyle w:val="Normal"/>
              <w:rPr/>
            </w:pPr>
            <w:r>
              <w:rPr/>
              <w:drawing>
                <wp:inline distT="0" distB="0" distL="0" distR="0">
                  <wp:extent cx="230505" cy="184150"/>
                  <wp:effectExtent l="0" t="0" r="0" b="0"/>
                  <wp:docPr id="184" name="Изображение1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Изображение184" descr="" title=""/>
                          <pic:cNvPicPr>
                            <a:picLocks noChangeAspect="1" noChangeArrowheads="1"/>
                          </pic:cNvPicPr>
                        </pic:nvPicPr>
                        <pic:blipFill>
                          <a:blip r:embed="rId185"/>
                          <a:stretch>
                            <a:fillRect/>
                          </a:stretch>
                        </pic:blipFill>
                        <pic:spPr bwMode="auto">
                          <a:xfrm>
                            <a:off x="0" y="0"/>
                            <a:ext cx="230505" cy="184150"/>
                          </a:xfrm>
                          <a:prstGeom prst="rect">
                            <a:avLst/>
                          </a:prstGeom>
                        </pic:spPr>
                      </pic:pic>
                    </a:graphicData>
                  </a:graphic>
                </wp:inline>
              </w:drawing>
            </w:r>
          </w:p>
        </w:tc>
        <w:tc>
          <w:tcPr>
            <w:tcW w:w="525" w:type="dxa"/>
            <w:tcBorders/>
            <w:shd w:fill="auto" w:val="clear"/>
          </w:tcPr>
          <w:p>
            <w:pPr>
              <w:pStyle w:val="Normal"/>
              <w:snapToGrid w:val="false"/>
              <w:rPr/>
            </w:pPr>
            <w:r>
              <w:rPr/>
            </w:r>
          </w:p>
          <w:p>
            <w:pPr>
              <w:pStyle w:val="Normal"/>
              <w:rPr/>
            </w:pPr>
            <w:r>
              <w:rPr/>
              <w:t xml:space="preserve">т.е.            </w:t>
            </w:r>
          </w:p>
          <w:p>
            <w:pPr>
              <w:pStyle w:val="Normal"/>
              <w:rPr/>
            </w:pPr>
            <w:r>
              <w:rPr/>
              <w:t xml:space="preserve">   </w:t>
            </w:r>
          </w:p>
          <w:p>
            <w:pPr>
              <w:pStyle w:val="Normal"/>
              <w:rPr/>
            </w:pPr>
            <w:r>
              <w:rPr/>
            </w:r>
          </w:p>
        </w:tc>
        <w:tc>
          <w:tcPr>
            <w:tcW w:w="2010" w:type="dxa"/>
            <w:tcBorders/>
            <w:shd w:fill="auto" w:val="clear"/>
          </w:tcPr>
          <w:p>
            <w:pPr>
              <w:pStyle w:val="Normal"/>
              <w:rPr/>
            </w:pPr>
            <w:r>
              <w:rPr/>
              <w:t xml:space="preserve">    </w:t>
            </w:r>
          </w:p>
          <w:p>
            <w:pPr>
              <w:pStyle w:val="Normal"/>
              <w:rPr/>
            </w:pPr>
            <w:r>
              <w:rPr/>
              <w:drawing>
                <wp:inline distT="0" distB="0" distL="0" distR="0">
                  <wp:extent cx="875665" cy="207645"/>
                  <wp:effectExtent l="0" t="0" r="0" b="0"/>
                  <wp:docPr id="185" name="Изображение1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Изображение185" descr="" title=""/>
                          <pic:cNvPicPr>
                            <a:picLocks noChangeAspect="1" noChangeArrowheads="1"/>
                          </pic:cNvPicPr>
                        </pic:nvPicPr>
                        <pic:blipFill>
                          <a:blip r:embed="rId186"/>
                          <a:stretch>
                            <a:fillRect/>
                          </a:stretch>
                        </pic:blipFill>
                        <pic:spPr bwMode="auto">
                          <a:xfrm>
                            <a:off x="0" y="0"/>
                            <a:ext cx="875665" cy="207645"/>
                          </a:xfrm>
                          <a:prstGeom prst="rect">
                            <a:avLst/>
                          </a:prstGeom>
                        </pic:spPr>
                      </pic:pic>
                    </a:graphicData>
                  </a:graphic>
                </wp:inline>
              </w:drawing>
            </w:r>
            <w:r>
              <w:rPr/>
              <w:t xml:space="preserve">  </w:t>
            </w:r>
          </w:p>
          <w:p>
            <w:pPr>
              <w:pStyle w:val="Normal"/>
              <w:rPr/>
            </w:pPr>
            <w:r>
              <w:rPr/>
            </w:r>
          </w:p>
        </w:tc>
        <w:tc>
          <w:tcPr>
            <w:tcW w:w="3030" w:type="dxa"/>
            <w:gridSpan w:val="4"/>
            <w:tcBorders/>
            <w:shd w:fill="auto" w:val="clear"/>
          </w:tcPr>
          <w:p>
            <w:pPr>
              <w:pStyle w:val="Normal"/>
              <w:rPr/>
            </w:pPr>
            <w:r>
              <w:rPr/>
              <w:t xml:space="preserve">  </w:t>
            </w:r>
          </w:p>
          <w:p>
            <w:pPr>
              <w:pStyle w:val="Normal"/>
              <w:ind w:firstLine="45"/>
              <w:jc w:val="both"/>
              <w:rPr/>
            </w:pPr>
            <w:r>
              <w:rPr/>
              <w:t xml:space="preserve">или суммарная величина осадки </w:t>
            </w:r>
          </w:p>
          <w:p>
            <w:pPr>
              <w:pStyle w:val="Normal"/>
              <w:ind w:firstLine="45"/>
              <w:jc w:val="both"/>
              <w:rPr/>
            </w:pPr>
            <w:r>
              <w:rPr/>
            </w:r>
          </w:p>
        </w:tc>
        <w:tc>
          <w:tcPr>
            <w:tcW w:w="600" w:type="dxa"/>
            <w:tcBorders/>
            <w:shd w:fill="auto" w:val="clear"/>
          </w:tcPr>
          <w:p>
            <w:pPr>
              <w:pStyle w:val="Normal"/>
              <w:rPr/>
            </w:pPr>
            <w:r>
              <w:rPr/>
              <w:t xml:space="preserve">     </w:t>
            </w:r>
          </w:p>
          <w:p>
            <w:pPr>
              <w:pStyle w:val="Normal"/>
              <w:rPr/>
            </w:pPr>
            <w:r>
              <w:rPr/>
              <w:drawing>
                <wp:inline distT="0" distB="0" distL="0" distR="0">
                  <wp:extent cx="127000" cy="138430"/>
                  <wp:effectExtent l="0" t="0" r="0" b="0"/>
                  <wp:docPr id="186" name="Изображение1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Изображение186" descr="" title=""/>
                          <pic:cNvPicPr>
                            <a:picLocks noChangeAspect="1" noChangeArrowheads="1"/>
                          </pic:cNvPicPr>
                        </pic:nvPicPr>
                        <pic:blipFill>
                          <a:blip r:embed="rId187"/>
                          <a:stretch>
                            <a:fillRect/>
                          </a:stretch>
                        </pic:blipFill>
                        <pic:spPr bwMode="auto">
                          <a:xfrm>
                            <a:off x="0" y="0"/>
                            <a:ext cx="127000" cy="138430"/>
                          </a:xfrm>
                          <a:prstGeom prst="rect">
                            <a:avLst/>
                          </a:prstGeom>
                        </pic:spPr>
                      </pic:pic>
                    </a:graphicData>
                  </a:graphic>
                </wp:inline>
              </w:drawing>
            </w:r>
            <w:r>
              <w:rPr/>
              <w:t xml:space="preserve">       </w:t>
            </w:r>
          </w:p>
          <w:p>
            <w:pPr>
              <w:pStyle w:val="Normal"/>
              <w:rPr/>
            </w:pPr>
            <w:r>
              <w:rPr/>
            </w:r>
          </w:p>
        </w:tc>
        <w:tc>
          <w:tcPr>
            <w:tcW w:w="1245" w:type="dxa"/>
            <w:gridSpan w:val="4"/>
            <w:tcBorders/>
            <w:shd w:fill="auto" w:val="clear"/>
          </w:tcPr>
          <w:p>
            <w:pPr>
              <w:pStyle w:val="Normal"/>
              <w:snapToGrid w:val="false"/>
              <w:rPr/>
            </w:pPr>
            <w:r>
              <w:rPr/>
            </w:r>
          </w:p>
          <w:p>
            <w:pPr>
              <w:pStyle w:val="Normal"/>
              <w:rPr/>
            </w:pPr>
            <w:r>
              <w:rPr/>
              <w:t xml:space="preserve"> </w:t>
            </w:r>
            <w:r>
              <w:rPr/>
              <w:t xml:space="preserve">и просадки  </w:t>
            </w:r>
          </w:p>
          <w:p>
            <w:pPr>
              <w:pStyle w:val="Normal"/>
              <w:rPr/>
            </w:pPr>
            <w:r>
              <w:rPr/>
            </w:r>
          </w:p>
        </w:tc>
        <w:tc>
          <w:tcPr>
            <w:tcW w:w="225" w:type="dxa"/>
            <w:tcBorders/>
            <w:shd w:fill="auto" w:val="clear"/>
            <w:tcMar>
              <w:start w:w="0" w:type="dxa"/>
              <w:end w:w="0" w:type="dxa"/>
            </w:tcMar>
          </w:tcPr>
          <w:p>
            <w:pPr>
              <w:pStyle w:val="Normal"/>
              <w:snapToGrid w:val="false"/>
              <w:rPr/>
            </w:pPr>
            <w:r>
              <w:rPr/>
            </w:r>
          </w:p>
        </w:tc>
      </w:tr>
      <w:tr>
        <w:trPr/>
        <w:tc>
          <w:tcPr>
            <w:tcW w:w="675" w:type="dxa"/>
            <w:tcBorders/>
            <w:shd w:fill="auto" w:val="clear"/>
          </w:tcPr>
          <w:p>
            <w:pPr>
              <w:pStyle w:val="Normal"/>
              <w:rPr/>
            </w:pPr>
            <w:r>
              <w:rPr/>
              <w:t xml:space="preserve">  </w:t>
            </w:r>
          </w:p>
          <w:p>
            <w:pPr>
              <w:pStyle w:val="Normal"/>
              <w:rPr/>
            </w:pPr>
            <w:r>
              <w:rPr/>
              <w:drawing>
                <wp:inline distT="0" distB="0" distL="0" distR="0">
                  <wp:extent cx="184150" cy="184150"/>
                  <wp:effectExtent l="0" t="0" r="0" b="0"/>
                  <wp:docPr id="187" name="Изображение1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Изображение187" descr="" title=""/>
                          <pic:cNvPicPr>
                            <a:picLocks noChangeAspect="1" noChangeArrowheads="1"/>
                          </pic:cNvPicPr>
                        </pic:nvPicPr>
                        <pic:blipFill>
                          <a:blip r:embed="rId188"/>
                          <a:stretch>
                            <a:fillRect/>
                          </a:stretch>
                        </pic:blipFill>
                        <pic:spPr bwMode="auto">
                          <a:xfrm>
                            <a:off x="0" y="0"/>
                            <a:ext cx="184150" cy="184150"/>
                          </a:xfrm>
                          <a:prstGeom prst="rect">
                            <a:avLst/>
                          </a:prstGeom>
                        </pic:spPr>
                      </pic:pic>
                    </a:graphicData>
                  </a:graphic>
                </wp:inline>
              </w:drawing>
            </w:r>
          </w:p>
        </w:tc>
        <w:tc>
          <w:tcPr>
            <w:tcW w:w="6195" w:type="dxa"/>
            <w:gridSpan w:val="8"/>
            <w:tcBorders/>
            <w:shd w:fill="auto" w:val="clear"/>
          </w:tcPr>
          <w:p>
            <w:pPr>
              <w:pStyle w:val="Normal"/>
              <w:rPr/>
            </w:pPr>
            <w:r>
              <w:rPr/>
              <w:t xml:space="preserve">  </w:t>
            </w:r>
          </w:p>
          <w:p>
            <w:pPr>
              <w:pStyle w:val="Normal"/>
              <w:ind w:firstLine="45"/>
              <w:jc w:val="both"/>
              <w:rPr/>
            </w:pPr>
            <w:r>
              <w:rPr/>
              <w:t xml:space="preserve">фундамента сооружения меньше или равна предельно допустимой </w:t>
            </w:r>
          </w:p>
          <w:p>
            <w:pPr>
              <w:pStyle w:val="Normal"/>
              <w:ind w:firstLine="45"/>
              <w:jc w:val="both"/>
              <w:rPr/>
            </w:pPr>
            <w:r>
              <w:rPr/>
            </w:r>
          </w:p>
        </w:tc>
        <w:tc>
          <w:tcPr>
            <w:tcW w:w="1140" w:type="dxa"/>
            <w:gridSpan w:val="2"/>
            <w:tcBorders/>
            <w:shd w:fill="auto" w:val="clear"/>
          </w:tcPr>
          <w:p>
            <w:pPr>
              <w:pStyle w:val="Normal"/>
              <w:rPr/>
            </w:pPr>
            <w:r>
              <w:rPr/>
              <w:t xml:space="preserve">   </w:t>
            </w:r>
          </w:p>
          <w:p>
            <w:pPr>
              <w:pStyle w:val="Normal"/>
              <w:rPr/>
            </w:pPr>
            <w:r>
              <w:rPr/>
              <w:drawing>
                <wp:inline distT="0" distB="0" distL="0" distR="0">
                  <wp:extent cx="311150" cy="184150"/>
                  <wp:effectExtent l="0" t="0" r="0" b="0"/>
                  <wp:docPr id="188" name="Изображение1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Изображение188" descr="" title=""/>
                          <pic:cNvPicPr>
                            <a:picLocks noChangeAspect="1" noChangeArrowheads="1"/>
                          </pic:cNvPicPr>
                        </pic:nvPicPr>
                        <pic:blipFill>
                          <a:blip r:embed="rId189"/>
                          <a:stretch>
                            <a:fillRect/>
                          </a:stretch>
                        </pic:blipFill>
                        <pic:spPr bwMode="auto">
                          <a:xfrm>
                            <a:off x="0" y="0"/>
                            <a:ext cx="311150" cy="184150"/>
                          </a:xfrm>
                          <a:prstGeom prst="rect">
                            <a:avLst/>
                          </a:prstGeom>
                        </pic:spPr>
                      </pic:pic>
                    </a:graphicData>
                  </a:graphic>
                </wp:inline>
              </w:drawing>
            </w:r>
          </w:p>
        </w:tc>
        <w:tc>
          <w:tcPr>
            <w:tcW w:w="300" w:type="dxa"/>
            <w:gridSpan w:val="2"/>
            <w:tcBorders/>
            <w:shd w:fill="auto" w:val="clear"/>
          </w:tcPr>
          <w:p>
            <w:pPr>
              <w:pStyle w:val="Normal"/>
              <w:rPr/>
            </w:pPr>
            <w:r>
              <w:rPr/>
              <w:t xml:space="preserve">  </w:t>
            </w:r>
          </w:p>
          <w:p>
            <w:pPr>
              <w:pStyle w:val="Normal"/>
              <w:rPr/>
            </w:pPr>
            <w:r>
              <w:rPr/>
            </w:r>
          </w:p>
        </w:tc>
      </w:tr>
      <w:tr>
        <w:trPr/>
        <w:tc>
          <w:tcPr>
            <w:tcW w:w="4515" w:type="dxa"/>
            <w:gridSpan w:val="6"/>
            <w:tcBorders/>
            <w:shd w:fill="auto" w:val="clear"/>
          </w:tcPr>
          <w:p>
            <w:pPr>
              <w:pStyle w:val="Normal"/>
              <w:rPr/>
            </w:pPr>
            <w:r>
              <w:rPr/>
              <w:t xml:space="preserve">  </w:t>
            </w:r>
          </w:p>
          <w:p>
            <w:pPr>
              <w:pStyle w:val="Normal"/>
              <w:jc w:val="both"/>
              <w:rPr/>
            </w:pPr>
            <w:r>
              <w:rPr/>
              <w:t xml:space="preserve">для рассматриваемого сооружения величине, т.е. </w:t>
            </w:r>
          </w:p>
          <w:p>
            <w:pPr>
              <w:pStyle w:val="Normal"/>
              <w:jc w:val="both"/>
              <w:rPr/>
            </w:pPr>
            <w:r>
              <w:rPr/>
            </w:r>
          </w:p>
        </w:tc>
        <w:tc>
          <w:tcPr>
            <w:tcW w:w="2535" w:type="dxa"/>
            <w:gridSpan w:val="4"/>
            <w:tcBorders/>
            <w:shd w:fill="auto" w:val="clear"/>
          </w:tcPr>
          <w:p>
            <w:pPr>
              <w:pStyle w:val="Normal"/>
              <w:rPr/>
            </w:pPr>
            <w:r>
              <w:rPr/>
              <w:t xml:space="preserve">  </w:t>
            </w:r>
          </w:p>
          <w:p>
            <w:pPr>
              <w:pStyle w:val="Normal"/>
              <w:rPr/>
            </w:pPr>
            <w:r>
              <w:rPr/>
              <w:drawing>
                <wp:inline distT="0" distB="0" distL="0" distR="0">
                  <wp:extent cx="875665" cy="184150"/>
                  <wp:effectExtent l="0" t="0" r="0" b="0"/>
                  <wp:docPr id="189" name="Изображение1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Изображение189" descr="" title=""/>
                          <pic:cNvPicPr>
                            <a:picLocks noChangeAspect="1" noChangeArrowheads="1"/>
                          </pic:cNvPicPr>
                        </pic:nvPicPr>
                        <pic:blipFill>
                          <a:blip r:embed="rId190"/>
                          <a:stretch>
                            <a:fillRect/>
                          </a:stretch>
                        </pic:blipFill>
                        <pic:spPr bwMode="auto">
                          <a:xfrm>
                            <a:off x="0" y="0"/>
                            <a:ext cx="875665" cy="184150"/>
                          </a:xfrm>
                          <a:prstGeom prst="rect">
                            <a:avLst/>
                          </a:prstGeom>
                        </pic:spPr>
                      </pic:pic>
                    </a:graphicData>
                  </a:graphic>
                </wp:inline>
              </w:drawing>
            </w:r>
          </w:p>
        </w:tc>
        <w:tc>
          <w:tcPr>
            <w:tcW w:w="1260" w:type="dxa"/>
            <w:gridSpan w:val="3"/>
            <w:tcBorders/>
            <w:shd w:fill="auto" w:val="clear"/>
            <w:tcMar>
              <w:start w:w="0" w:type="dxa"/>
              <w:end w:w="0" w:type="dxa"/>
            </w:tcMar>
          </w:tcPr>
          <w:p>
            <w:pPr>
              <w:pStyle w:val="Normal"/>
              <w:snapToGrid w:val="false"/>
              <w:rPr/>
            </w:pPr>
            <w:r>
              <w:rPr/>
            </w:r>
          </w:p>
        </w:tc>
      </w:tr>
    </w:tbl>
    <w:p>
      <w:pPr>
        <w:pStyle w:val="Normal"/>
        <w:ind w:firstLine="90"/>
        <w:jc w:val="both"/>
        <w:rPr/>
      </w:pPr>
      <w:r>
        <w:rPr/>
      </w:r>
    </w:p>
    <w:tbl>
      <w:tblPr>
        <w:tblW w:w="8010" w:type="dxa"/>
        <w:jc w:val="start"/>
        <w:tblInd w:w="15" w:type="dxa"/>
        <w:tblBorders/>
        <w:tblCellMar>
          <w:top w:w="0" w:type="dxa"/>
          <w:start w:w="15" w:type="dxa"/>
          <w:bottom w:w="0" w:type="dxa"/>
          <w:end w:w="15" w:type="dxa"/>
        </w:tblCellMar>
      </w:tblPr>
      <w:tblGrid>
        <w:gridCol w:w="3930"/>
        <w:gridCol w:w="4080"/>
      </w:tblGrid>
      <w:tr>
        <w:trPr/>
        <w:tc>
          <w:tcPr>
            <w:tcW w:w="3930" w:type="dxa"/>
            <w:tcBorders/>
            <w:shd w:fill="auto" w:val="clear"/>
          </w:tcPr>
          <w:p>
            <w:pPr>
              <w:pStyle w:val="Normal"/>
              <w:rPr/>
            </w:pPr>
            <w:r>
              <w:rPr>
                <w:vanish/>
              </w:rPr>
              <w:t>#G0</w:t>
            </w:r>
            <w:r>
              <w:rPr/>
              <w:t xml:space="preserve">  </w:t>
            </w:r>
          </w:p>
          <w:p>
            <w:pPr>
              <w:pStyle w:val="Normal"/>
              <w:ind w:firstLine="225"/>
              <w:jc w:val="both"/>
              <w:rPr/>
            </w:pPr>
            <w:r>
              <w:rPr/>
              <w:t xml:space="preserve">б) уплотненные просадочные грунты при </w:t>
            </w:r>
          </w:p>
          <w:p>
            <w:pPr>
              <w:pStyle w:val="Normal"/>
              <w:ind w:firstLine="225"/>
              <w:jc w:val="both"/>
              <w:rPr/>
            </w:pPr>
            <w:r>
              <w:rPr/>
            </w:r>
          </w:p>
        </w:tc>
        <w:tc>
          <w:tcPr>
            <w:tcW w:w="4080" w:type="dxa"/>
            <w:tcBorders/>
            <w:shd w:fill="auto" w:val="clear"/>
          </w:tcPr>
          <w:p>
            <w:pPr>
              <w:pStyle w:val="Normal"/>
              <w:rPr/>
            </w:pPr>
            <w:r>
              <w:rPr/>
              <w:t xml:space="preserve">  </w:t>
            </w:r>
          </w:p>
          <w:p>
            <w:pPr>
              <w:pStyle w:val="Normal"/>
              <w:rPr/>
            </w:pPr>
            <w:r>
              <w:rPr/>
              <w:drawing>
                <wp:inline distT="0" distB="0" distL="0" distR="0">
                  <wp:extent cx="1993265" cy="207645"/>
                  <wp:effectExtent l="0" t="0" r="0" b="0"/>
                  <wp:docPr id="190" name="Изображение1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Изображение190" descr="" title=""/>
                          <pic:cNvPicPr>
                            <a:picLocks noChangeAspect="1" noChangeArrowheads="1"/>
                          </pic:cNvPicPr>
                        </pic:nvPicPr>
                        <pic:blipFill>
                          <a:blip r:embed="rId191"/>
                          <a:stretch>
                            <a:fillRect/>
                          </a:stretch>
                        </pic:blipFill>
                        <pic:spPr bwMode="auto">
                          <a:xfrm>
                            <a:off x="0" y="0"/>
                            <a:ext cx="1993265" cy="207645"/>
                          </a:xfrm>
                          <a:prstGeom prst="rect">
                            <a:avLst/>
                          </a:prstGeom>
                        </pic:spPr>
                      </pic:pic>
                    </a:graphicData>
                  </a:graphic>
                </wp:inline>
              </w:drawing>
            </w:r>
          </w:p>
        </w:tc>
      </w:tr>
    </w:tbl>
    <w:p>
      <w:pPr>
        <w:pStyle w:val="Normal"/>
        <w:ind w:firstLine="45"/>
        <w:jc w:val="both"/>
        <w:rPr/>
      </w:pPr>
      <w:r>
        <w:rPr/>
      </w:r>
    </w:p>
    <w:p>
      <w:pPr>
        <w:pStyle w:val="Normal"/>
        <w:ind w:firstLine="225"/>
        <w:jc w:val="both"/>
        <w:rPr/>
      </w:pPr>
      <w:r>
        <w:rPr/>
        <w:t>15.118. Уплотнение грунтов оснований I типа по просадочности следует предусматривать тяжелыми трамбовками на глубину не менее 1,5 м в пределах площадки, превышающей размеры сооружений на 2 м в каждую сторону от наружных граней фундаментов. Плотность сухого грунта на нижней границе уплотненной зоны должна быть не менее 1,65 т/куб.м.</w:t>
      </w:r>
    </w:p>
    <w:p>
      <w:pPr>
        <w:pStyle w:val="Normal"/>
        <w:ind w:firstLine="225"/>
        <w:jc w:val="both"/>
        <w:rPr/>
      </w:pPr>
      <w:r>
        <w:rPr/>
      </w:r>
    </w:p>
    <w:p>
      <w:pPr>
        <w:pStyle w:val="Normal"/>
        <w:ind w:firstLine="225"/>
        <w:jc w:val="both"/>
        <w:rPr/>
      </w:pPr>
      <w:r>
        <w:rPr/>
      </w:r>
    </w:p>
    <w:p>
      <w:pPr>
        <w:pStyle w:val="Normal"/>
        <w:ind w:firstLine="225"/>
        <w:jc w:val="both"/>
        <w:rPr/>
      </w:pPr>
      <w:r>
        <w:rPr/>
        <w:t>Примечание. При невозможности уплотнения просадочных грунтов тяжелыми трамбовками до заданной степени плотности следует предусматривать грунтовую подушку толщиной 1,5 м из местных глинистых грунтов с уплотнением их до плотности сухого грунта не менее 1,65 т/куб.м.</w:t>
      </w:r>
    </w:p>
    <w:p>
      <w:pPr>
        <w:pStyle w:val="Normal"/>
        <w:ind w:firstLine="225"/>
        <w:jc w:val="both"/>
        <w:rPr/>
      </w:pPr>
      <w:r>
        <w:rPr/>
      </w:r>
    </w:p>
    <w:p>
      <w:pPr>
        <w:pStyle w:val="Normal"/>
        <w:ind w:firstLine="225"/>
        <w:jc w:val="both"/>
        <w:rPr/>
      </w:pPr>
      <w:r>
        <w:rPr/>
      </w:r>
    </w:p>
    <w:p>
      <w:pPr>
        <w:pStyle w:val="Normal"/>
        <w:ind w:firstLine="225"/>
        <w:jc w:val="both"/>
        <w:rPr/>
      </w:pPr>
      <w:r>
        <w:rPr/>
        <w:t>15.119. Под емкостные сооружения с конусообразными днищами уплотнение грунтов I типа по просадочности следует принимать в несколько этапов (слоев).</w:t>
      </w:r>
    </w:p>
    <w:p>
      <w:pPr>
        <w:pStyle w:val="Normal"/>
        <w:ind w:firstLine="225"/>
        <w:jc w:val="both"/>
        <w:rPr/>
      </w:pPr>
      <w:r>
        <w:rPr/>
      </w:r>
    </w:p>
    <w:p>
      <w:pPr>
        <w:pStyle w:val="Normal"/>
        <w:ind w:firstLine="225"/>
        <w:jc w:val="both"/>
        <w:rPr/>
      </w:pPr>
      <w:r>
        <w:rPr/>
        <w:t>Каждым этапом следует предусматривать уплотнение слоя грунта с последующим рытьем (углублением) котлована на глубину 0,8 мощности уплотненного грунта на данном этапе. При этом контур дна котлована на каждом этапе должен быть на 0,2 м больше габаритов конусной части сооружения в данном сечении.</w:t>
      </w:r>
    </w:p>
    <w:p>
      <w:pPr>
        <w:pStyle w:val="Normal"/>
        <w:ind w:firstLine="225"/>
        <w:jc w:val="both"/>
        <w:rPr/>
      </w:pPr>
      <w:r>
        <w:rPr/>
      </w:r>
    </w:p>
    <w:p>
      <w:pPr>
        <w:pStyle w:val="Normal"/>
        <w:ind w:firstLine="225"/>
        <w:jc w:val="both"/>
        <w:rPr/>
      </w:pPr>
      <w:r>
        <w:rPr/>
        <w:t>Уплотнение последнего слоя надлежит принимать конусной трамбовкой методом вытрамбовывания.</w:t>
      </w:r>
    </w:p>
    <w:p>
      <w:pPr>
        <w:pStyle w:val="Normal"/>
        <w:ind w:firstLine="225"/>
        <w:jc w:val="both"/>
        <w:rPr/>
      </w:pPr>
      <w:r>
        <w:rPr/>
      </w:r>
    </w:p>
    <w:p>
      <w:pPr>
        <w:pStyle w:val="Normal"/>
        <w:ind w:firstLine="225"/>
        <w:jc w:val="both"/>
        <w:rPr/>
      </w:pPr>
      <w:r>
        <w:rPr/>
        <w:t>15.120. Под фундаментами стен и колонн зданий, в которых размещены емкостные сооружения, а также под полами в насосных станциях, помещениях с мокрым технологическим процессом и под емкостями необходимо предусматривать уплотнение грунта в пределах площади, превышающей размеры сооружений на 2 м в каждую сторону от наружных граней фундаментов на глубину 1,5 м для грунтовых условий I типа по просадочности и 2 м  - для грунтовых условий II типа до плотности сухого грунта не менее 1,7 т/куб.м на нижней границе уплотненной зоны.</w:t>
      </w:r>
    </w:p>
    <w:p>
      <w:pPr>
        <w:pStyle w:val="Normal"/>
        <w:ind w:firstLine="225"/>
        <w:jc w:val="both"/>
        <w:rPr/>
      </w:pPr>
      <w:r>
        <w:rPr/>
      </w:r>
    </w:p>
    <w:p>
      <w:pPr>
        <w:pStyle w:val="Normal"/>
        <w:ind w:firstLine="225"/>
        <w:jc w:val="both"/>
        <w:rPr/>
      </w:pPr>
      <w:r>
        <w:rPr/>
        <w:t>15.121. Полы в помещениях, где возможен разлив воды, должны быть водонепроницаемыми, иметь бортики высотой 0,1 м по периметру примыкания к стенам, колоннам, фундаментам оборудования. Уклон пола следует принимать не менее 0,01 к водосборному водонепроницаемому приямку.</w:t>
      </w:r>
    </w:p>
    <w:p>
      <w:pPr>
        <w:pStyle w:val="Normal"/>
        <w:ind w:firstLine="225"/>
        <w:jc w:val="both"/>
        <w:rPr/>
      </w:pPr>
      <w:r>
        <w:rPr/>
      </w:r>
    </w:p>
    <w:p>
      <w:pPr>
        <w:pStyle w:val="Normal"/>
        <w:ind w:firstLine="225"/>
        <w:jc w:val="both"/>
        <w:rPr/>
      </w:pPr>
      <w:r>
        <w:rPr/>
        <w:t>В заглубленных машинных залах нижняя часть ограждающих конструкций на высоту не менее 0,6 м должна быть водонепроницаемой.</w:t>
      </w:r>
    </w:p>
    <w:p>
      <w:pPr>
        <w:pStyle w:val="Normal"/>
        <w:ind w:firstLine="225"/>
        <w:jc w:val="both"/>
        <w:rPr/>
      </w:pPr>
      <w:r>
        <w:rPr/>
      </w:r>
    </w:p>
    <w:p>
      <w:pPr>
        <w:pStyle w:val="Normal"/>
        <w:ind w:firstLine="225"/>
        <w:jc w:val="both"/>
        <w:rPr/>
      </w:pPr>
      <w:r>
        <w:rPr/>
        <w:t>15.122. При грунтовых условиях II типа по просадочности под емкостными сооружениями следует предусматривать:</w:t>
      </w:r>
    </w:p>
    <w:p>
      <w:pPr>
        <w:pStyle w:val="Normal"/>
        <w:ind w:firstLine="225"/>
        <w:jc w:val="both"/>
        <w:rPr/>
      </w:pPr>
      <w:r>
        <w:rPr/>
      </w:r>
    </w:p>
    <w:p>
      <w:pPr>
        <w:pStyle w:val="Normal"/>
        <w:ind w:firstLine="225"/>
        <w:jc w:val="both"/>
        <w:rPr/>
      </w:pPr>
      <w:r>
        <w:rPr/>
        <w:t>частичное устранение просадочных свойств грунтов;</w:t>
      </w:r>
    </w:p>
    <w:p>
      <w:pPr>
        <w:pStyle w:val="Normal"/>
        <w:ind w:firstLine="225"/>
        <w:jc w:val="both"/>
        <w:rPr/>
      </w:pPr>
      <w:r>
        <w:rPr/>
      </w:r>
    </w:p>
    <w:p>
      <w:pPr>
        <w:pStyle w:val="Normal"/>
        <w:ind w:firstLine="225"/>
        <w:jc w:val="both"/>
        <w:rPr/>
      </w:pPr>
      <w:r>
        <w:rPr/>
        <w:t>полное устранение просадочных свойств грунтов в пределах всей просадочной толщи или прорезку просадочных грунтов.</w:t>
      </w:r>
    </w:p>
    <w:p>
      <w:pPr>
        <w:pStyle w:val="Normal"/>
        <w:ind w:firstLine="225"/>
        <w:jc w:val="both"/>
        <w:rPr/>
      </w:pPr>
      <w:r>
        <w:rPr/>
      </w:r>
    </w:p>
    <w:p>
      <w:pPr>
        <w:pStyle w:val="Normal"/>
        <w:ind w:firstLine="225"/>
        <w:jc w:val="both"/>
        <w:rPr/>
      </w:pPr>
      <w:r>
        <w:rPr/>
      </w:r>
    </w:p>
    <w:p>
      <w:pPr>
        <w:pStyle w:val="Normal"/>
        <w:ind w:firstLine="225"/>
        <w:jc w:val="both"/>
        <w:rPr/>
      </w:pPr>
      <w:r>
        <w:rPr/>
        <w:t>Примечание. Частичное устранение просадочных свойств грунтов в пределах деформируемой зоны допускается при условии, если суммарные величины осадок и просадок не превышают предельно допустимых значений для проектируемых сооружений.</w:t>
      </w:r>
    </w:p>
    <w:p>
      <w:pPr>
        <w:pStyle w:val="Normal"/>
        <w:ind w:firstLine="225"/>
        <w:jc w:val="both"/>
        <w:rPr/>
      </w:pPr>
      <w:r>
        <w:rPr/>
      </w:r>
    </w:p>
    <w:p>
      <w:pPr>
        <w:pStyle w:val="Normal"/>
        <w:ind w:firstLine="225"/>
        <w:jc w:val="both"/>
        <w:rPr/>
      </w:pPr>
      <w:r>
        <w:rPr/>
      </w:r>
    </w:p>
    <w:p>
      <w:pPr>
        <w:pStyle w:val="Normal"/>
        <w:ind w:firstLine="225"/>
        <w:jc w:val="both"/>
        <w:rPr/>
      </w:pPr>
      <w:r>
        <w:rPr/>
        <w:t>15.123. Частичное устранение просадочных свойств грунтов II типа при величине просадки до 20 см надлежит принимать поверхностным уплотнением грунтов тяжелыми трамбовками или устройством грунтовых подушек.</w:t>
      </w:r>
    </w:p>
    <w:p>
      <w:pPr>
        <w:pStyle w:val="Normal"/>
        <w:ind w:firstLine="225"/>
        <w:jc w:val="both"/>
        <w:rPr/>
      </w:pPr>
      <w:r>
        <w:rPr/>
      </w:r>
    </w:p>
    <w:p>
      <w:pPr>
        <w:pStyle w:val="Normal"/>
        <w:ind w:firstLine="225"/>
        <w:jc w:val="both"/>
        <w:rPr/>
      </w:pPr>
      <w:r>
        <w:rPr/>
        <w:t>Толщину уплотненного слоя следует принимать равной 2-5 см в зависимости от конструктивных особенностей сооружений и толщины слоя просадочных грунтов.</w:t>
      </w:r>
    </w:p>
    <w:p>
      <w:pPr>
        <w:pStyle w:val="Normal"/>
        <w:ind w:firstLine="225"/>
        <w:jc w:val="both"/>
        <w:rPr/>
      </w:pPr>
      <w:r>
        <w:rPr/>
      </w:r>
    </w:p>
    <w:p>
      <w:pPr>
        <w:pStyle w:val="Normal"/>
        <w:ind w:firstLine="225"/>
        <w:jc w:val="both"/>
        <w:rPr/>
      </w:pPr>
      <w:r>
        <w:rPr/>
        <w:t>15.124. При частичном устранении просадочных свойств грунтов II типа под днищем емкостного сооружения по уплотненному грунту необходимо предусматривать противофильтрационный поддон с дренажным слоем и пристенный дренаж с отводом воды в контрольный колодец.</w:t>
      </w:r>
    </w:p>
    <w:p>
      <w:pPr>
        <w:pStyle w:val="Normal"/>
        <w:ind w:firstLine="225"/>
        <w:jc w:val="both"/>
        <w:rPr/>
      </w:pPr>
      <w:r>
        <w:rPr/>
      </w:r>
    </w:p>
    <w:p>
      <w:pPr>
        <w:pStyle w:val="Normal"/>
        <w:ind w:firstLine="225"/>
        <w:jc w:val="both"/>
        <w:rPr/>
      </w:pPr>
      <w:r>
        <w:rPr/>
        <w:t>Емкостные сооружения с конусообразными днищами должны проектироваться на колоннах, опирающихся на железобетонную водонепроницаемую плиту, с которой должен быть предусмотрен отвод аварийной воды в контрольный колодец.</w:t>
      </w:r>
    </w:p>
    <w:p>
      <w:pPr>
        <w:pStyle w:val="Normal"/>
        <w:ind w:firstLine="225"/>
        <w:jc w:val="both"/>
        <w:rPr/>
      </w:pPr>
      <w:r>
        <w:rPr/>
      </w:r>
    </w:p>
    <w:p>
      <w:pPr>
        <w:pStyle w:val="Normal"/>
        <w:ind w:firstLine="225"/>
        <w:jc w:val="both"/>
        <w:rPr/>
      </w:pPr>
      <w:r>
        <w:rPr/>
        <w:t>15.125. Под водонапорными башнями независимо от типа грунтовых условий по просадочности надлежит предусматривать уплотнение грунта согласно п. 15.117.</w:t>
      </w:r>
    </w:p>
    <w:p>
      <w:pPr>
        <w:pStyle w:val="Normal"/>
        <w:ind w:firstLine="225"/>
        <w:jc w:val="both"/>
        <w:rPr/>
      </w:pPr>
      <w:r>
        <w:rPr/>
      </w:r>
    </w:p>
    <w:p>
      <w:pPr>
        <w:pStyle w:val="Normal"/>
        <w:ind w:firstLine="225"/>
        <w:jc w:val="both"/>
        <w:rPr/>
      </w:pPr>
      <w:r>
        <w:rPr/>
        <w:t>В грунтовых условиях II типа фундамент водонапорной башни надлежит принимать в виде сплошной железобетонной плиты и предусматривать устройство для отвода с нее аварийной воды в контрольный колодец.</w:t>
      </w:r>
    </w:p>
    <w:p>
      <w:pPr>
        <w:pStyle w:val="Normal"/>
        <w:ind w:firstLine="225"/>
        <w:jc w:val="both"/>
        <w:rPr/>
      </w:pPr>
      <w:r>
        <w:rPr/>
      </w:r>
    </w:p>
    <w:p>
      <w:pPr>
        <w:pStyle w:val="Normal"/>
        <w:ind w:firstLine="225"/>
        <w:jc w:val="both"/>
        <w:rPr/>
      </w:pPr>
      <w:r>
        <w:rPr/>
        <w:t>15.126. В грунтовых условиях II типа при возможных просадках более 20 см под емкостными сооружениями следует предусматривать полное устранение просадочных свойств всей просадочной толщи грунта основания или ее прорезку.</w:t>
      </w:r>
    </w:p>
    <w:p>
      <w:pPr>
        <w:pStyle w:val="Normal"/>
        <w:ind w:firstLine="225"/>
        <w:jc w:val="both"/>
        <w:rPr/>
      </w:pPr>
      <w:r>
        <w:rPr/>
      </w:r>
    </w:p>
    <w:p>
      <w:pPr>
        <w:pStyle w:val="Normal"/>
        <w:ind w:firstLine="225"/>
        <w:jc w:val="both"/>
        <w:rPr/>
      </w:pPr>
      <w:r>
        <w:rPr/>
        <w:t>15.127. Полное устранение просадочных свойств грунта в пределах всей просадочной толщи под емкостные сооружения надлежит принимать уплотнением просадочных грунтов предварительным замачиванием или замачиванием с глубинными взрывами, которые комбинируются с доуплотнением верхнего слоя просадочных грунтов тяжелыми трамбовками.</w:t>
      </w:r>
    </w:p>
    <w:p>
      <w:pPr>
        <w:pStyle w:val="Normal"/>
        <w:ind w:firstLine="225"/>
        <w:jc w:val="both"/>
        <w:rPr/>
      </w:pPr>
      <w:r>
        <w:rPr/>
      </w:r>
    </w:p>
    <w:p>
      <w:pPr>
        <w:pStyle w:val="Normal"/>
        <w:ind w:firstLine="225"/>
        <w:jc w:val="both"/>
        <w:rPr/>
      </w:pPr>
      <w:r>
        <w:rPr/>
        <w:t>15.128. При невозможности применения предварительного замачивания (отсутствие воды для замачивания, близкое расположение существующих зданий и сооружений и т.п.) полное устранение просадочных свойств грунтов следует принимать глубинным уплотнением грунтовыми сваями на всю величину просадочной толщи.</w:t>
      </w:r>
    </w:p>
    <w:p>
      <w:pPr>
        <w:pStyle w:val="Normal"/>
        <w:ind w:firstLine="225"/>
        <w:jc w:val="both"/>
        <w:rPr/>
      </w:pPr>
      <w:r>
        <w:rPr/>
      </w:r>
    </w:p>
    <w:p>
      <w:pPr>
        <w:pStyle w:val="Normal"/>
        <w:ind w:firstLine="225"/>
        <w:jc w:val="both"/>
        <w:rPr/>
      </w:pPr>
      <w:r>
        <w:rPr/>
        <w:t>15.129. Прорезку просадочных грунтов надлежит предусматривать:</w:t>
      </w:r>
    </w:p>
    <w:p>
      <w:pPr>
        <w:pStyle w:val="Normal"/>
        <w:ind w:firstLine="225"/>
        <w:jc w:val="both"/>
        <w:rPr/>
      </w:pPr>
      <w:r>
        <w:rPr/>
      </w:r>
    </w:p>
    <w:p>
      <w:pPr>
        <w:pStyle w:val="Normal"/>
        <w:ind w:firstLine="225"/>
        <w:jc w:val="both"/>
        <w:rPr/>
      </w:pPr>
      <w:r>
        <w:rPr/>
        <w:t>устройством свайных фундаментов из забивных, набивных, буронабивных и других видов свай;</w:t>
      </w:r>
    </w:p>
    <w:p>
      <w:pPr>
        <w:pStyle w:val="Normal"/>
        <w:ind w:firstLine="225"/>
        <w:jc w:val="both"/>
        <w:rPr/>
      </w:pPr>
      <w:r>
        <w:rPr/>
      </w:r>
    </w:p>
    <w:p>
      <w:pPr>
        <w:pStyle w:val="Normal"/>
        <w:ind w:firstLine="225"/>
        <w:jc w:val="both"/>
        <w:rPr/>
      </w:pPr>
      <w:r>
        <w:rPr/>
        <w:t xml:space="preserve">применением столбов или лент из грунта, закрепленного химическим, термическим или другим способом; </w:t>
      </w:r>
    </w:p>
    <w:p>
      <w:pPr>
        <w:pStyle w:val="Normal"/>
        <w:ind w:firstLine="225"/>
        <w:jc w:val="both"/>
        <w:rPr/>
      </w:pPr>
      <w:r>
        <w:rPr/>
      </w:r>
    </w:p>
    <w:p>
      <w:pPr>
        <w:pStyle w:val="Normal"/>
        <w:ind w:firstLine="225"/>
        <w:jc w:val="both"/>
        <w:rPr/>
      </w:pPr>
      <w:r>
        <w:rPr/>
        <w:t xml:space="preserve">заглублением фундаментов. </w:t>
      </w:r>
    </w:p>
    <w:p>
      <w:pPr>
        <w:pStyle w:val="Normal"/>
        <w:ind w:firstLine="225"/>
        <w:jc w:val="both"/>
        <w:rPr/>
      </w:pPr>
      <w:r>
        <w:rPr/>
      </w:r>
    </w:p>
    <w:p>
      <w:pPr>
        <w:pStyle w:val="Normal"/>
        <w:ind w:firstLine="225"/>
        <w:jc w:val="both"/>
        <w:rPr/>
      </w:pPr>
      <w:r>
        <w:rPr/>
        <w:t>Прорезку просадочных грунтов свайными фундаментами следует принимать только при отсутствии возможности полного устранения просадочных свойств грунтов под емкостными сооружениями.</w:t>
      </w:r>
    </w:p>
    <w:p>
      <w:pPr>
        <w:pStyle w:val="Normal"/>
        <w:ind w:firstLine="225"/>
        <w:jc w:val="both"/>
        <w:rPr/>
      </w:pPr>
      <w:r>
        <w:rPr/>
      </w:r>
    </w:p>
    <w:p>
      <w:pPr>
        <w:pStyle w:val="Normal"/>
        <w:ind w:firstLine="225"/>
        <w:jc w:val="both"/>
        <w:rPr/>
      </w:pPr>
      <w:r>
        <w:rPr/>
        <w:t>15.130. Для емкостных сооружений при грунтовых условиях II типа должны быть предусмотрены наблюдения за осадками сооружений, утечками воды и уровнем грунтовых вод в период строительства и эксплуатации до стабилизации деформаций.</w:t>
      </w:r>
    </w:p>
    <w:p>
      <w:pPr>
        <w:pStyle w:val="Normal"/>
        <w:ind w:firstLine="225"/>
        <w:jc w:val="both"/>
        <w:rPr/>
      </w:pPr>
      <w:r>
        <w:rPr/>
      </w:r>
    </w:p>
    <w:p>
      <w:pPr>
        <w:pStyle w:val="Normal"/>
        <w:ind w:firstLine="225"/>
        <w:jc w:val="both"/>
        <w:rPr/>
      </w:pPr>
      <w:r>
        <w:rPr/>
        <w:t>15.131*. Особенности проектирования систем водоснабжения для Западно-Сибирского нефтегазового комплекса приведены в рекомендуемом приложении 14.</w:t>
      </w:r>
    </w:p>
    <w:p>
      <w:pPr>
        <w:pStyle w:val="Normal"/>
        <w:ind w:firstLine="225"/>
        <w:jc w:val="both"/>
        <w:rPr/>
      </w:pPr>
      <w:r>
        <w:rPr/>
      </w:r>
    </w:p>
    <w:p>
      <w:pPr>
        <w:pStyle w:val="Normal"/>
        <w:jc w:val="end"/>
        <w:rPr/>
      </w:pPr>
      <w:r>
        <w:rPr/>
      </w:r>
    </w:p>
    <w:p>
      <w:pPr>
        <w:pStyle w:val="Normal"/>
        <w:jc w:val="end"/>
        <w:rPr/>
      </w:pPr>
      <w:r>
        <w:rPr/>
        <w:t>Приложение 1</w:t>
      </w:r>
    </w:p>
    <w:p>
      <w:pPr>
        <w:pStyle w:val="Normal"/>
        <w:jc w:val="end"/>
        <w:rPr/>
      </w:pPr>
      <w:r>
        <w:rPr/>
        <w:t xml:space="preserve">Рекомендуемое </w:t>
      </w:r>
    </w:p>
    <w:p>
      <w:pPr>
        <w:pStyle w:val="Normal"/>
        <w:jc w:val="end"/>
        <w:rPr/>
      </w:pPr>
      <w:r>
        <w:rPr/>
      </w:r>
    </w:p>
    <w:p>
      <w:pPr>
        <w:pStyle w:val="Normal"/>
        <w:jc w:val="end"/>
        <w:rPr/>
      </w:pPr>
      <w:r>
        <w:rPr/>
      </w:r>
    </w:p>
    <w:p>
      <w:pPr>
        <w:pStyle w:val="Normal"/>
        <w:ind w:firstLine="270"/>
        <w:jc w:val="both"/>
        <w:rPr/>
      </w:pPr>
      <w:r>
        <w:rPr/>
      </w:r>
    </w:p>
    <w:p>
      <w:pPr>
        <w:pStyle w:val="Heading"/>
        <w:jc w:val="center"/>
        <w:rPr/>
      </w:pPr>
      <w:r>
        <w:rPr/>
        <w:t>СПОСОБЫ БУРЕНИЯ</w:t>
      </w:r>
    </w:p>
    <w:p>
      <w:pPr>
        <w:pStyle w:val="Heading"/>
        <w:jc w:val="center"/>
        <w:rPr/>
      </w:pPr>
      <w:r>
        <w:rPr/>
        <w:t xml:space="preserve">ВОДОЗАБОРНЫХ СКВАЖИН </w:t>
      </w:r>
    </w:p>
    <w:p>
      <w:pPr>
        <w:pStyle w:val="Normal"/>
        <w:ind w:firstLine="270"/>
        <w:jc w:val="both"/>
        <w:rPr/>
      </w:pPr>
      <w:r>
        <w:rPr/>
      </w:r>
    </w:p>
    <w:p>
      <w:pPr>
        <w:pStyle w:val="Normal"/>
        <w:ind w:firstLine="270"/>
        <w:jc w:val="both"/>
        <w:rPr/>
      </w:pPr>
      <w:r>
        <w:rPr/>
      </w:r>
    </w:p>
    <w:p>
      <w:pPr>
        <w:pStyle w:val="Normal"/>
        <w:ind w:firstLine="225"/>
        <w:jc w:val="both"/>
        <w:rPr/>
      </w:pPr>
      <w:r>
        <w:rPr/>
        <w:t>1. При проектировании водозаборов подземных вод выбор способа бурения скважин надлежит принимать в зависимости от местных гидрогеологических условий, глубины и диаметра скважин.</w:t>
      </w:r>
    </w:p>
    <w:p>
      <w:pPr>
        <w:pStyle w:val="Normal"/>
        <w:ind w:firstLine="225"/>
        <w:jc w:val="both"/>
        <w:rPr/>
      </w:pPr>
      <w:r>
        <w:rPr/>
      </w:r>
    </w:p>
    <w:p>
      <w:pPr>
        <w:pStyle w:val="Normal"/>
        <w:ind w:firstLine="225"/>
        <w:jc w:val="both"/>
        <w:rPr/>
      </w:pPr>
      <w:r>
        <w:rPr/>
        <w:t>2. Для крепления скважин надлежит применять обсадные стальные муфтовые и электросварные трубы.</w:t>
      </w:r>
    </w:p>
    <w:p>
      <w:pPr>
        <w:pStyle w:val="Normal"/>
        <w:ind w:firstLine="225"/>
        <w:jc w:val="both"/>
        <w:rPr/>
      </w:pPr>
      <w:r>
        <w:rPr/>
      </w:r>
    </w:p>
    <w:p>
      <w:pPr>
        <w:pStyle w:val="Normal"/>
        <w:ind w:firstLine="225"/>
        <w:jc w:val="both"/>
        <w:rPr/>
      </w:pPr>
      <w:r>
        <w:rPr/>
        <w:t>Для крепления скважин глубиной до 250 м при свободной посадке обсадных труб допускается применение неметаллических труб с обязательной затрубной цементацией.</w:t>
      </w:r>
    </w:p>
    <w:p>
      <w:pPr>
        <w:pStyle w:val="Normal"/>
        <w:ind w:firstLine="225"/>
        <w:jc w:val="both"/>
        <w:rPr/>
      </w:pPr>
      <w:r>
        <w:rPr/>
      </w:r>
    </w:p>
    <w:p>
      <w:pPr>
        <w:pStyle w:val="Normal"/>
        <w:ind w:firstLine="225"/>
        <w:jc w:val="both"/>
        <w:rPr/>
      </w:pPr>
      <w:r>
        <w:rPr/>
        <w:t>3. В конструкциях скважин колонны обсадных труб должны приниматься телескопическими.</w:t>
      </w:r>
    </w:p>
    <w:p>
      <w:pPr>
        <w:pStyle w:val="Normal"/>
        <w:ind w:firstLine="225"/>
        <w:jc w:val="both"/>
        <w:rPr/>
      </w:pPr>
      <w:r>
        <w:rPr/>
      </w:r>
    </w:p>
    <w:p>
      <w:pPr>
        <w:pStyle w:val="Normal"/>
        <w:ind w:firstLine="225"/>
        <w:jc w:val="both"/>
        <w:rPr/>
      </w:pPr>
      <w:r>
        <w:rPr/>
        <w:t>Разница между диаметрами предыдущей и последующей колонн обсадных труб должна быть не менее 50 мм.</w:t>
      </w:r>
    </w:p>
    <w:p>
      <w:pPr>
        <w:pStyle w:val="Normal"/>
        <w:ind w:firstLine="225"/>
        <w:jc w:val="both"/>
        <w:rPr/>
      </w:pPr>
      <w:r>
        <w:rPr/>
      </w:r>
    </w:p>
    <w:p>
      <w:pPr>
        <w:pStyle w:val="Normal"/>
        <w:ind w:firstLine="225"/>
        <w:jc w:val="both"/>
        <w:rPr/>
      </w:pPr>
      <w:r>
        <w:rPr/>
        <w:t>4. В сложных гидрогеологических условиях для перекрытия не закрепленных направляющей колонной водоносных пластов или пород, склонных к обвалам и поглощению промывочной жидкости, в конструкции скважины надлежит предусматривать установку дополнительных колонн обсадных труб.</w:t>
      </w:r>
    </w:p>
    <w:p>
      <w:pPr>
        <w:pStyle w:val="Normal"/>
        <w:ind w:firstLine="225"/>
        <w:jc w:val="both"/>
        <w:rPr/>
      </w:pPr>
      <w:r>
        <w:rPr/>
      </w:r>
    </w:p>
    <w:p>
      <w:pPr>
        <w:pStyle w:val="Normal"/>
        <w:ind w:firstLine="225"/>
        <w:jc w:val="both"/>
        <w:rPr/>
      </w:pPr>
      <w:r>
        <w:rPr/>
        <w:t>5. Колонны обсадных труб для временного (при бурении) закрепления стенок скважины должны извлекаться. В колоннах обсадных труб для постоянной эксплуатации скважин должно производиться извлечение свободного конца труб, при этом верхний обрез обсадной трубы, остающейся в скважине, должен находиться выше башмака предыдущей колонны не менее чем на 3 м. Кольцевой зазор между оставшейся частью колонны и предыдущей колонной обсадных труб должен быть зацементирован или заделан путем установки сальника.</w:t>
      </w:r>
    </w:p>
    <w:p>
      <w:pPr>
        <w:pStyle w:val="Normal"/>
        <w:ind w:firstLine="225"/>
        <w:jc w:val="both"/>
        <w:rPr/>
      </w:pPr>
      <w:r>
        <w:rPr/>
      </w:r>
    </w:p>
    <w:p>
      <w:pPr>
        <w:pStyle w:val="Normal"/>
        <w:ind w:firstLine="225"/>
        <w:jc w:val="both"/>
        <w:rPr/>
      </w:pPr>
      <w:r>
        <w:rPr/>
        <w:t>6. Для предотвращения проникания поверхностных загрязнений и воды неиспользуемых водоносных пластов должна предусматриваться изоляция скважин.</w:t>
      </w:r>
    </w:p>
    <w:p>
      <w:pPr>
        <w:pStyle w:val="Normal"/>
        <w:ind w:firstLine="225"/>
        <w:jc w:val="both"/>
        <w:rPr/>
      </w:pPr>
      <w:r>
        <w:rPr/>
      </w:r>
    </w:p>
    <w:p>
      <w:pPr>
        <w:pStyle w:val="Normal"/>
        <w:ind w:firstLine="225"/>
        <w:jc w:val="both"/>
        <w:rPr/>
      </w:pPr>
      <w:r>
        <w:rPr/>
        <w:t>7. Качество изоляции должно проверяться откачкой или наливом воды при бурении ударным способом и нагнетанием воды под давлением при роторном бурении, а также геофизическими методами.</w:t>
      </w:r>
    </w:p>
    <w:p>
      <w:pPr>
        <w:pStyle w:val="Normal"/>
        <w:ind w:firstLine="225"/>
        <w:jc w:val="both"/>
        <w:rPr/>
      </w:pPr>
      <w:r>
        <w:rPr/>
      </w:r>
    </w:p>
    <w:p>
      <w:pPr>
        <w:pStyle w:val="Normal"/>
        <w:ind w:firstLine="225"/>
        <w:jc w:val="both"/>
        <w:rPr/>
      </w:pPr>
      <w:r>
        <w:rPr/>
        <w:t>8. Для цементации в водозаборных скважинах надлежит применять цемент по ГОСТ 25597-83.</w:t>
      </w:r>
    </w:p>
    <w:p>
      <w:pPr>
        <w:pStyle w:val="Normal"/>
        <w:ind w:firstLine="225"/>
        <w:jc w:val="both"/>
        <w:rPr/>
      </w:pPr>
      <w:r>
        <w:rPr/>
      </w:r>
    </w:p>
    <w:p>
      <w:pPr>
        <w:pStyle w:val="Normal"/>
        <w:ind w:firstLine="225"/>
        <w:jc w:val="both"/>
        <w:rPr/>
      </w:pPr>
      <w:r>
        <w:rPr/>
        <w:t>9. При наличии агрессивных вод в используемых и гидравлически связанных с ними водоносных пластах должна предусматриваться антикоррозионная защита обсадных труб или применяться трубы из материалов, стойких к коррозии.</w:t>
      </w:r>
    </w:p>
    <w:p>
      <w:pPr>
        <w:pStyle w:val="Normal"/>
        <w:ind w:firstLine="225"/>
        <w:jc w:val="both"/>
        <w:rPr/>
      </w:pPr>
      <w:r>
        <w:rPr/>
      </w:r>
    </w:p>
    <w:p>
      <w:pPr>
        <w:pStyle w:val="Normal"/>
        <w:ind w:firstLine="225"/>
        <w:jc w:val="both"/>
        <w:rPr/>
      </w:pPr>
      <w:r>
        <w:rPr/>
      </w:r>
    </w:p>
    <w:p>
      <w:pPr>
        <w:pStyle w:val="Normal"/>
        <w:jc w:val="end"/>
        <w:rPr/>
      </w:pPr>
      <w:r>
        <w:rPr/>
        <w:t xml:space="preserve">Приложение 2 </w:t>
      </w:r>
    </w:p>
    <w:p>
      <w:pPr>
        <w:pStyle w:val="Normal"/>
        <w:jc w:val="end"/>
        <w:rPr/>
      </w:pPr>
      <w:r>
        <w:rPr/>
        <w:t xml:space="preserve">Рекомендуемое </w:t>
      </w:r>
    </w:p>
    <w:p>
      <w:pPr>
        <w:pStyle w:val="Normal"/>
        <w:jc w:val="end"/>
        <w:rPr/>
      </w:pPr>
      <w:r>
        <w:rPr/>
      </w:r>
    </w:p>
    <w:p>
      <w:pPr>
        <w:pStyle w:val="Normal"/>
        <w:ind w:firstLine="270"/>
        <w:jc w:val="both"/>
        <w:rPr/>
      </w:pPr>
      <w:r>
        <w:rPr/>
      </w:r>
    </w:p>
    <w:p>
      <w:pPr>
        <w:pStyle w:val="Heading"/>
        <w:jc w:val="center"/>
        <w:rPr/>
      </w:pPr>
      <w:r>
        <w:rPr/>
        <w:t>ТРЕБОВАНИЯ К ФИЛЬТРАМ</w:t>
      </w:r>
    </w:p>
    <w:p>
      <w:pPr>
        <w:pStyle w:val="Heading"/>
        <w:jc w:val="center"/>
        <w:rPr/>
      </w:pPr>
      <w:r>
        <w:rPr/>
        <w:t>ВОДОЗАБОРНЫХ СКВАЖИН</w:t>
      </w:r>
    </w:p>
    <w:p>
      <w:pPr>
        <w:pStyle w:val="Heading"/>
        <w:jc w:val="center"/>
        <w:rPr/>
      </w:pPr>
      <w:r>
        <w:rPr/>
      </w:r>
    </w:p>
    <w:p>
      <w:pPr>
        <w:pStyle w:val="Normal"/>
        <w:ind w:firstLine="270"/>
        <w:jc w:val="both"/>
        <w:rPr/>
      </w:pPr>
      <w:r>
        <w:rPr/>
      </w:r>
    </w:p>
    <w:p>
      <w:pPr>
        <w:pStyle w:val="Normal"/>
        <w:ind w:firstLine="270"/>
        <w:jc w:val="both"/>
        <w:rPr/>
      </w:pPr>
      <w:r>
        <w:rPr/>
      </w:r>
    </w:p>
    <w:p>
      <w:pPr>
        <w:pStyle w:val="Normal"/>
        <w:ind w:firstLine="225"/>
        <w:jc w:val="both"/>
        <w:rPr/>
      </w:pPr>
      <w:r>
        <w:rPr/>
        <w:t xml:space="preserve">1. Типы и конструкции фильтров водозаборных скважин должны приниматься согласно табл. 1. </w:t>
      </w:r>
    </w:p>
    <w:p>
      <w:pPr>
        <w:pStyle w:val="Normal"/>
        <w:ind w:firstLine="225"/>
        <w:jc w:val="both"/>
        <w:rPr/>
      </w:pPr>
      <w:r>
        <w:rPr/>
      </w:r>
    </w:p>
    <w:p>
      <w:pPr>
        <w:pStyle w:val="Normal"/>
        <w:jc w:val="end"/>
        <w:rPr/>
      </w:pPr>
      <w:r>
        <w:rPr/>
        <w:t xml:space="preserve">Таблица 1 </w:t>
      </w:r>
    </w:p>
    <w:p>
      <w:pPr>
        <w:pStyle w:val="Normal"/>
        <w:ind w:firstLine="270"/>
        <w:jc w:val="both"/>
        <w:rPr/>
      </w:pPr>
      <w:r>
        <w:rPr/>
      </w:r>
    </w:p>
    <w:p>
      <w:pPr>
        <w:pStyle w:val="Normal"/>
        <w:ind w:firstLine="270"/>
        <w:jc w:val="both"/>
        <w:rPr/>
      </w:pPr>
      <w:r>
        <w:rPr/>
      </w:r>
    </w:p>
    <w:tbl>
      <w:tblPr>
        <w:tblW w:w="6245" w:type="dxa"/>
        <w:jc w:val="start"/>
        <w:tblInd w:w="45" w:type="dxa"/>
        <w:tblBorders>
          <w:top w:val="single" w:sz="2" w:space="0" w:color="000000"/>
          <w:start w:val="single" w:sz="2" w:space="0" w:color="000000"/>
          <w:bottom w:val="single" w:sz="2" w:space="0" w:color="000000"/>
          <w:insideH w:val="single" w:sz="2" w:space="0" w:color="000000"/>
        </w:tblBorders>
        <w:tblCellMar>
          <w:top w:w="0" w:type="dxa"/>
          <w:start w:w="42" w:type="dxa"/>
          <w:bottom w:w="0" w:type="dxa"/>
          <w:end w:w="45" w:type="dxa"/>
        </w:tblCellMar>
      </w:tblPr>
      <w:tblGrid>
        <w:gridCol w:w="2265"/>
        <w:gridCol w:w="3980"/>
      </w:tblGrid>
      <w:tr>
        <w:trPr/>
        <w:tc>
          <w:tcPr>
            <w:tcW w:w="226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vanish/>
              </w:rPr>
              <w:t>#G0</w:t>
            </w:r>
            <w:r>
              <w:rPr/>
              <w:t xml:space="preserve">Породы водоносных пластов </w:t>
            </w:r>
          </w:p>
          <w:p>
            <w:pPr>
              <w:pStyle w:val="Normal"/>
              <w:jc w:val="center"/>
              <w:rPr/>
            </w:pPr>
            <w:r>
              <w:rPr/>
            </w:r>
          </w:p>
        </w:tc>
        <w:tc>
          <w:tcPr>
            <w:tcW w:w="39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Типы и конструкции фильтров </w:t>
            </w:r>
          </w:p>
          <w:p>
            <w:pPr>
              <w:pStyle w:val="Normal"/>
              <w:rPr/>
            </w:pPr>
            <w:r>
              <w:rPr/>
            </w:r>
          </w:p>
        </w:tc>
      </w:tr>
      <w:tr>
        <w:trPr/>
        <w:tc>
          <w:tcPr>
            <w:tcW w:w="2265" w:type="dxa"/>
            <w:tcBorders>
              <w:start w:val="single" w:sz="2" w:space="0" w:color="000000"/>
            </w:tcBorders>
            <w:shd w:fill="auto" w:val="clear"/>
            <w:tcMar>
              <w:start w:w="42" w:type="dxa"/>
            </w:tcMar>
          </w:tcPr>
          <w:p>
            <w:pPr>
              <w:pStyle w:val="Normal"/>
              <w:snapToGrid w:val="false"/>
              <w:jc w:val="both"/>
              <w:rPr/>
            </w:pPr>
            <w:r>
              <w:rPr/>
            </w:r>
          </w:p>
          <w:p>
            <w:pPr>
              <w:pStyle w:val="Normal"/>
              <w:jc w:val="both"/>
              <w:rPr/>
            </w:pPr>
            <w:r>
              <w:rPr/>
              <w:t>1. Скальные и полускальные неустойчивые породы, щебенистые и галечниковые отложения с преобладающим размером частиц 20-100 мм (более 50% по массе)</w:t>
            </w:r>
          </w:p>
          <w:p>
            <w:pPr>
              <w:pStyle w:val="Normal"/>
              <w:jc w:val="both"/>
              <w:rPr/>
            </w:pPr>
            <w:r>
              <w:rPr/>
            </w:r>
          </w:p>
          <w:p>
            <w:pPr>
              <w:pStyle w:val="Normal"/>
              <w:jc w:val="both"/>
              <w:rPr/>
            </w:pPr>
            <w:r>
              <w:rPr/>
            </w:r>
          </w:p>
        </w:tc>
        <w:tc>
          <w:tcPr>
            <w:tcW w:w="3980" w:type="dxa"/>
            <w:tcBorders>
              <w:start w:val="single" w:sz="2" w:space="0" w:color="000000"/>
              <w:end w:val="single" w:sz="2" w:space="0" w:color="000000"/>
              <w:insideV w:val="single" w:sz="2" w:space="0" w:color="000000"/>
            </w:tcBorders>
            <w:shd w:fill="auto" w:val="clear"/>
            <w:tcMar>
              <w:start w:w="42" w:type="dxa"/>
            </w:tcMar>
          </w:tcPr>
          <w:p>
            <w:pPr>
              <w:pStyle w:val="Normal"/>
              <w:snapToGrid w:val="false"/>
              <w:rPr/>
            </w:pPr>
            <w:r>
              <w:rPr/>
            </w:r>
          </w:p>
          <w:p>
            <w:pPr>
              <w:pStyle w:val="Normal"/>
              <w:rPr/>
            </w:pPr>
            <w:r>
              <w:rPr/>
              <w:t xml:space="preserve">Фильтры-каркасы (без дополнительной фильтрующей поверхности) стержневые, трубчатые с круглой и щелевой перфорацией, штампованные из стального листа толщиной 4 мм с антикоррозионным покрытием, спирально-стержневые </w:t>
            </w:r>
          </w:p>
          <w:p>
            <w:pPr>
              <w:pStyle w:val="Normal"/>
              <w:rPr/>
            </w:pPr>
            <w:r>
              <w:rPr/>
            </w:r>
          </w:p>
        </w:tc>
      </w:tr>
      <w:tr>
        <w:trPr/>
        <w:tc>
          <w:tcPr>
            <w:tcW w:w="2265" w:type="dxa"/>
            <w:tcBorders>
              <w:start w:val="single" w:sz="2" w:space="0" w:color="000000"/>
            </w:tcBorders>
            <w:shd w:fill="auto" w:val="clear"/>
            <w:tcMar>
              <w:start w:w="42" w:type="dxa"/>
            </w:tcMar>
          </w:tcPr>
          <w:p>
            <w:pPr>
              <w:pStyle w:val="Normal"/>
              <w:rPr/>
            </w:pPr>
            <w:r>
              <w:rPr/>
              <w:t>2. Гравий, гравелистый песок с преобладающим размером частиц 2-5 мм (более 50% по массе)</w:t>
            </w:r>
          </w:p>
          <w:p>
            <w:pPr>
              <w:pStyle w:val="Normal"/>
              <w:rPr/>
            </w:pPr>
            <w:r>
              <w:rPr/>
            </w:r>
          </w:p>
        </w:tc>
        <w:tc>
          <w:tcPr>
            <w:tcW w:w="3980" w:type="dxa"/>
            <w:tcBorders>
              <w:start w:val="single" w:sz="2" w:space="0" w:color="000000"/>
              <w:end w:val="single" w:sz="2" w:space="0" w:color="000000"/>
              <w:insideV w:val="single" w:sz="2" w:space="0" w:color="000000"/>
            </w:tcBorders>
            <w:shd w:fill="auto" w:val="clear"/>
            <w:tcMar>
              <w:start w:w="42" w:type="dxa"/>
            </w:tcMar>
          </w:tcPr>
          <w:p>
            <w:pPr>
              <w:pStyle w:val="Normal"/>
              <w:rPr/>
            </w:pPr>
            <w:r>
              <w:rPr/>
              <w:t>Фильтры стержневые и трубчатые с водоприемной поверхностью из проволочной обмотки или штампованного листа из нержавеющей стали. Фильтры штампованные из стального листа толщиной 4 мм с антикоррозионным покрытием, спирально-стержневые</w:t>
            </w:r>
          </w:p>
          <w:p>
            <w:pPr>
              <w:pStyle w:val="Normal"/>
              <w:rPr/>
            </w:pPr>
            <w:r>
              <w:rPr/>
            </w:r>
          </w:p>
          <w:p>
            <w:pPr>
              <w:pStyle w:val="Normal"/>
              <w:rPr/>
            </w:pPr>
            <w:r>
              <w:rPr/>
            </w:r>
          </w:p>
        </w:tc>
      </w:tr>
      <w:tr>
        <w:trPr/>
        <w:tc>
          <w:tcPr>
            <w:tcW w:w="2265" w:type="dxa"/>
            <w:tcBorders>
              <w:start w:val="single" w:sz="2" w:space="0" w:color="000000"/>
            </w:tcBorders>
            <w:shd w:fill="auto" w:val="clear"/>
            <w:tcMar>
              <w:start w:w="42" w:type="dxa"/>
            </w:tcMar>
          </w:tcPr>
          <w:p>
            <w:pPr>
              <w:pStyle w:val="Normal"/>
              <w:rPr/>
            </w:pPr>
            <w:r>
              <w:rPr/>
              <w:t>3. Пески крупные с преобладающим размером частиц 1-2 мм (более 50% по массе)</w:t>
            </w:r>
          </w:p>
          <w:p>
            <w:pPr>
              <w:pStyle w:val="Normal"/>
              <w:rPr/>
            </w:pPr>
            <w:r>
              <w:rPr/>
            </w:r>
          </w:p>
          <w:p>
            <w:pPr>
              <w:pStyle w:val="Normal"/>
              <w:rPr/>
            </w:pPr>
            <w:r>
              <w:rPr/>
            </w:r>
          </w:p>
        </w:tc>
        <w:tc>
          <w:tcPr>
            <w:tcW w:w="398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То же </w:t>
            </w:r>
          </w:p>
          <w:p>
            <w:pPr>
              <w:pStyle w:val="Normal"/>
              <w:rPr/>
            </w:pPr>
            <w:r>
              <w:rPr/>
            </w:r>
          </w:p>
        </w:tc>
      </w:tr>
      <w:tr>
        <w:trPr/>
        <w:tc>
          <w:tcPr>
            <w:tcW w:w="2265" w:type="dxa"/>
            <w:tcBorders>
              <w:start w:val="single" w:sz="2" w:space="0" w:color="000000"/>
            </w:tcBorders>
            <w:shd w:fill="auto" w:val="clear"/>
            <w:tcMar>
              <w:start w:w="42" w:type="dxa"/>
            </w:tcMar>
          </w:tcPr>
          <w:p>
            <w:pPr>
              <w:pStyle w:val="Normal"/>
              <w:rPr/>
            </w:pPr>
            <w:r>
              <w:rPr/>
              <w:t>4. Пески среднезернистые с преобладающим размером частиц 0,25-0,5 мм (более 50% по массе)</w:t>
            </w:r>
          </w:p>
          <w:p>
            <w:pPr>
              <w:pStyle w:val="Normal"/>
              <w:rPr/>
            </w:pPr>
            <w:r>
              <w:rPr/>
            </w:r>
          </w:p>
          <w:p>
            <w:pPr>
              <w:pStyle w:val="Normal"/>
              <w:rPr/>
            </w:pPr>
            <w:r>
              <w:rPr/>
            </w:r>
          </w:p>
        </w:tc>
        <w:tc>
          <w:tcPr>
            <w:tcW w:w="398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Фильтры стержневые и трубчатые с водоприемной поверхностью из проволочной обмотки, сеток квадратного плетения, штампованного листа из нержавеющей стали с песчано-гравийной обсыпкой, спирально-стержневые </w:t>
            </w:r>
          </w:p>
          <w:p>
            <w:pPr>
              <w:pStyle w:val="Normal"/>
              <w:rPr/>
            </w:pPr>
            <w:r>
              <w:rPr/>
            </w:r>
          </w:p>
        </w:tc>
      </w:tr>
      <w:tr>
        <w:trPr/>
        <w:tc>
          <w:tcPr>
            <w:tcW w:w="226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5. Пески мелкозернистые с преобладающим размером частиц 0,1-0,25 мм (более 50% по массе)</w:t>
            </w:r>
          </w:p>
          <w:p>
            <w:pPr>
              <w:pStyle w:val="Normal"/>
              <w:rPr/>
            </w:pPr>
            <w:r>
              <w:rPr/>
            </w:r>
          </w:p>
        </w:tc>
        <w:tc>
          <w:tcPr>
            <w:tcW w:w="398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Фильтры стержневые и трубчатые с водоприемной поверхностью из проволочной обмотки, сеток галунного плетения, штампованного листа из нержавеющей стали с однослойной или двухслойной песчано-гравийной обсыпкой, спирально-стержневые</w:t>
            </w:r>
          </w:p>
          <w:p>
            <w:pPr>
              <w:pStyle w:val="Normal"/>
              <w:rPr/>
            </w:pPr>
            <w:r>
              <w:rPr/>
            </w:r>
          </w:p>
          <w:p>
            <w:pPr>
              <w:pStyle w:val="Normal"/>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2. Фильтры (блочного типа из пористого бетона, гравия на цементной связке) могут применяться для отбора небольших количеств воды при создании в пласте двухслойной обсыпки.</w:t>
      </w:r>
    </w:p>
    <w:p>
      <w:pPr>
        <w:pStyle w:val="Normal"/>
        <w:ind w:firstLine="225"/>
        <w:jc w:val="both"/>
        <w:rPr/>
      </w:pPr>
      <w:r>
        <w:rPr/>
      </w:r>
    </w:p>
    <w:p>
      <w:pPr>
        <w:pStyle w:val="Normal"/>
        <w:ind w:firstLine="225"/>
        <w:jc w:val="both"/>
        <w:rPr/>
      </w:pPr>
      <w:r>
        <w:rPr/>
        <w:t xml:space="preserve">3. При агрессивных водах фильтры надлежит принимать из нержавеющей стали, пластмассы или других материалов, стойких к коррозии и обладающих необходимой прочностью. </w:t>
      </w:r>
    </w:p>
    <w:p>
      <w:pPr>
        <w:pStyle w:val="Normal"/>
        <w:ind w:firstLine="225"/>
        <w:jc w:val="both"/>
        <w:rPr/>
      </w:pPr>
      <w:r>
        <w:rPr/>
      </w:r>
    </w:p>
    <w:p>
      <w:pPr>
        <w:pStyle w:val="Normal"/>
        <w:ind w:firstLine="225"/>
        <w:jc w:val="both"/>
        <w:rPr/>
      </w:pPr>
      <w:r>
        <w:rPr/>
        <w:t>4. Размеры отверстий фильтров без устройства гравийной обсыпки надлежит принимать по табл. 2.</w:t>
      </w:r>
    </w:p>
    <w:p>
      <w:pPr>
        <w:pStyle w:val="Normal"/>
        <w:ind w:firstLine="225"/>
        <w:jc w:val="both"/>
        <w:rPr/>
      </w:pPr>
      <w:r>
        <w:rPr/>
      </w:r>
    </w:p>
    <w:p>
      <w:pPr>
        <w:pStyle w:val="Normal"/>
        <w:jc w:val="end"/>
        <w:rPr/>
      </w:pPr>
      <w:r>
        <w:rPr/>
        <w:t xml:space="preserve">Таблица 2 </w:t>
      </w:r>
    </w:p>
    <w:p>
      <w:pPr>
        <w:pStyle w:val="Normal"/>
        <w:ind w:firstLine="270"/>
        <w:jc w:val="both"/>
        <w:rPr/>
      </w:pPr>
      <w:r>
        <w:rPr/>
      </w:r>
    </w:p>
    <w:p>
      <w:pPr>
        <w:pStyle w:val="Normal"/>
        <w:ind w:firstLine="270"/>
        <w:jc w:val="both"/>
        <w:rPr/>
      </w:pPr>
      <w:r>
        <w:rPr/>
      </w:r>
    </w:p>
    <w:tbl>
      <w:tblPr>
        <w:tblW w:w="6770"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2805"/>
        <w:gridCol w:w="1845"/>
        <w:gridCol w:w="2120"/>
      </w:tblGrid>
      <w:tr>
        <w:trPr/>
        <w:tc>
          <w:tcPr>
            <w:tcW w:w="2805" w:type="dxa"/>
            <w:tcBorders>
              <w:top w:val="single" w:sz="2" w:space="0" w:color="000000"/>
              <w:start w:val="single" w:sz="2" w:space="0" w:color="000000"/>
            </w:tcBorders>
            <w:shd w:fill="auto" w:val="clear"/>
            <w:tcMar>
              <w:start w:w="42" w:type="dxa"/>
            </w:tcMar>
          </w:tcPr>
          <w:p>
            <w:pPr>
              <w:pStyle w:val="Normal"/>
              <w:rPr/>
            </w:pPr>
            <w:r>
              <w:rPr>
                <w:vanish/>
              </w:rPr>
              <w:t>#G0</w:t>
            </w:r>
            <w:r>
              <w:rPr/>
              <w:t xml:space="preserve">  </w:t>
            </w:r>
          </w:p>
          <w:p>
            <w:pPr>
              <w:pStyle w:val="Normal"/>
              <w:rPr/>
            </w:pPr>
            <w:r>
              <w:rPr/>
            </w:r>
          </w:p>
        </w:tc>
        <w:tc>
          <w:tcPr>
            <w:tcW w:w="3965" w:type="dxa"/>
            <w:gridSpan w:val="2"/>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jc w:val="center"/>
              <w:rPr/>
            </w:pPr>
            <w:r>
              <w:rPr/>
              <w:t xml:space="preserve">Размеры отверстий фильтров </w:t>
            </w:r>
          </w:p>
          <w:p>
            <w:pPr>
              <w:pStyle w:val="Normal"/>
              <w:jc w:val="center"/>
              <w:rPr/>
            </w:pPr>
            <w:r>
              <w:rPr/>
            </w:r>
          </w:p>
        </w:tc>
      </w:tr>
      <w:tr>
        <w:trPr/>
        <w:tc>
          <w:tcPr>
            <w:tcW w:w="280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Тип фильтра </w:t>
            </w:r>
          </w:p>
          <w:p>
            <w:pPr>
              <w:pStyle w:val="Normal"/>
              <w:rPr/>
            </w:pPr>
            <w:r>
              <w:rPr/>
            </w:r>
          </w:p>
        </w:tc>
        <w:tc>
          <w:tcPr>
            <w:tcW w:w="184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в однородных </w:t>
            </w:r>
          </w:p>
          <w:p>
            <w:pPr>
              <w:pStyle w:val="Normal"/>
              <w:rPr/>
            </w:pPr>
            <w:r>
              <w:rPr/>
              <w:t xml:space="preserve">породах </w:t>
            </w:r>
          </w:p>
          <w:p>
            <w:pPr>
              <w:pStyle w:val="Normal"/>
              <w:rPr/>
            </w:pPr>
            <w:r>
              <w:rPr/>
              <w:drawing>
                <wp:inline distT="0" distB="0" distL="0" distR="0">
                  <wp:extent cx="426085" cy="184150"/>
                  <wp:effectExtent l="0" t="0" r="0" b="0"/>
                  <wp:docPr id="191" name="Изображение1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Изображение191" descr="" title=""/>
                          <pic:cNvPicPr>
                            <a:picLocks noChangeAspect="1" noChangeArrowheads="1"/>
                          </pic:cNvPicPr>
                        </pic:nvPicPr>
                        <pic:blipFill>
                          <a:blip r:embed="rId192"/>
                          <a:stretch>
                            <a:fillRect/>
                          </a:stretch>
                        </pic:blipFill>
                        <pic:spPr bwMode="auto">
                          <a:xfrm>
                            <a:off x="0" y="0"/>
                            <a:ext cx="426085" cy="184150"/>
                          </a:xfrm>
                          <a:prstGeom prst="rect">
                            <a:avLst/>
                          </a:prstGeom>
                        </pic:spPr>
                      </pic:pic>
                    </a:graphicData>
                  </a:graphic>
                </wp:inline>
              </w:drawing>
            </w:r>
            <w:r>
              <w:rPr/>
              <w:t xml:space="preserve"> </w:t>
            </w:r>
          </w:p>
          <w:p>
            <w:pPr>
              <w:pStyle w:val="Normal"/>
              <w:rPr/>
            </w:pPr>
            <w:r>
              <w:rPr/>
            </w:r>
          </w:p>
        </w:tc>
        <w:tc>
          <w:tcPr>
            <w:tcW w:w="212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в неоднородных</w:t>
            </w:r>
          </w:p>
          <w:p>
            <w:pPr>
              <w:pStyle w:val="Normal"/>
              <w:rPr/>
            </w:pPr>
            <w:r>
              <w:rPr/>
              <w:t xml:space="preserve">породах </w:t>
            </w:r>
          </w:p>
          <w:p>
            <w:pPr>
              <w:pStyle w:val="Normal"/>
              <w:rPr/>
            </w:pPr>
            <w:r>
              <w:rPr/>
              <w:drawing>
                <wp:inline distT="0" distB="0" distL="0" distR="0">
                  <wp:extent cx="426085" cy="184150"/>
                  <wp:effectExtent l="0" t="0" r="0" b="0"/>
                  <wp:docPr id="192" name="Изображение1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Изображение192" descr="" title=""/>
                          <pic:cNvPicPr>
                            <a:picLocks noChangeAspect="1" noChangeArrowheads="1"/>
                          </pic:cNvPicPr>
                        </pic:nvPicPr>
                        <pic:blipFill>
                          <a:blip r:embed="rId193"/>
                          <a:stretch>
                            <a:fillRect/>
                          </a:stretch>
                        </pic:blipFill>
                        <pic:spPr bwMode="auto">
                          <a:xfrm>
                            <a:off x="0" y="0"/>
                            <a:ext cx="426085" cy="184150"/>
                          </a:xfrm>
                          <a:prstGeom prst="rect">
                            <a:avLst/>
                          </a:prstGeom>
                        </pic:spPr>
                      </pic:pic>
                    </a:graphicData>
                  </a:graphic>
                </wp:inline>
              </w:drawing>
            </w:r>
          </w:p>
        </w:tc>
      </w:tr>
      <w:tr>
        <w:trPr/>
        <w:tc>
          <w:tcPr>
            <w:tcW w:w="2805" w:type="dxa"/>
            <w:tcBorders>
              <w:start w:val="single" w:sz="2" w:space="0" w:color="000000"/>
            </w:tcBorders>
            <w:shd w:fill="auto" w:val="clear"/>
            <w:tcMar>
              <w:start w:w="42" w:type="dxa"/>
            </w:tcMar>
          </w:tcPr>
          <w:p>
            <w:pPr>
              <w:pStyle w:val="Normal"/>
              <w:jc w:val="both"/>
              <w:rPr/>
            </w:pPr>
            <w:r>
              <w:rPr/>
              <w:t xml:space="preserve">С круглой перфорацией </w:t>
            </w:r>
          </w:p>
          <w:p>
            <w:pPr>
              <w:pStyle w:val="Normal"/>
              <w:jc w:val="both"/>
              <w:rPr/>
            </w:pPr>
            <w:r>
              <w:rPr/>
            </w:r>
          </w:p>
        </w:tc>
        <w:tc>
          <w:tcPr>
            <w:tcW w:w="1845" w:type="dxa"/>
            <w:tcBorders>
              <w:start w:val="single" w:sz="2" w:space="0" w:color="000000"/>
            </w:tcBorders>
            <w:shd w:fill="auto" w:val="clear"/>
            <w:tcMar>
              <w:start w:w="42" w:type="dxa"/>
            </w:tcMar>
          </w:tcPr>
          <w:p>
            <w:pPr>
              <w:pStyle w:val="Normal"/>
              <w:jc w:val="center"/>
              <w:rPr/>
            </w:pPr>
            <w:r>
              <w:rPr/>
              <w:drawing>
                <wp:inline distT="0" distB="0" distL="0" distR="0">
                  <wp:extent cx="645160" cy="184150"/>
                  <wp:effectExtent l="0" t="0" r="0" b="0"/>
                  <wp:docPr id="193" name="Изображение1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Изображение193" descr="" title=""/>
                          <pic:cNvPicPr>
                            <a:picLocks noChangeAspect="1" noChangeArrowheads="1"/>
                          </pic:cNvPicPr>
                        </pic:nvPicPr>
                        <pic:blipFill>
                          <a:blip r:embed="rId194"/>
                          <a:stretch>
                            <a:fillRect/>
                          </a:stretch>
                        </pic:blipFill>
                        <pic:spPr bwMode="auto">
                          <a:xfrm>
                            <a:off x="0" y="0"/>
                            <a:ext cx="645160" cy="184150"/>
                          </a:xfrm>
                          <a:prstGeom prst="rect">
                            <a:avLst/>
                          </a:prstGeom>
                        </pic:spPr>
                      </pic:pic>
                    </a:graphicData>
                  </a:graphic>
                </wp:inline>
              </w:drawing>
            </w:r>
          </w:p>
          <w:p>
            <w:pPr>
              <w:pStyle w:val="Normal"/>
              <w:jc w:val="center"/>
              <w:rPr/>
            </w:pPr>
            <w:r>
              <w:rPr/>
            </w:r>
          </w:p>
        </w:tc>
        <w:tc>
          <w:tcPr>
            <w:tcW w:w="2120" w:type="dxa"/>
            <w:tcBorders>
              <w:start w:val="single" w:sz="2" w:space="0" w:color="000000"/>
              <w:end w:val="single" w:sz="2" w:space="0" w:color="000000"/>
              <w:insideV w:val="single" w:sz="2" w:space="0" w:color="000000"/>
            </w:tcBorders>
            <w:shd w:fill="auto" w:val="clear"/>
            <w:tcMar>
              <w:start w:w="42" w:type="dxa"/>
            </w:tcMar>
          </w:tcPr>
          <w:p>
            <w:pPr>
              <w:pStyle w:val="Normal"/>
              <w:rPr/>
            </w:pPr>
            <w:r>
              <w:rPr/>
              <w:drawing>
                <wp:inline distT="0" distB="0" distL="0" distR="0">
                  <wp:extent cx="564515" cy="184150"/>
                  <wp:effectExtent l="0" t="0" r="0" b="0"/>
                  <wp:docPr id="194" name="Изображение1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Изображение194" descr="" title=""/>
                          <pic:cNvPicPr>
                            <a:picLocks noChangeAspect="1" noChangeArrowheads="1"/>
                          </pic:cNvPicPr>
                        </pic:nvPicPr>
                        <pic:blipFill>
                          <a:blip r:embed="rId195"/>
                          <a:stretch>
                            <a:fillRect/>
                          </a:stretch>
                        </pic:blipFill>
                        <pic:spPr bwMode="auto">
                          <a:xfrm>
                            <a:off x="0" y="0"/>
                            <a:ext cx="564515" cy="184150"/>
                          </a:xfrm>
                          <a:prstGeom prst="rect">
                            <a:avLst/>
                          </a:prstGeom>
                        </pic:spPr>
                      </pic:pic>
                    </a:graphicData>
                  </a:graphic>
                </wp:inline>
              </w:drawing>
            </w:r>
          </w:p>
          <w:p>
            <w:pPr>
              <w:pStyle w:val="Normal"/>
              <w:rPr/>
            </w:pPr>
            <w:r>
              <w:rPr/>
            </w:r>
          </w:p>
        </w:tc>
      </w:tr>
      <w:tr>
        <w:trPr/>
        <w:tc>
          <w:tcPr>
            <w:tcW w:w="2805" w:type="dxa"/>
            <w:tcBorders>
              <w:start w:val="single" w:sz="2" w:space="0" w:color="000000"/>
            </w:tcBorders>
            <w:shd w:fill="auto" w:val="clear"/>
            <w:tcMar>
              <w:start w:w="42" w:type="dxa"/>
            </w:tcMar>
          </w:tcPr>
          <w:p>
            <w:pPr>
              <w:pStyle w:val="Normal"/>
              <w:jc w:val="both"/>
              <w:rPr/>
            </w:pPr>
            <w:r>
              <w:rPr/>
              <w:t xml:space="preserve">Сетчатый </w:t>
            </w:r>
          </w:p>
          <w:p>
            <w:pPr>
              <w:pStyle w:val="Normal"/>
              <w:jc w:val="both"/>
              <w:rPr/>
            </w:pPr>
            <w:r>
              <w:rPr/>
            </w:r>
          </w:p>
        </w:tc>
        <w:tc>
          <w:tcPr>
            <w:tcW w:w="1845" w:type="dxa"/>
            <w:tcBorders>
              <w:start w:val="single" w:sz="2" w:space="0" w:color="000000"/>
            </w:tcBorders>
            <w:shd w:fill="auto" w:val="clear"/>
            <w:tcMar>
              <w:start w:w="42" w:type="dxa"/>
            </w:tcMar>
          </w:tcPr>
          <w:p>
            <w:pPr>
              <w:pStyle w:val="Normal"/>
              <w:jc w:val="center"/>
              <w:rPr/>
            </w:pPr>
            <w:r>
              <w:rPr/>
              <w:drawing>
                <wp:inline distT="0" distB="0" distL="0" distR="0">
                  <wp:extent cx="645160" cy="184150"/>
                  <wp:effectExtent l="0" t="0" r="0" b="0"/>
                  <wp:docPr id="195" name="Изображение1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Изображение195" descr="" title=""/>
                          <pic:cNvPicPr>
                            <a:picLocks noChangeAspect="1" noChangeArrowheads="1"/>
                          </pic:cNvPicPr>
                        </pic:nvPicPr>
                        <pic:blipFill>
                          <a:blip r:embed="rId196"/>
                          <a:stretch>
                            <a:fillRect/>
                          </a:stretch>
                        </pic:blipFill>
                        <pic:spPr bwMode="auto">
                          <a:xfrm>
                            <a:off x="0" y="0"/>
                            <a:ext cx="645160" cy="184150"/>
                          </a:xfrm>
                          <a:prstGeom prst="rect">
                            <a:avLst/>
                          </a:prstGeom>
                        </pic:spPr>
                      </pic:pic>
                    </a:graphicData>
                  </a:graphic>
                </wp:inline>
              </w:drawing>
            </w:r>
            <w:r>
              <w:rPr/>
              <w:t xml:space="preserve"> </w:t>
            </w:r>
          </w:p>
          <w:p>
            <w:pPr>
              <w:pStyle w:val="Normal"/>
              <w:jc w:val="center"/>
              <w:rPr/>
            </w:pPr>
            <w:r>
              <w:rPr/>
            </w:r>
          </w:p>
        </w:tc>
        <w:tc>
          <w:tcPr>
            <w:tcW w:w="2120" w:type="dxa"/>
            <w:tcBorders>
              <w:start w:val="single" w:sz="2" w:space="0" w:color="000000"/>
              <w:end w:val="single" w:sz="2" w:space="0" w:color="000000"/>
              <w:insideV w:val="single" w:sz="2" w:space="0" w:color="000000"/>
            </w:tcBorders>
            <w:shd w:fill="auto" w:val="clear"/>
            <w:tcMar>
              <w:start w:w="42" w:type="dxa"/>
            </w:tcMar>
          </w:tcPr>
          <w:p>
            <w:pPr>
              <w:pStyle w:val="Normal"/>
              <w:rPr/>
            </w:pPr>
            <w:r>
              <w:rPr/>
              <w:drawing>
                <wp:inline distT="0" distB="0" distL="0" distR="0">
                  <wp:extent cx="668020" cy="184150"/>
                  <wp:effectExtent l="0" t="0" r="0" b="0"/>
                  <wp:docPr id="196" name="Изображение1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Изображение196" descr="" title=""/>
                          <pic:cNvPicPr>
                            <a:picLocks noChangeAspect="1" noChangeArrowheads="1"/>
                          </pic:cNvPicPr>
                        </pic:nvPicPr>
                        <pic:blipFill>
                          <a:blip r:embed="rId197"/>
                          <a:stretch>
                            <a:fillRect/>
                          </a:stretch>
                        </pic:blipFill>
                        <pic:spPr bwMode="auto">
                          <a:xfrm>
                            <a:off x="0" y="0"/>
                            <a:ext cx="668020" cy="184150"/>
                          </a:xfrm>
                          <a:prstGeom prst="rect">
                            <a:avLst/>
                          </a:prstGeom>
                        </pic:spPr>
                      </pic:pic>
                    </a:graphicData>
                  </a:graphic>
                </wp:inline>
              </w:drawing>
            </w:r>
          </w:p>
          <w:p>
            <w:pPr>
              <w:pStyle w:val="Normal"/>
              <w:rPr/>
            </w:pPr>
            <w:r>
              <w:rPr/>
            </w:r>
          </w:p>
        </w:tc>
      </w:tr>
      <w:tr>
        <w:trPr/>
        <w:tc>
          <w:tcPr>
            <w:tcW w:w="2805" w:type="dxa"/>
            <w:tcBorders>
              <w:start w:val="single" w:sz="2" w:space="0" w:color="000000"/>
            </w:tcBorders>
            <w:shd w:fill="auto" w:val="clear"/>
            <w:tcMar>
              <w:start w:w="42" w:type="dxa"/>
            </w:tcMar>
          </w:tcPr>
          <w:p>
            <w:pPr>
              <w:pStyle w:val="Normal"/>
              <w:jc w:val="both"/>
              <w:rPr/>
            </w:pPr>
            <w:r>
              <w:rPr/>
              <w:t xml:space="preserve">С щелевой перфорацией </w:t>
            </w:r>
          </w:p>
          <w:p>
            <w:pPr>
              <w:pStyle w:val="Normal"/>
              <w:jc w:val="both"/>
              <w:rPr/>
            </w:pPr>
            <w:r>
              <w:rPr/>
            </w:r>
          </w:p>
        </w:tc>
        <w:tc>
          <w:tcPr>
            <w:tcW w:w="1845" w:type="dxa"/>
            <w:tcBorders>
              <w:start w:val="single" w:sz="2" w:space="0" w:color="000000"/>
            </w:tcBorders>
            <w:shd w:fill="auto" w:val="clear"/>
            <w:tcMar>
              <w:start w:w="42" w:type="dxa"/>
            </w:tcMar>
          </w:tcPr>
          <w:p>
            <w:pPr>
              <w:pStyle w:val="Normal"/>
              <w:jc w:val="center"/>
              <w:rPr/>
            </w:pPr>
            <w:r>
              <w:rPr/>
              <w:drawing>
                <wp:inline distT="0" distB="0" distL="0" distR="0">
                  <wp:extent cx="691515" cy="184150"/>
                  <wp:effectExtent l="0" t="0" r="0" b="0"/>
                  <wp:docPr id="197" name="Изображение1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Изображение197" descr="" title=""/>
                          <pic:cNvPicPr>
                            <a:picLocks noChangeAspect="1" noChangeArrowheads="1"/>
                          </pic:cNvPicPr>
                        </pic:nvPicPr>
                        <pic:blipFill>
                          <a:blip r:embed="rId198"/>
                          <a:stretch>
                            <a:fillRect/>
                          </a:stretch>
                        </pic:blipFill>
                        <pic:spPr bwMode="auto">
                          <a:xfrm>
                            <a:off x="0" y="0"/>
                            <a:ext cx="691515" cy="184150"/>
                          </a:xfrm>
                          <a:prstGeom prst="rect">
                            <a:avLst/>
                          </a:prstGeom>
                        </pic:spPr>
                      </pic:pic>
                    </a:graphicData>
                  </a:graphic>
                </wp:inline>
              </w:drawing>
            </w:r>
          </w:p>
          <w:p>
            <w:pPr>
              <w:pStyle w:val="Normal"/>
              <w:jc w:val="center"/>
              <w:rPr/>
            </w:pPr>
            <w:r>
              <w:rPr/>
            </w:r>
          </w:p>
        </w:tc>
        <w:tc>
          <w:tcPr>
            <w:tcW w:w="2120" w:type="dxa"/>
            <w:tcBorders>
              <w:start w:val="single" w:sz="2" w:space="0" w:color="000000"/>
              <w:end w:val="single" w:sz="2" w:space="0" w:color="000000"/>
              <w:insideV w:val="single" w:sz="2" w:space="0" w:color="000000"/>
            </w:tcBorders>
            <w:shd w:fill="auto" w:val="clear"/>
            <w:tcMar>
              <w:start w:w="42" w:type="dxa"/>
            </w:tcMar>
          </w:tcPr>
          <w:p>
            <w:pPr>
              <w:pStyle w:val="Normal"/>
              <w:rPr/>
            </w:pPr>
            <w:r>
              <w:rPr/>
              <w:drawing>
                <wp:inline distT="0" distB="0" distL="0" distR="0">
                  <wp:extent cx="645160" cy="184150"/>
                  <wp:effectExtent l="0" t="0" r="0" b="0"/>
                  <wp:docPr id="198" name="Изображение1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Изображение198" descr="" title=""/>
                          <pic:cNvPicPr>
                            <a:picLocks noChangeAspect="1" noChangeArrowheads="1"/>
                          </pic:cNvPicPr>
                        </pic:nvPicPr>
                        <pic:blipFill>
                          <a:blip r:embed="rId199"/>
                          <a:stretch>
                            <a:fillRect/>
                          </a:stretch>
                        </pic:blipFill>
                        <pic:spPr bwMode="auto">
                          <a:xfrm>
                            <a:off x="0" y="0"/>
                            <a:ext cx="645160" cy="184150"/>
                          </a:xfrm>
                          <a:prstGeom prst="rect">
                            <a:avLst/>
                          </a:prstGeom>
                        </pic:spPr>
                      </pic:pic>
                    </a:graphicData>
                  </a:graphic>
                </wp:inline>
              </w:drawing>
            </w:r>
          </w:p>
          <w:p>
            <w:pPr>
              <w:pStyle w:val="Normal"/>
              <w:rPr/>
            </w:pPr>
            <w:r>
              <w:rPr/>
            </w:r>
          </w:p>
        </w:tc>
      </w:tr>
      <w:tr>
        <w:trPr/>
        <w:tc>
          <w:tcPr>
            <w:tcW w:w="2805" w:type="dxa"/>
            <w:tcBorders>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Проволочный </w:t>
            </w:r>
          </w:p>
          <w:p>
            <w:pPr>
              <w:pStyle w:val="Normal"/>
              <w:jc w:val="both"/>
              <w:rPr/>
            </w:pPr>
            <w:r>
              <w:rPr/>
            </w:r>
          </w:p>
        </w:tc>
        <w:tc>
          <w:tcPr>
            <w:tcW w:w="1845"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drawing>
                <wp:inline distT="0" distB="0" distL="0" distR="0">
                  <wp:extent cx="414655" cy="184150"/>
                  <wp:effectExtent l="0" t="0" r="0" b="0"/>
                  <wp:docPr id="199" name="Изображение1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Изображение199" descr="" title=""/>
                          <pic:cNvPicPr>
                            <a:picLocks noChangeAspect="1" noChangeArrowheads="1"/>
                          </pic:cNvPicPr>
                        </pic:nvPicPr>
                        <pic:blipFill>
                          <a:blip r:embed="rId200"/>
                          <a:stretch>
                            <a:fillRect/>
                          </a:stretch>
                        </pic:blipFill>
                        <pic:spPr bwMode="auto">
                          <a:xfrm>
                            <a:off x="0" y="0"/>
                            <a:ext cx="414655" cy="184150"/>
                          </a:xfrm>
                          <a:prstGeom prst="rect">
                            <a:avLst/>
                          </a:prstGeom>
                        </pic:spPr>
                      </pic:pic>
                    </a:graphicData>
                  </a:graphic>
                </wp:inline>
              </w:drawing>
            </w:r>
          </w:p>
          <w:p>
            <w:pPr>
              <w:pStyle w:val="Normal"/>
              <w:jc w:val="center"/>
              <w:rPr/>
            </w:pPr>
            <w:r>
              <w:rPr/>
            </w:r>
          </w:p>
        </w:tc>
        <w:tc>
          <w:tcPr>
            <w:tcW w:w="212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drawing>
                <wp:inline distT="0" distB="0" distL="0" distR="0">
                  <wp:extent cx="345440" cy="184150"/>
                  <wp:effectExtent l="0" t="0" r="0" b="0"/>
                  <wp:docPr id="200" name="Изображение2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Изображение200" descr="" title=""/>
                          <pic:cNvPicPr>
                            <a:picLocks noChangeAspect="1" noChangeArrowheads="1"/>
                          </pic:cNvPicPr>
                        </pic:nvPicPr>
                        <pic:blipFill>
                          <a:blip r:embed="rId201"/>
                          <a:stretch>
                            <a:fillRect/>
                          </a:stretch>
                        </pic:blipFill>
                        <pic:spPr bwMode="auto">
                          <a:xfrm>
                            <a:off x="0" y="0"/>
                            <a:ext cx="345440" cy="184150"/>
                          </a:xfrm>
                          <a:prstGeom prst="rect">
                            <a:avLst/>
                          </a:prstGeom>
                        </pic:spPr>
                      </pic:pic>
                    </a:graphicData>
                  </a:graphic>
                </wp:inline>
              </w:drawing>
            </w:r>
          </w:p>
          <w:p>
            <w:pPr>
              <w:pStyle w:val="Normal"/>
              <w:rPr/>
            </w:pPr>
            <w:r>
              <w:rPr/>
            </w:r>
          </w:p>
        </w:tc>
      </w:tr>
    </w:tbl>
    <w:p>
      <w:pPr>
        <w:pStyle w:val="Normal"/>
        <w:jc w:val="both"/>
        <w:rPr/>
      </w:pPr>
      <w:r>
        <w:rPr/>
      </w:r>
    </w:p>
    <w:p>
      <w:pPr>
        <w:pStyle w:val="Normal"/>
        <w:ind w:firstLine="180"/>
        <w:jc w:val="both"/>
        <w:rPr/>
      </w:pPr>
      <w:r>
        <w:rPr/>
      </w:r>
    </w:p>
    <w:tbl>
      <w:tblPr>
        <w:tblW w:w="8760" w:type="dxa"/>
        <w:jc w:val="start"/>
        <w:tblInd w:w="15" w:type="dxa"/>
        <w:tblBorders/>
        <w:tblCellMar>
          <w:top w:w="0" w:type="dxa"/>
          <w:start w:w="15" w:type="dxa"/>
          <w:bottom w:w="0" w:type="dxa"/>
          <w:end w:w="15" w:type="dxa"/>
        </w:tblCellMar>
      </w:tblPr>
      <w:tblGrid>
        <w:gridCol w:w="2460"/>
        <w:gridCol w:w="4515"/>
        <w:gridCol w:w="1785"/>
      </w:tblGrid>
      <w:tr>
        <w:trPr/>
        <w:tc>
          <w:tcPr>
            <w:tcW w:w="2460" w:type="dxa"/>
            <w:tcBorders/>
            <w:shd w:fill="auto" w:val="clear"/>
          </w:tcPr>
          <w:p>
            <w:pPr>
              <w:pStyle w:val="Normal"/>
              <w:rPr/>
            </w:pPr>
            <w:r>
              <w:rPr>
                <w:vanish/>
              </w:rPr>
              <w:t>#G0</w:t>
            </w:r>
            <w:r>
              <w:rPr/>
              <w:t xml:space="preserve">  </w:t>
            </w:r>
          </w:p>
          <w:p>
            <w:pPr>
              <w:pStyle w:val="Normal"/>
              <w:ind w:firstLine="90"/>
              <w:jc w:val="both"/>
              <w:rPr/>
            </w:pPr>
            <w:r>
              <w:rPr/>
              <w:t xml:space="preserve">Примечания: 1. В табл. 2 </w:t>
            </w:r>
          </w:p>
          <w:p>
            <w:pPr>
              <w:pStyle w:val="Normal"/>
              <w:ind w:firstLine="90"/>
              <w:jc w:val="both"/>
              <w:rPr/>
            </w:pPr>
            <w:r>
              <w:rPr/>
            </w:r>
          </w:p>
        </w:tc>
        <w:tc>
          <w:tcPr>
            <w:tcW w:w="4515" w:type="dxa"/>
            <w:tcBorders/>
            <w:shd w:fill="auto" w:val="clear"/>
          </w:tcPr>
          <w:p>
            <w:pPr>
              <w:pStyle w:val="Normal"/>
              <w:rPr/>
            </w:pPr>
            <w:r>
              <w:rPr/>
              <w:t xml:space="preserve">  </w:t>
            </w:r>
          </w:p>
          <w:p>
            <w:pPr>
              <w:pStyle w:val="Normal"/>
              <w:rPr/>
            </w:pPr>
            <w:r>
              <w:rPr/>
              <w:drawing>
                <wp:inline distT="0" distB="0" distL="0" distR="0">
                  <wp:extent cx="1877695" cy="184150"/>
                  <wp:effectExtent l="0" t="0" r="0" b="0"/>
                  <wp:docPr id="201" name="Изображение2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Изображение201" descr="" title=""/>
                          <pic:cNvPicPr>
                            <a:picLocks noChangeAspect="1" noChangeArrowheads="1"/>
                          </pic:cNvPicPr>
                        </pic:nvPicPr>
                        <pic:blipFill>
                          <a:blip r:embed="rId202"/>
                          <a:stretch>
                            <a:fillRect/>
                          </a:stretch>
                        </pic:blipFill>
                        <pic:spPr bwMode="auto">
                          <a:xfrm>
                            <a:off x="0" y="0"/>
                            <a:ext cx="1877695" cy="184150"/>
                          </a:xfrm>
                          <a:prstGeom prst="rect">
                            <a:avLst/>
                          </a:prstGeom>
                        </pic:spPr>
                      </pic:pic>
                    </a:graphicData>
                  </a:graphic>
                </wp:inline>
              </w:drawing>
            </w:r>
          </w:p>
        </w:tc>
        <w:tc>
          <w:tcPr>
            <w:tcW w:w="1785" w:type="dxa"/>
            <w:tcBorders/>
            <w:shd w:fill="auto" w:val="clear"/>
          </w:tcPr>
          <w:p>
            <w:pPr>
              <w:pStyle w:val="Normal"/>
              <w:snapToGrid w:val="false"/>
              <w:rPr/>
            </w:pPr>
            <w:r>
              <w:rPr/>
            </w:r>
          </w:p>
          <w:p>
            <w:pPr>
              <w:pStyle w:val="Normal"/>
              <w:rPr/>
            </w:pPr>
            <w:r>
              <w:rPr/>
              <w:t xml:space="preserve">  </w:t>
            </w:r>
            <w:r>
              <w:rPr/>
              <w:t>- размеры частиц,</w:t>
            </w:r>
          </w:p>
          <w:p>
            <w:pPr>
              <w:pStyle w:val="Normal"/>
              <w:rPr/>
            </w:pPr>
            <w:r>
              <w:rPr/>
            </w:r>
          </w:p>
        </w:tc>
      </w:tr>
    </w:tbl>
    <w:tbl>
      <w:tblPr>
        <w:tblW w:w="1785" w:type="dxa"/>
        <w:jc w:val="start"/>
        <w:tblInd w:w="15" w:type="dxa"/>
        <w:tblBorders/>
        <w:tblCellMar>
          <w:top w:w="0" w:type="dxa"/>
          <w:start w:w="15" w:type="dxa"/>
          <w:bottom w:w="0" w:type="dxa"/>
          <w:end w:w="15" w:type="dxa"/>
        </w:tblCellMar>
      </w:tblPr>
      <w:tblGrid>
        <w:gridCol w:w="1785"/>
      </w:tblGrid>
      <w:tr>
        <w:trPr/>
        <w:tc>
          <w:tcPr>
            <w:tcW w:w="1785" w:type="dxa"/>
            <w:tcBorders/>
            <w:shd w:fill="auto" w:val="clear"/>
          </w:tcPr>
          <w:p>
            <w:pPr>
              <w:pStyle w:val="Normal"/>
              <w:snapToGrid w:val="false"/>
              <w:rPr/>
            </w:pPr>
            <w:r>
              <w:rPr/>
            </w:r>
          </w:p>
        </w:tc>
      </w:tr>
      <w:tr>
        <w:trPr/>
        <w:tc>
          <w:tcPr>
            <w:tcW w:w="1785" w:type="dxa"/>
            <w:tcBorders/>
            <w:shd w:fill="auto" w:val="clear"/>
          </w:tcPr>
          <w:p>
            <w:pPr>
              <w:pStyle w:val="Normal"/>
              <w:snapToGrid w:val="false"/>
              <w:rPr/>
            </w:pPr>
            <w:r>
              <w:rPr/>
            </w:r>
          </w:p>
        </w:tc>
      </w:tr>
    </w:tbl>
    <w:p>
      <w:pPr>
        <w:pStyle w:val="Normal"/>
        <w:jc w:val="both"/>
        <w:rPr/>
      </w:pPr>
      <w:r>
        <w:rPr/>
        <w:t>меньше которых в породе водоносного пласта содержится соответственно 10, 50 и 60 % (определяется по графику гранулометрического состава).</w:t>
      </w:r>
    </w:p>
    <w:tbl>
      <w:tblPr>
        <w:tblW w:w="8610" w:type="dxa"/>
        <w:jc w:val="start"/>
        <w:tblInd w:w="165" w:type="dxa"/>
        <w:tblBorders/>
        <w:tblCellMar>
          <w:top w:w="0" w:type="dxa"/>
          <w:start w:w="15" w:type="dxa"/>
          <w:bottom w:w="0" w:type="dxa"/>
          <w:end w:w="15" w:type="dxa"/>
        </w:tblCellMar>
      </w:tblPr>
      <w:tblGrid>
        <w:gridCol w:w="4140"/>
        <w:gridCol w:w="450"/>
        <w:gridCol w:w="4020"/>
      </w:tblGrid>
      <w:tr>
        <w:trPr/>
        <w:tc>
          <w:tcPr>
            <w:tcW w:w="4140" w:type="dxa"/>
            <w:tcBorders/>
            <w:shd w:fill="auto" w:val="clear"/>
          </w:tcPr>
          <w:p>
            <w:pPr>
              <w:pStyle w:val="Normal"/>
              <w:rPr/>
            </w:pPr>
            <w:r>
              <w:rPr>
                <w:vanish/>
              </w:rPr>
              <w:t>#G0</w:t>
            </w:r>
            <w:r>
              <w:rPr/>
              <w:t xml:space="preserve">  </w:t>
            </w:r>
          </w:p>
          <w:p>
            <w:pPr>
              <w:pStyle w:val="Normal"/>
              <w:ind w:firstLine="180"/>
              <w:jc w:val="both"/>
              <w:rPr/>
            </w:pPr>
            <w:r>
              <w:rPr/>
              <w:t xml:space="preserve">2. Меньшие значения коэффициентов при </w:t>
            </w:r>
          </w:p>
          <w:p>
            <w:pPr>
              <w:pStyle w:val="Normal"/>
              <w:ind w:firstLine="180"/>
              <w:jc w:val="both"/>
              <w:rPr/>
            </w:pPr>
            <w:r>
              <w:rPr/>
            </w:r>
          </w:p>
        </w:tc>
        <w:tc>
          <w:tcPr>
            <w:tcW w:w="450" w:type="dxa"/>
            <w:tcBorders/>
            <w:shd w:fill="auto" w:val="clear"/>
          </w:tcPr>
          <w:p>
            <w:pPr>
              <w:pStyle w:val="Normal"/>
              <w:rPr/>
            </w:pPr>
            <w:r>
              <w:rPr/>
              <w:t xml:space="preserve">  </w:t>
            </w:r>
          </w:p>
          <w:p>
            <w:pPr>
              <w:pStyle w:val="Normal"/>
              <w:rPr/>
            </w:pPr>
            <w:r>
              <w:rPr/>
              <w:drawing>
                <wp:inline distT="0" distB="0" distL="0" distR="0">
                  <wp:extent cx="195580" cy="184150"/>
                  <wp:effectExtent l="0" t="0" r="0" b="0"/>
                  <wp:docPr id="202" name="Изображение2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Изображение202" descr="" title=""/>
                          <pic:cNvPicPr>
                            <a:picLocks noChangeAspect="1" noChangeArrowheads="1"/>
                          </pic:cNvPicPr>
                        </pic:nvPicPr>
                        <pic:blipFill>
                          <a:blip r:embed="rId203"/>
                          <a:stretch>
                            <a:fillRect/>
                          </a:stretch>
                        </pic:blipFill>
                        <pic:spPr bwMode="auto">
                          <a:xfrm>
                            <a:off x="0" y="0"/>
                            <a:ext cx="195580" cy="184150"/>
                          </a:xfrm>
                          <a:prstGeom prst="rect">
                            <a:avLst/>
                          </a:prstGeom>
                        </pic:spPr>
                      </pic:pic>
                    </a:graphicData>
                  </a:graphic>
                </wp:inline>
              </w:drawing>
            </w:r>
          </w:p>
        </w:tc>
        <w:tc>
          <w:tcPr>
            <w:tcW w:w="4020" w:type="dxa"/>
            <w:tcBorders/>
            <w:shd w:fill="auto" w:val="clear"/>
          </w:tcPr>
          <w:p>
            <w:pPr>
              <w:pStyle w:val="Normal"/>
              <w:rPr/>
            </w:pPr>
            <w:r>
              <w:rPr/>
              <w:t xml:space="preserve">  </w:t>
            </w:r>
          </w:p>
          <w:p>
            <w:pPr>
              <w:pStyle w:val="Normal"/>
              <w:ind w:firstLine="45"/>
              <w:jc w:val="both"/>
              <w:rPr/>
            </w:pPr>
            <w:r>
              <w:rPr/>
              <w:t>относятся к мелкозернистым породам,</w:t>
            </w:r>
          </w:p>
          <w:p>
            <w:pPr>
              <w:pStyle w:val="Normal"/>
              <w:ind w:firstLine="45"/>
              <w:jc w:val="both"/>
              <w:rPr/>
            </w:pPr>
            <w:r>
              <w:rPr/>
            </w:r>
          </w:p>
        </w:tc>
      </w:tr>
    </w:tbl>
    <w:p>
      <w:pPr>
        <w:pStyle w:val="Normal"/>
        <w:ind w:firstLine="45"/>
        <w:jc w:val="both"/>
        <w:rPr/>
      </w:pPr>
      <w:r>
        <w:rPr/>
        <w:t>большие - к крупнозернистым.</w:t>
      </w:r>
    </w:p>
    <w:p>
      <w:pPr>
        <w:pStyle w:val="Normal"/>
        <w:ind w:firstLine="45"/>
        <w:jc w:val="both"/>
        <w:rPr/>
      </w:pPr>
      <w:r>
        <w:rPr/>
      </w:r>
    </w:p>
    <w:p>
      <w:pPr>
        <w:pStyle w:val="Normal"/>
        <w:ind w:firstLine="45"/>
        <w:jc w:val="both"/>
        <w:rPr/>
      </w:pPr>
      <w:r>
        <w:rPr/>
      </w:r>
    </w:p>
    <w:p>
      <w:pPr>
        <w:pStyle w:val="Normal"/>
        <w:ind w:firstLine="225"/>
        <w:jc w:val="both"/>
        <w:rPr/>
      </w:pPr>
      <w:r>
        <w:rPr/>
        <w:t>5. Размеры отверстий фильтров при устройстве гравийной обсыпки должны приниматься равными среднему диаметру частиц слоя обсыпки, примыкающего к стенкам фильтра.</w:t>
      </w:r>
    </w:p>
    <w:p>
      <w:pPr>
        <w:pStyle w:val="Normal"/>
        <w:ind w:firstLine="225"/>
        <w:jc w:val="both"/>
        <w:rPr/>
      </w:pPr>
      <w:r>
        <w:rPr/>
      </w:r>
    </w:p>
    <w:p>
      <w:pPr>
        <w:pStyle w:val="Normal"/>
        <w:ind w:firstLine="225"/>
        <w:jc w:val="both"/>
        <w:rPr/>
      </w:pPr>
      <w:r>
        <w:rPr/>
        <w:t>6. Скважность трубчатых фильтров с круглой или щелевой перфорацией должна быть 20-25 %, фильтров из проволочной обмотки или штампованного стального листа - не более 30-60 %.</w:t>
      </w:r>
    </w:p>
    <w:p>
      <w:pPr>
        <w:pStyle w:val="Normal"/>
        <w:ind w:firstLine="225"/>
        <w:jc w:val="both"/>
        <w:rPr/>
      </w:pPr>
      <w:r>
        <w:rPr/>
      </w:r>
    </w:p>
    <w:p>
      <w:pPr>
        <w:pStyle w:val="Normal"/>
        <w:ind w:firstLine="225"/>
        <w:jc w:val="both"/>
        <w:rPr/>
      </w:pPr>
      <w:r>
        <w:rPr/>
        <w:t>7. В качестве обсыпки фильтров надлежит применять песок, гравий и песчано-гравийные смеси.</w:t>
      </w:r>
    </w:p>
    <w:p>
      <w:pPr>
        <w:pStyle w:val="Normal"/>
        <w:ind w:firstLine="225"/>
        <w:jc w:val="both"/>
        <w:rPr/>
      </w:pPr>
      <w:r>
        <w:rPr/>
      </w:r>
    </w:p>
    <w:p>
      <w:pPr>
        <w:pStyle w:val="Normal"/>
        <w:ind w:firstLine="225"/>
        <w:jc w:val="both"/>
        <w:rPr/>
      </w:pPr>
      <w:r>
        <w:rPr/>
        <w:t>Подбор механического состава материалов обсыпок производится по соотношению</w:t>
      </w:r>
    </w:p>
    <w:p>
      <w:pPr>
        <w:pStyle w:val="Normal"/>
        <w:ind w:firstLine="225"/>
        <w:jc w:val="both"/>
        <w:rPr/>
      </w:pPr>
      <w:r>
        <w:rPr/>
      </w:r>
    </w:p>
    <w:p>
      <w:pPr>
        <w:pStyle w:val="Normal"/>
        <w:ind w:firstLine="225"/>
        <w:jc w:val="both"/>
        <w:rPr/>
      </w:pPr>
      <w:r>
        <w:rPr/>
        <w:tab/>
        <w:tab/>
        <w:tab/>
        <w:t xml:space="preserve">     </w:t>
      </w:r>
    </w:p>
    <w:tbl>
      <w:tblPr>
        <w:tblW w:w="6945" w:type="dxa"/>
        <w:jc w:val="start"/>
        <w:tblInd w:w="165" w:type="dxa"/>
        <w:tblBorders/>
        <w:tblCellMar>
          <w:top w:w="0" w:type="dxa"/>
          <w:start w:w="15" w:type="dxa"/>
          <w:bottom w:w="0" w:type="dxa"/>
          <w:end w:w="15" w:type="dxa"/>
        </w:tblCellMar>
      </w:tblPr>
      <w:tblGrid>
        <w:gridCol w:w="450"/>
        <w:gridCol w:w="585"/>
        <w:gridCol w:w="5910"/>
      </w:tblGrid>
      <w:tr>
        <w:trPr/>
        <w:tc>
          <w:tcPr>
            <w:tcW w:w="450" w:type="dxa"/>
            <w:tcBorders/>
            <w:shd w:fill="auto" w:val="clear"/>
          </w:tcPr>
          <w:p>
            <w:pPr>
              <w:pStyle w:val="Normal"/>
              <w:rPr/>
            </w:pPr>
            <w:r>
              <w:rPr/>
              <w:drawing>
                <wp:inline distT="0" distB="0" distL="0" distR="0">
                  <wp:extent cx="1071245" cy="219075"/>
                  <wp:effectExtent l="0" t="0" r="0" b="0"/>
                  <wp:docPr id="203" name="Изображение2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Изображение203" descr="" title=""/>
                          <pic:cNvPicPr>
                            <a:picLocks noChangeAspect="1" noChangeArrowheads="1"/>
                          </pic:cNvPicPr>
                        </pic:nvPicPr>
                        <pic:blipFill>
                          <a:blip r:embed="rId204"/>
                          <a:stretch>
                            <a:fillRect/>
                          </a:stretch>
                        </pic:blipFill>
                        <pic:spPr bwMode="auto">
                          <a:xfrm>
                            <a:off x="0" y="0"/>
                            <a:ext cx="1071245" cy="219075"/>
                          </a:xfrm>
                          <a:prstGeom prst="rect">
                            <a:avLst/>
                          </a:prstGeom>
                        </pic:spPr>
                      </pic:pic>
                    </a:graphicData>
                  </a:graphic>
                </wp:inline>
              </w:drawing>
            </w:r>
            <w:r>
              <w:rPr>
                <w:vanish/>
              </w:rPr>
              <w:t>#G0</w:t>
            </w:r>
            <w:r>
              <w:rPr/>
              <w:t xml:space="preserve">       где </w:t>
            </w:r>
          </w:p>
          <w:p>
            <w:pPr>
              <w:pStyle w:val="Normal"/>
              <w:rPr/>
            </w:pPr>
            <w:r>
              <w:rPr/>
            </w:r>
          </w:p>
        </w:tc>
        <w:tc>
          <w:tcPr>
            <w:tcW w:w="585" w:type="dxa"/>
            <w:tcBorders/>
            <w:shd w:fill="auto" w:val="clear"/>
          </w:tcPr>
          <w:p>
            <w:pPr>
              <w:pStyle w:val="Normal"/>
              <w:rPr/>
            </w:pPr>
            <w:r>
              <w:rPr/>
              <w:t xml:space="preserve">  </w:t>
            </w:r>
          </w:p>
          <w:p>
            <w:pPr>
              <w:pStyle w:val="Normal"/>
              <w:rPr/>
            </w:pPr>
            <w:r>
              <w:rPr/>
              <w:drawing>
                <wp:inline distT="0" distB="0" distL="0" distR="0">
                  <wp:extent cx="219075" cy="184150"/>
                  <wp:effectExtent l="0" t="0" r="0" b="0"/>
                  <wp:docPr id="204" name="Изображение2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Изображение204" descr="" title=""/>
                          <pic:cNvPicPr>
                            <a:picLocks noChangeAspect="1" noChangeArrowheads="1"/>
                          </pic:cNvPicPr>
                        </pic:nvPicPr>
                        <pic:blipFill>
                          <a:blip r:embed="rId205"/>
                          <a:stretch>
                            <a:fillRect/>
                          </a:stretch>
                        </pic:blipFill>
                        <pic:spPr bwMode="auto">
                          <a:xfrm>
                            <a:off x="0" y="0"/>
                            <a:ext cx="219075" cy="184150"/>
                          </a:xfrm>
                          <a:prstGeom prst="rect">
                            <a:avLst/>
                          </a:prstGeom>
                        </pic:spPr>
                      </pic:pic>
                    </a:graphicData>
                  </a:graphic>
                </wp:inline>
              </w:drawing>
            </w:r>
          </w:p>
        </w:tc>
        <w:tc>
          <w:tcPr>
            <w:tcW w:w="5910" w:type="dxa"/>
            <w:tcBorders/>
            <w:shd w:fill="auto" w:val="clear"/>
          </w:tcPr>
          <w:p>
            <w:pPr>
              <w:pStyle w:val="Normal"/>
              <w:rPr/>
            </w:pPr>
            <w:r>
              <w:rPr/>
              <w:t xml:space="preserve">  </w:t>
            </w:r>
          </w:p>
          <w:p>
            <w:pPr>
              <w:pStyle w:val="Normal"/>
              <w:ind w:firstLine="90"/>
              <w:jc w:val="both"/>
              <w:rPr/>
            </w:pPr>
            <w:r>
              <w:rPr/>
              <w:t>диаметр частиц, меньше которого в обсыпке содержится 50%.</w:t>
            </w:r>
          </w:p>
          <w:p>
            <w:pPr>
              <w:pStyle w:val="Normal"/>
              <w:ind w:firstLine="90"/>
              <w:jc w:val="both"/>
              <w:rPr/>
            </w:pPr>
            <w:r>
              <w:rPr/>
            </w:r>
          </w:p>
        </w:tc>
      </w:tr>
    </w:tbl>
    <w:p>
      <w:pPr>
        <w:pStyle w:val="Normal"/>
        <w:ind w:firstLine="225"/>
        <w:jc w:val="both"/>
        <w:rPr/>
      </w:pPr>
      <w:r>
        <w:rPr/>
      </w:r>
    </w:p>
    <w:p>
      <w:pPr>
        <w:pStyle w:val="Normal"/>
        <w:ind w:firstLine="225"/>
        <w:jc w:val="both"/>
        <w:rPr/>
      </w:pPr>
      <w:r>
        <w:rPr/>
        <w:t>8. В многослойных гравийных фильтрах толщина каждого слоя обсыпки должна приниматься для фильтров:</w:t>
      </w:r>
    </w:p>
    <w:p>
      <w:pPr>
        <w:pStyle w:val="Normal"/>
        <w:ind w:firstLine="225"/>
        <w:jc w:val="both"/>
        <w:rPr/>
      </w:pPr>
      <w:r>
        <w:rPr/>
      </w:r>
    </w:p>
    <w:p>
      <w:pPr>
        <w:pStyle w:val="Normal"/>
        <w:ind w:firstLine="225"/>
        <w:jc w:val="both"/>
        <w:rPr/>
      </w:pPr>
      <w:r>
        <w:rPr/>
        <w:t>собираемых на поверхности земли, не менее 30 мм;</w:t>
      </w:r>
    </w:p>
    <w:p>
      <w:pPr>
        <w:pStyle w:val="Normal"/>
        <w:ind w:firstLine="225"/>
        <w:jc w:val="both"/>
        <w:rPr/>
      </w:pPr>
      <w:r>
        <w:rPr/>
      </w:r>
    </w:p>
    <w:p>
      <w:pPr>
        <w:pStyle w:val="Normal"/>
        <w:ind w:firstLine="225"/>
        <w:jc w:val="both"/>
        <w:rPr/>
      </w:pPr>
      <w:r>
        <w:rPr/>
        <w:t>создаваемых в забое скважины, не менее 50 мм.</w:t>
      </w:r>
    </w:p>
    <w:p>
      <w:pPr>
        <w:pStyle w:val="Normal"/>
        <w:ind w:firstLine="225"/>
        <w:jc w:val="both"/>
        <w:rPr/>
      </w:pPr>
      <w:r>
        <w:rPr/>
      </w:r>
    </w:p>
    <w:p>
      <w:pPr>
        <w:pStyle w:val="Normal"/>
        <w:ind w:firstLine="225"/>
        <w:jc w:val="both"/>
        <w:rPr/>
      </w:pPr>
      <w:r>
        <w:rPr/>
        <w:t>9. Подбор механического состава материала при устройстве двух- и трехслойных гравийных обсыпок фильтров надлежит производить по соотношению</w:t>
      </w:r>
    </w:p>
    <w:p>
      <w:pPr>
        <w:pStyle w:val="Normal"/>
        <w:ind w:firstLine="225"/>
        <w:jc w:val="both"/>
        <w:rPr/>
      </w:pPr>
      <w:r>
        <w:rPr/>
      </w:r>
    </w:p>
    <w:p>
      <w:pPr>
        <w:pStyle w:val="Normal"/>
        <w:ind w:firstLine="270"/>
        <w:jc w:val="both"/>
        <w:rPr/>
      </w:pPr>
      <w:r>
        <w:rPr/>
        <w:tab/>
        <w:tab/>
        <w:tab/>
        <w:t xml:space="preserve">     </w:t>
      </w:r>
    </w:p>
    <w:p>
      <w:pPr>
        <w:pStyle w:val="Normal"/>
        <w:ind w:firstLine="270"/>
        <w:jc w:val="both"/>
        <w:rPr/>
      </w:pPr>
      <w:r>
        <w:rPr/>
        <w:drawing>
          <wp:inline distT="0" distB="0" distL="0" distR="0">
            <wp:extent cx="967740" cy="219075"/>
            <wp:effectExtent l="0" t="0" r="0" b="0"/>
            <wp:docPr id="205" name="Изображение2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Изображение205" descr="" title=""/>
                    <pic:cNvPicPr>
                      <a:picLocks noChangeAspect="1" noChangeArrowheads="1"/>
                    </pic:cNvPicPr>
                  </pic:nvPicPr>
                  <pic:blipFill>
                    <a:blip r:embed="rId206"/>
                    <a:stretch>
                      <a:fillRect/>
                    </a:stretch>
                  </pic:blipFill>
                  <pic:spPr bwMode="auto">
                    <a:xfrm>
                      <a:off x="0" y="0"/>
                      <a:ext cx="967740" cy="219075"/>
                    </a:xfrm>
                    <a:prstGeom prst="rect">
                      <a:avLst/>
                    </a:prstGeom>
                  </pic:spPr>
                </pic:pic>
              </a:graphicData>
            </a:graphic>
          </wp:inline>
        </w:drawing>
      </w:r>
    </w:p>
    <w:p>
      <w:pPr>
        <w:pStyle w:val="Normal"/>
        <w:ind w:firstLine="270"/>
        <w:jc w:val="both"/>
        <w:rPr/>
      </w:pPr>
      <w:r>
        <w:rPr/>
      </w:r>
    </w:p>
    <w:tbl>
      <w:tblPr>
        <w:tblW w:w="8265" w:type="dxa"/>
        <w:jc w:val="start"/>
        <w:tblInd w:w="165" w:type="dxa"/>
        <w:tblBorders/>
        <w:tblCellMar>
          <w:top w:w="0" w:type="dxa"/>
          <w:start w:w="15" w:type="dxa"/>
          <w:bottom w:w="0" w:type="dxa"/>
          <w:end w:w="15" w:type="dxa"/>
        </w:tblCellMar>
      </w:tblPr>
      <w:tblGrid>
        <w:gridCol w:w="450"/>
        <w:gridCol w:w="1920"/>
        <w:gridCol w:w="5895"/>
      </w:tblGrid>
      <w:tr>
        <w:trPr/>
        <w:tc>
          <w:tcPr>
            <w:tcW w:w="450" w:type="dxa"/>
            <w:tcBorders/>
            <w:shd w:fill="auto" w:val="clear"/>
          </w:tcPr>
          <w:p>
            <w:pPr>
              <w:pStyle w:val="Normal"/>
              <w:rPr/>
            </w:pPr>
            <w:r>
              <w:rPr>
                <w:vanish/>
              </w:rPr>
              <w:t>#G0</w:t>
            </w:r>
            <w:r>
              <w:rPr/>
              <w:t xml:space="preserve">  где </w:t>
            </w:r>
          </w:p>
          <w:p>
            <w:pPr>
              <w:pStyle w:val="Normal"/>
              <w:rPr/>
            </w:pPr>
            <w:r>
              <w:rPr/>
            </w:r>
          </w:p>
        </w:tc>
        <w:tc>
          <w:tcPr>
            <w:tcW w:w="1920" w:type="dxa"/>
            <w:tcBorders/>
            <w:shd w:fill="auto" w:val="clear"/>
          </w:tcPr>
          <w:p>
            <w:pPr>
              <w:pStyle w:val="Normal"/>
              <w:rPr/>
            </w:pPr>
            <w:r>
              <w:rPr/>
              <w:drawing>
                <wp:inline distT="0" distB="0" distL="0" distR="0">
                  <wp:extent cx="518160" cy="184150"/>
                  <wp:effectExtent l="0" t="0" r="0" b="0"/>
                  <wp:docPr id="206" name="Изображение2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Изображение206" descr="" title=""/>
                          <pic:cNvPicPr>
                            <a:picLocks noChangeAspect="1" noChangeArrowheads="1"/>
                          </pic:cNvPicPr>
                        </pic:nvPicPr>
                        <pic:blipFill>
                          <a:blip r:embed="rId207"/>
                          <a:stretch>
                            <a:fillRect/>
                          </a:stretch>
                        </pic:blipFill>
                        <pic:spPr bwMode="auto">
                          <a:xfrm>
                            <a:off x="0" y="0"/>
                            <a:ext cx="518160" cy="184150"/>
                          </a:xfrm>
                          <a:prstGeom prst="rect">
                            <a:avLst/>
                          </a:prstGeom>
                        </pic:spPr>
                      </pic:pic>
                    </a:graphicData>
                  </a:graphic>
                </wp:inline>
              </w:drawing>
            </w:r>
            <w:r>
              <w:rPr/>
              <w:t xml:space="preserve">  </w:t>
            </w:r>
          </w:p>
          <w:p>
            <w:pPr>
              <w:pStyle w:val="Normal"/>
              <w:rPr/>
            </w:pPr>
            <w:r>
              <w:rPr/>
            </w:r>
          </w:p>
        </w:tc>
        <w:tc>
          <w:tcPr>
            <w:tcW w:w="5895" w:type="dxa"/>
            <w:tcBorders/>
            <w:shd w:fill="auto" w:val="clear"/>
          </w:tcPr>
          <w:p>
            <w:pPr>
              <w:pStyle w:val="Normal"/>
              <w:rPr/>
            </w:pPr>
            <w:r>
              <w:rPr/>
              <w:t xml:space="preserve">  </w:t>
            </w:r>
            <w:r>
              <w:rPr/>
              <w:t>-  средние диаметры частиц материала соседних слоев обсыпки.</w:t>
            </w:r>
          </w:p>
          <w:p>
            <w:pPr>
              <w:pStyle w:val="Normal"/>
              <w:rPr/>
            </w:pPr>
            <w:r>
              <w:rPr/>
            </w:r>
          </w:p>
        </w:tc>
      </w:tr>
    </w:tbl>
    <w:p>
      <w:pPr>
        <w:pStyle w:val="Normal"/>
        <w:ind w:firstLine="225"/>
        <w:jc w:val="both"/>
        <w:rPr/>
      </w:pPr>
      <w:r>
        <w:rPr/>
        <w:t xml:space="preserve">10. При подборе гравийного материала фильтров надлежит выдерживать соотношение: </w:t>
      </w:r>
    </w:p>
    <w:p>
      <w:pPr>
        <w:pStyle w:val="Normal"/>
        <w:ind w:firstLine="225"/>
        <w:jc w:val="both"/>
        <w:rPr/>
      </w:pPr>
      <w:r>
        <w:rPr/>
      </w:r>
    </w:p>
    <w:p>
      <w:pPr>
        <w:pStyle w:val="Normal"/>
        <w:ind w:firstLine="225"/>
        <w:jc w:val="both"/>
        <w:rPr/>
      </w:pPr>
      <w:r>
        <w:rPr/>
        <w:t>для блочных из пористого бетона или из пористой керамики</w:t>
      </w:r>
    </w:p>
    <w:p>
      <w:pPr>
        <w:pStyle w:val="Normal"/>
        <w:ind w:firstLine="225"/>
        <w:jc w:val="both"/>
        <w:rPr/>
      </w:pPr>
      <w:r>
        <w:rPr/>
      </w:r>
    </w:p>
    <w:p>
      <w:pPr>
        <w:pStyle w:val="Normal"/>
        <w:ind w:firstLine="225"/>
        <w:jc w:val="both"/>
        <w:rPr/>
      </w:pPr>
      <w:r>
        <w:rPr/>
        <w:tab/>
        <w:tab/>
        <w:tab/>
        <w:t xml:space="preserve">     </w:t>
      </w:r>
    </w:p>
    <w:p>
      <w:pPr>
        <w:pStyle w:val="Normal"/>
        <w:ind w:firstLine="225"/>
        <w:jc w:val="both"/>
        <w:rPr/>
      </w:pPr>
      <w:r>
        <w:rPr/>
        <w:drawing>
          <wp:inline distT="0" distB="0" distL="0" distR="0">
            <wp:extent cx="1151890" cy="241935"/>
            <wp:effectExtent l="0" t="0" r="0" b="0"/>
            <wp:docPr id="207" name="Изображение2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Изображение207" descr="" title=""/>
                    <pic:cNvPicPr>
                      <a:picLocks noChangeAspect="1" noChangeArrowheads="1"/>
                    </pic:cNvPicPr>
                  </pic:nvPicPr>
                  <pic:blipFill>
                    <a:blip r:embed="rId208"/>
                    <a:stretch>
                      <a:fillRect/>
                    </a:stretch>
                  </pic:blipFill>
                  <pic:spPr bwMode="auto">
                    <a:xfrm>
                      <a:off x="0" y="0"/>
                      <a:ext cx="1151890" cy="241935"/>
                    </a:xfrm>
                    <a:prstGeom prst="rect">
                      <a:avLst/>
                    </a:prstGeom>
                  </pic:spPr>
                </pic:pic>
              </a:graphicData>
            </a:graphic>
          </wp:inline>
        </w:drawing>
      </w:r>
    </w:p>
    <w:p>
      <w:pPr>
        <w:pStyle w:val="Normal"/>
        <w:ind w:firstLine="225"/>
        <w:jc w:val="both"/>
        <w:rPr/>
      </w:pPr>
      <w:r>
        <w:rPr/>
        <w:t>для клеевых</w:t>
      </w:r>
    </w:p>
    <w:p>
      <w:pPr>
        <w:pStyle w:val="Normal"/>
        <w:ind w:firstLine="225"/>
        <w:jc w:val="both"/>
        <w:rPr/>
      </w:pPr>
      <w:r>
        <w:rPr/>
        <w:tab/>
        <w:tab/>
        <w:tab/>
        <w:t xml:space="preserve">     </w:t>
      </w:r>
    </w:p>
    <w:tbl>
      <w:tblPr>
        <w:tblW w:w="6510" w:type="dxa"/>
        <w:jc w:val="start"/>
        <w:tblInd w:w="165" w:type="dxa"/>
        <w:tblBorders/>
        <w:tblCellMar>
          <w:top w:w="0" w:type="dxa"/>
          <w:start w:w="15" w:type="dxa"/>
          <w:bottom w:w="0" w:type="dxa"/>
          <w:end w:w="15" w:type="dxa"/>
        </w:tblCellMar>
      </w:tblPr>
      <w:tblGrid>
        <w:gridCol w:w="450"/>
        <w:gridCol w:w="780"/>
        <w:gridCol w:w="5280"/>
      </w:tblGrid>
      <w:tr>
        <w:trPr/>
        <w:tc>
          <w:tcPr>
            <w:tcW w:w="450" w:type="dxa"/>
            <w:tcBorders/>
            <w:shd w:fill="auto" w:val="clear"/>
          </w:tcPr>
          <w:p>
            <w:pPr>
              <w:pStyle w:val="Normal"/>
              <w:rPr/>
            </w:pPr>
            <w:r>
              <w:rPr/>
              <w:drawing>
                <wp:inline distT="0" distB="0" distL="0" distR="0">
                  <wp:extent cx="1094105" cy="241935"/>
                  <wp:effectExtent l="0" t="0" r="0" b="0"/>
                  <wp:docPr id="208" name="Изображение2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Изображение208" descr="" title=""/>
                          <pic:cNvPicPr>
                            <a:picLocks noChangeAspect="1" noChangeArrowheads="1"/>
                          </pic:cNvPicPr>
                        </pic:nvPicPr>
                        <pic:blipFill>
                          <a:blip r:embed="rId209"/>
                          <a:stretch>
                            <a:fillRect/>
                          </a:stretch>
                        </pic:blipFill>
                        <pic:spPr bwMode="auto">
                          <a:xfrm>
                            <a:off x="0" y="0"/>
                            <a:ext cx="1094105" cy="241935"/>
                          </a:xfrm>
                          <a:prstGeom prst="rect">
                            <a:avLst/>
                          </a:prstGeom>
                        </pic:spPr>
                      </pic:pic>
                    </a:graphicData>
                  </a:graphic>
                </wp:inline>
              </w:drawing>
            </w:r>
            <w:r>
              <w:rPr>
                <w:vanish/>
              </w:rPr>
              <w:t>#G0</w:t>
            </w:r>
            <w:r>
              <w:rPr/>
              <w:t xml:space="preserve">       где </w:t>
            </w:r>
          </w:p>
          <w:p>
            <w:pPr>
              <w:pStyle w:val="Normal"/>
              <w:rPr/>
            </w:pPr>
            <w:r>
              <w:rPr/>
            </w:r>
          </w:p>
        </w:tc>
        <w:tc>
          <w:tcPr>
            <w:tcW w:w="780" w:type="dxa"/>
            <w:tcBorders/>
            <w:shd w:fill="auto" w:val="clear"/>
          </w:tcPr>
          <w:p>
            <w:pPr>
              <w:pStyle w:val="Normal"/>
              <w:rPr/>
            </w:pPr>
            <w:r>
              <w:rPr/>
              <w:t xml:space="preserve">  </w:t>
            </w:r>
          </w:p>
          <w:p>
            <w:pPr>
              <w:pStyle w:val="Normal"/>
              <w:rPr/>
            </w:pPr>
            <w:r>
              <w:rPr/>
              <w:drawing>
                <wp:inline distT="0" distB="0" distL="0" distR="0">
                  <wp:extent cx="334010" cy="241935"/>
                  <wp:effectExtent l="0" t="0" r="0" b="0"/>
                  <wp:docPr id="209" name="Изображение2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Изображение209" descr="" title=""/>
                          <pic:cNvPicPr>
                            <a:picLocks noChangeAspect="1" noChangeArrowheads="1"/>
                          </pic:cNvPicPr>
                        </pic:nvPicPr>
                        <pic:blipFill>
                          <a:blip r:embed="rId210"/>
                          <a:stretch>
                            <a:fillRect/>
                          </a:stretch>
                        </pic:blipFill>
                        <pic:spPr bwMode="auto">
                          <a:xfrm>
                            <a:off x="0" y="0"/>
                            <a:ext cx="334010" cy="241935"/>
                          </a:xfrm>
                          <a:prstGeom prst="rect">
                            <a:avLst/>
                          </a:prstGeom>
                        </pic:spPr>
                      </pic:pic>
                    </a:graphicData>
                  </a:graphic>
                </wp:inline>
              </w:drawing>
            </w:r>
          </w:p>
        </w:tc>
        <w:tc>
          <w:tcPr>
            <w:tcW w:w="5280" w:type="dxa"/>
            <w:tcBorders/>
            <w:shd w:fill="auto" w:val="clear"/>
          </w:tcPr>
          <w:p>
            <w:pPr>
              <w:pStyle w:val="Normal"/>
              <w:snapToGrid w:val="false"/>
              <w:jc w:val="both"/>
              <w:rPr/>
            </w:pPr>
            <w:r>
              <w:rPr/>
            </w:r>
          </w:p>
          <w:p>
            <w:pPr>
              <w:pStyle w:val="Normal"/>
              <w:jc w:val="both"/>
              <w:rPr/>
            </w:pPr>
            <w:r>
              <w:rPr/>
              <w:t xml:space="preserve">-  средний диаметр частиц гравия в блоке фильтра. </w:t>
            </w:r>
          </w:p>
          <w:p>
            <w:pPr>
              <w:pStyle w:val="Normal"/>
              <w:jc w:val="both"/>
              <w:rPr/>
            </w:pPr>
            <w:r>
              <w:rPr/>
            </w:r>
          </w:p>
        </w:tc>
      </w:tr>
    </w:tbl>
    <w:p>
      <w:pPr>
        <w:pStyle w:val="Normal"/>
        <w:ind w:firstLine="225"/>
        <w:jc w:val="both"/>
        <w:rPr/>
      </w:pPr>
      <w:r>
        <w:rPr/>
        <w:t>11. Материал, используемый для фильтров в скважинах, следует обеззараживать.</w:t>
      </w:r>
    </w:p>
    <w:p>
      <w:pPr>
        <w:pStyle w:val="Normal"/>
        <w:ind w:firstLine="225"/>
        <w:jc w:val="both"/>
        <w:rPr/>
      </w:pPr>
      <w:r>
        <w:rPr/>
      </w:r>
    </w:p>
    <w:p>
      <w:pPr>
        <w:pStyle w:val="Normal"/>
        <w:ind w:firstLine="225"/>
        <w:jc w:val="both"/>
        <w:rPr/>
      </w:pPr>
      <w:r>
        <w:rPr/>
      </w:r>
    </w:p>
    <w:p>
      <w:pPr>
        <w:pStyle w:val="Normal"/>
        <w:jc w:val="end"/>
        <w:rPr/>
      </w:pPr>
      <w:r>
        <w:rPr/>
        <w:t xml:space="preserve">Приложение 3 </w:t>
      </w:r>
    </w:p>
    <w:p>
      <w:pPr>
        <w:pStyle w:val="Normal"/>
        <w:jc w:val="end"/>
        <w:rPr/>
      </w:pPr>
      <w:r>
        <w:rPr/>
        <w:t xml:space="preserve">Рекомендуемое </w:t>
      </w:r>
    </w:p>
    <w:p>
      <w:pPr>
        <w:pStyle w:val="Normal"/>
        <w:ind w:firstLine="270"/>
        <w:jc w:val="both"/>
        <w:rPr/>
      </w:pPr>
      <w:r>
        <w:rPr/>
      </w:r>
    </w:p>
    <w:p>
      <w:pPr>
        <w:pStyle w:val="Normal"/>
        <w:ind w:firstLine="225"/>
        <w:jc w:val="both"/>
        <w:rPr/>
      </w:pPr>
      <w:r>
        <w:rPr/>
      </w:r>
    </w:p>
    <w:p>
      <w:pPr>
        <w:pStyle w:val="Heading"/>
        <w:jc w:val="center"/>
        <w:rPr/>
      </w:pPr>
      <w:r>
        <w:rPr/>
        <w:t>ОПРОБОВАНИЕ И РЕЖИМНЫЕ НАБЛЮДЕНИЯ</w:t>
      </w:r>
    </w:p>
    <w:p>
      <w:pPr>
        <w:pStyle w:val="Heading"/>
        <w:jc w:val="center"/>
        <w:rPr/>
      </w:pPr>
      <w:r>
        <w:rPr/>
        <w:t xml:space="preserve">ВОДОЗАБОРОВ ПОДЗЕМНЫХ ВОД </w:t>
      </w:r>
    </w:p>
    <w:p>
      <w:pPr>
        <w:pStyle w:val="Normal"/>
        <w:ind w:firstLine="270"/>
        <w:jc w:val="both"/>
        <w:rPr/>
      </w:pPr>
      <w:r>
        <w:rPr/>
      </w:r>
    </w:p>
    <w:p>
      <w:pPr>
        <w:pStyle w:val="Normal"/>
        <w:ind w:firstLine="270"/>
        <w:jc w:val="both"/>
        <w:rPr/>
      </w:pPr>
      <w:r>
        <w:rPr/>
      </w:r>
    </w:p>
    <w:p>
      <w:pPr>
        <w:pStyle w:val="Normal"/>
        <w:ind w:firstLine="225"/>
        <w:jc w:val="both"/>
        <w:rPr/>
      </w:pPr>
      <w:r>
        <w:rPr/>
        <w:t>1. Для установления соответствия фактического дебита водозабора подземных вод принятому в проекте надлежит предусматривать их опробование откачками.</w:t>
      </w:r>
    </w:p>
    <w:p>
      <w:pPr>
        <w:pStyle w:val="Normal"/>
        <w:ind w:firstLine="225"/>
        <w:jc w:val="both"/>
        <w:rPr/>
      </w:pPr>
      <w:r>
        <w:rPr/>
      </w:r>
    </w:p>
    <w:p>
      <w:pPr>
        <w:pStyle w:val="Normal"/>
        <w:ind w:firstLine="225"/>
        <w:jc w:val="both"/>
        <w:rPr/>
      </w:pPr>
      <w:r>
        <w:rPr/>
        <w:t>2. Откачки должны производиться при двух понижениях: с дебитом, равным принятому в проекте, и на 25-30% больше его.</w:t>
      </w:r>
    </w:p>
    <w:p>
      <w:pPr>
        <w:pStyle w:val="Normal"/>
        <w:ind w:firstLine="225"/>
        <w:jc w:val="both"/>
        <w:rPr/>
      </w:pPr>
      <w:r>
        <w:rPr/>
      </w:r>
    </w:p>
    <w:p>
      <w:pPr>
        <w:pStyle w:val="Normal"/>
        <w:ind w:firstLine="225"/>
        <w:jc w:val="both"/>
        <w:rPr/>
      </w:pPr>
      <w:r>
        <w:rPr/>
        <w:t>3. Общая продолжительность откачек должна составлять 1-2 сут на каждое понижение после установления постоянного динамического уровня при заданном дебите.</w:t>
      </w:r>
    </w:p>
    <w:p>
      <w:pPr>
        <w:pStyle w:val="Normal"/>
        <w:ind w:firstLine="225"/>
        <w:jc w:val="both"/>
        <w:rPr/>
      </w:pPr>
      <w:r>
        <w:rPr/>
      </w:r>
    </w:p>
    <w:p>
      <w:pPr>
        <w:pStyle w:val="Normal"/>
        <w:ind w:firstLine="225"/>
        <w:jc w:val="both"/>
        <w:rPr/>
      </w:pPr>
      <w:r>
        <w:rPr/>
        <w:t>В случае неустановившегося режима продолжительность откачки должна быть достаточной для установления закономерности снижения дебита при постоянном уровне или уровня при постоянном дебите.</w:t>
      </w:r>
    </w:p>
    <w:p>
      <w:pPr>
        <w:pStyle w:val="Normal"/>
        <w:ind w:firstLine="225"/>
        <w:jc w:val="both"/>
        <w:rPr/>
      </w:pPr>
      <w:r>
        <w:rPr/>
      </w:r>
    </w:p>
    <w:p>
      <w:pPr>
        <w:pStyle w:val="Normal"/>
        <w:ind w:firstLine="225"/>
        <w:jc w:val="both"/>
        <w:rPr/>
      </w:pPr>
      <w:r>
        <w:rPr/>
        <w:t>4. В проектах водозаборов подземных вод должна предусматриваться режимная сеть наблюдательных скважин или водомерных постов (при каптаже родников) для наблюдения за уровнями, дебитом, температурой и качеством воды. При этом следует использовать эксплуатационные скважины и другие водозаборные сооружения, оборудованные по проекту с учетом производства по ним полного комплекса режимных наблюдений.</w:t>
      </w:r>
    </w:p>
    <w:p>
      <w:pPr>
        <w:pStyle w:val="Normal"/>
        <w:ind w:firstLine="225"/>
        <w:jc w:val="both"/>
        <w:rPr/>
      </w:pPr>
      <w:r>
        <w:rPr/>
      </w:r>
    </w:p>
    <w:p>
      <w:pPr>
        <w:pStyle w:val="Normal"/>
        <w:ind w:firstLine="225"/>
        <w:jc w:val="both"/>
        <w:rPr/>
      </w:pPr>
      <w:r>
        <w:rPr/>
        <w:t>5. Конструкция наблюдательных скважин, их количество и расположение должны приниматься в соответствии с гидрогеологическими условиями, при этом наблюдательные скважины необходимо оборудовать фильтром диаметром 89-110 мм.</w:t>
      </w:r>
    </w:p>
    <w:p>
      <w:pPr>
        <w:pStyle w:val="Normal"/>
        <w:ind w:firstLine="225"/>
        <w:jc w:val="both"/>
        <w:rPr/>
      </w:pPr>
      <w:r>
        <w:rPr/>
      </w:r>
    </w:p>
    <w:p>
      <w:pPr>
        <w:pStyle w:val="Normal"/>
        <w:ind w:firstLine="225"/>
        <w:jc w:val="both"/>
        <w:rPr/>
      </w:pPr>
      <w:r>
        <w:rPr/>
        <w:t>6. Глубина наблюдательных скважин должна приниматься из условия расположения:</w:t>
      </w:r>
    </w:p>
    <w:p>
      <w:pPr>
        <w:pStyle w:val="Normal"/>
        <w:ind w:firstLine="225"/>
        <w:jc w:val="both"/>
        <w:rPr/>
      </w:pPr>
      <w:r>
        <w:rPr/>
      </w:r>
    </w:p>
    <w:p>
      <w:pPr>
        <w:pStyle w:val="Normal"/>
        <w:ind w:firstLine="225"/>
        <w:jc w:val="both"/>
        <w:rPr/>
      </w:pPr>
      <w:r>
        <w:rPr/>
        <w:t>в водоносном пласте со свободной поверхностью при глубине эксплуатационных скважин до 15 м - фильтра на той же глубине, что и в эксплуатационных скважинах;</w:t>
      </w:r>
    </w:p>
    <w:p>
      <w:pPr>
        <w:pStyle w:val="Normal"/>
        <w:ind w:firstLine="225"/>
        <w:jc w:val="both"/>
        <w:rPr/>
      </w:pPr>
      <w:r>
        <w:rPr/>
      </w:r>
    </w:p>
    <w:p>
      <w:pPr>
        <w:pStyle w:val="Normal"/>
        <w:ind w:firstLine="225"/>
        <w:jc w:val="both"/>
        <w:rPr/>
      </w:pPr>
      <w:r>
        <w:rPr/>
        <w:t>в водоносном пласте со свободной поверхностью при глубине эксплуатационных скважин более 15 м - верха рабочей части фильтра на 2-3 м ниже возможного наинизшего динамического уровня в водоносном пласте;</w:t>
      </w:r>
    </w:p>
    <w:p>
      <w:pPr>
        <w:pStyle w:val="Normal"/>
        <w:ind w:firstLine="225"/>
        <w:jc w:val="both"/>
        <w:rPr/>
      </w:pPr>
      <w:r>
        <w:rPr/>
      </w:r>
    </w:p>
    <w:p>
      <w:pPr>
        <w:pStyle w:val="Normal"/>
        <w:ind w:firstLine="225"/>
        <w:jc w:val="both"/>
        <w:rPr/>
      </w:pPr>
      <w:r>
        <w:rPr/>
        <w:t>в напорном водоносном пласте при динамическом уровне выше кровли пласта - рабочей части фильтра в верхней трети водоносного пласта; при осушении части пласта - верха фильтра на 2-3 м ниже динамического уровня,</w:t>
      </w:r>
    </w:p>
    <w:p>
      <w:pPr>
        <w:pStyle w:val="Normal"/>
        <w:ind w:firstLine="225"/>
        <w:jc w:val="both"/>
        <w:rPr/>
      </w:pPr>
      <w:r>
        <w:rPr/>
      </w:r>
    </w:p>
    <w:p>
      <w:pPr>
        <w:pStyle w:val="Normal"/>
        <w:ind w:firstLine="225"/>
        <w:jc w:val="both"/>
        <w:rPr/>
      </w:pPr>
      <w:r>
        <w:rPr/>
        <w:t>в водоносных пластах, эксплуатация которых рассчитана на сработку статических запасов, - верха рабочей части фильтра на 2-3 м ниже положения динамического уровня к концу расчетного срока эксплуатации водозабора.</w:t>
      </w:r>
    </w:p>
    <w:p>
      <w:pPr>
        <w:pStyle w:val="Normal"/>
        <w:ind w:firstLine="225"/>
        <w:jc w:val="both"/>
        <w:rPr/>
      </w:pPr>
      <w:r>
        <w:rPr/>
      </w:r>
    </w:p>
    <w:p>
      <w:pPr>
        <w:pStyle w:val="Normal"/>
        <w:ind w:firstLine="225"/>
        <w:jc w:val="both"/>
        <w:rPr/>
      </w:pPr>
      <w:r>
        <w:rPr/>
        <w:t>7. Глубину наблюдательных скважин на водозаборах из шахтных колодцев, лучевых и горизонтальных водозаборах надлежит принимать равной глубине заложения водоприемных частей водозаборов.</w:t>
      </w:r>
    </w:p>
    <w:p>
      <w:pPr>
        <w:pStyle w:val="Normal"/>
        <w:ind w:firstLine="225"/>
        <w:jc w:val="both"/>
        <w:rPr/>
      </w:pPr>
      <w:r>
        <w:rPr/>
      </w:r>
    </w:p>
    <w:p>
      <w:pPr>
        <w:pStyle w:val="Normal"/>
        <w:ind w:firstLine="225"/>
        <w:jc w:val="both"/>
        <w:rPr/>
      </w:pPr>
      <w:r>
        <w:rPr/>
        <w:t>8. В наблюдательных скважинах верховодка и водоносные пласты, залегающие выше эксплуатационного водоносного пласта, должны быть изолированы.</w:t>
      </w:r>
    </w:p>
    <w:p>
      <w:pPr>
        <w:pStyle w:val="Normal"/>
        <w:ind w:firstLine="225"/>
        <w:jc w:val="both"/>
        <w:rPr/>
      </w:pPr>
      <w:r>
        <w:rPr/>
      </w:r>
    </w:p>
    <w:p>
      <w:pPr>
        <w:pStyle w:val="Normal"/>
        <w:ind w:firstLine="225"/>
        <w:jc w:val="both"/>
        <w:rPr/>
      </w:pPr>
      <w:r>
        <w:rPr/>
        <w:t>9. При необходимости надлежит предусматривать устройство скважин для наблюдения за верхними неэксплуатируемыми водоносными пластами.</w:t>
      </w:r>
    </w:p>
    <w:p>
      <w:pPr>
        <w:pStyle w:val="Normal"/>
        <w:ind w:firstLine="225"/>
        <w:jc w:val="both"/>
        <w:rPr/>
      </w:pPr>
      <w:r>
        <w:rPr/>
      </w:r>
    </w:p>
    <w:p>
      <w:pPr>
        <w:pStyle w:val="Normal"/>
        <w:ind w:firstLine="225"/>
        <w:jc w:val="both"/>
        <w:rPr/>
      </w:pPr>
      <w:r>
        <w:rPr/>
        <w:t>10. Для предохранения наблюдательных скважин от засорения верх фильтровой колонны или обсадной трубы должен быть закрыт крышкой.</w:t>
      </w:r>
    </w:p>
    <w:p>
      <w:pPr>
        <w:pStyle w:val="Normal"/>
        <w:ind w:firstLine="225"/>
        <w:jc w:val="both"/>
        <w:rPr/>
      </w:pPr>
      <w:r>
        <w:rPr/>
      </w:r>
    </w:p>
    <w:p>
      <w:pPr>
        <w:pStyle w:val="Normal"/>
        <w:ind w:firstLine="225"/>
        <w:jc w:val="both"/>
        <w:rPr/>
      </w:pPr>
      <w:r>
        <w:rPr/>
        <w:t>11. На участках инфильтрационных водозаборов наблюдательные скважины надлежит размещать также между водозабором и поверхностным водотоком или водоемом и при необходимости на их противоположном берегу в зоне действия водозабора. При наличии очагов возможного загрязнения подземных вод в районе водозабора (мест сброса промышленных сточных вод, водоемов с высокоминерализованными водами, заболоченных торфяников и т.п.) между ними и водозаборами надлежит предусматривать дополнительные наблюдательные скважины.</w:t>
      </w:r>
    </w:p>
    <w:p>
      <w:pPr>
        <w:pStyle w:val="Normal"/>
        <w:ind w:firstLine="225"/>
        <w:jc w:val="both"/>
        <w:rPr/>
      </w:pPr>
      <w:r>
        <w:rPr/>
      </w:r>
    </w:p>
    <w:p>
      <w:pPr>
        <w:pStyle w:val="Normal"/>
        <w:ind w:firstLine="225"/>
        <w:jc w:val="both"/>
        <w:rPr/>
      </w:pPr>
      <w:r>
        <w:rPr/>
      </w:r>
    </w:p>
    <w:p>
      <w:pPr>
        <w:pStyle w:val="Normal"/>
        <w:jc w:val="end"/>
        <w:rPr/>
      </w:pPr>
      <w:r>
        <w:rPr/>
        <w:t xml:space="preserve">Приложение 4 </w:t>
      </w:r>
    </w:p>
    <w:p>
      <w:pPr>
        <w:pStyle w:val="Normal"/>
        <w:jc w:val="end"/>
        <w:rPr/>
      </w:pPr>
      <w:r>
        <w:rPr/>
        <w:t xml:space="preserve">Рекомендуемое </w:t>
      </w:r>
    </w:p>
    <w:p>
      <w:pPr>
        <w:pStyle w:val="Normal"/>
        <w:ind w:firstLine="270"/>
        <w:jc w:val="both"/>
        <w:rPr/>
      </w:pPr>
      <w:r>
        <w:rPr/>
      </w:r>
    </w:p>
    <w:p>
      <w:pPr>
        <w:pStyle w:val="Heading"/>
        <w:jc w:val="center"/>
        <w:rPr/>
      </w:pPr>
      <w:r>
        <w:rPr/>
        <w:t>УДАЛЕНИЕ ОРГАНИЧЕСКИХ ВЕЩЕСТВ,</w:t>
      </w:r>
    </w:p>
    <w:p>
      <w:pPr>
        <w:pStyle w:val="Heading"/>
        <w:jc w:val="center"/>
        <w:rPr/>
      </w:pPr>
      <w:r>
        <w:rPr/>
        <w:t xml:space="preserve">ПРИВКУСОВ И ЗАПАХОВ </w:t>
      </w:r>
    </w:p>
    <w:p>
      <w:pPr>
        <w:pStyle w:val="Normal"/>
        <w:ind w:firstLine="270"/>
        <w:jc w:val="both"/>
        <w:rPr/>
      </w:pPr>
      <w:r>
        <w:rPr/>
      </w:r>
    </w:p>
    <w:p>
      <w:pPr>
        <w:pStyle w:val="Normal"/>
        <w:ind w:firstLine="270"/>
        <w:jc w:val="both"/>
        <w:rPr/>
      </w:pPr>
      <w:r>
        <w:rPr/>
      </w:r>
    </w:p>
    <w:p>
      <w:pPr>
        <w:pStyle w:val="Normal"/>
        <w:ind w:firstLine="225"/>
        <w:jc w:val="both"/>
        <w:rPr/>
      </w:pPr>
      <w:r>
        <w:rPr/>
        <w:t>1. Для удаления органических веществ из воды, снижения интенсивности привкусов и запахов в качестве окислителей следует применять хлор, перманганат калия, озон или их комбинации. Вид окислителя и его дозу следует устанавливать на основании данных технологических изысканий. Ориентировочно дозы окислителей допускается принимать по табл. 1.</w:t>
      </w:r>
    </w:p>
    <w:p>
      <w:pPr>
        <w:pStyle w:val="Normal"/>
        <w:ind w:firstLine="225"/>
        <w:jc w:val="both"/>
        <w:rPr/>
      </w:pPr>
      <w:r>
        <w:rPr/>
      </w:r>
    </w:p>
    <w:p>
      <w:pPr>
        <w:pStyle w:val="Normal"/>
        <w:jc w:val="end"/>
        <w:rPr/>
      </w:pPr>
      <w:r>
        <w:rPr/>
        <w:t xml:space="preserve">Таблица 1 </w:t>
      </w:r>
    </w:p>
    <w:p>
      <w:pPr>
        <w:pStyle w:val="Normal"/>
        <w:ind w:firstLine="270"/>
        <w:jc w:val="both"/>
        <w:rPr/>
      </w:pPr>
      <w:r>
        <w:rPr/>
      </w:r>
    </w:p>
    <w:p>
      <w:pPr>
        <w:pStyle w:val="Normal"/>
        <w:ind w:firstLine="270"/>
        <w:jc w:val="both"/>
        <w:rPr/>
      </w:pPr>
      <w:r>
        <w:rPr/>
      </w:r>
    </w:p>
    <w:tbl>
      <w:tblPr>
        <w:tblW w:w="6305"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1575"/>
        <w:gridCol w:w="1575"/>
        <w:gridCol w:w="1575"/>
        <w:gridCol w:w="1580"/>
      </w:tblGrid>
      <w:tr>
        <w:trPr/>
        <w:tc>
          <w:tcPr>
            <w:tcW w:w="1575" w:type="dxa"/>
            <w:tcBorders>
              <w:top w:val="single" w:sz="2" w:space="0" w:color="000000"/>
              <w:start w:val="single" w:sz="2" w:space="0" w:color="000000"/>
            </w:tcBorders>
            <w:shd w:fill="auto" w:val="clear"/>
            <w:tcMar>
              <w:start w:w="42" w:type="dxa"/>
            </w:tcMar>
          </w:tcPr>
          <w:p>
            <w:pPr>
              <w:pStyle w:val="Normal"/>
              <w:jc w:val="center"/>
              <w:rPr/>
            </w:pPr>
            <w:r>
              <w:rPr>
                <w:vanish/>
              </w:rPr>
              <w:t>#G0</w:t>
            </w:r>
            <w:r>
              <w:rPr/>
              <w:t xml:space="preserve">Перманганатная </w:t>
            </w:r>
          </w:p>
          <w:p>
            <w:pPr>
              <w:pStyle w:val="Normal"/>
              <w:jc w:val="center"/>
              <w:rPr/>
            </w:pPr>
            <w:r>
              <w:rPr/>
            </w:r>
          </w:p>
        </w:tc>
        <w:tc>
          <w:tcPr>
            <w:tcW w:w="4730" w:type="dxa"/>
            <w:gridSpan w:val="3"/>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Доза окислителя, мг/л </w:t>
            </w:r>
          </w:p>
          <w:p>
            <w:pPr>
              <w:pStyle w:val="Normal"/>
              <w:rPr/>
            </w:pPr>
            <w:r>
              <w:rPr/>
            </w:r>
          </w:p>
        </w:tc>
      </w:tr>
      <w:tr>
        <w:trPr/>
        <w:tc>
          <w:tcPr>
            <w:tcW w:w="15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окисляемость воды, мг О/л </w:t>
            </w:r>
          </w:p>
          <w:p>
            <w:pPr>
              <w:pStyle w:val="Normal"/>
              <w:rPr/>
            </w:pPr>
            <w:r>
              <w:rPr/>
            </w:r>
          </w:p>
        </w:tc>
        <w:tc>
          <w:tcPr>
            <w:tcW w:w="15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хлора </w:t>
            </w:r>
          </w:p>
          <w:p>
            <w:pPr>
              <w:pStyle w:val="Normal"/>
              <w:rPr/>
            </w:pPr>
            <w:r>
              <w:rPr/>
            </w:r>
          </w:p>
        </w:tc>
        <w:tc>
          <w:tcPr>
            <w:tcW w:w="15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перманганата калия </w:t>
            </w:r>
          </w:p>
          <w:p>
            <w:pPr>
              <w:pStyle w:val="Normal"/>
              <w:rPr/>
            </w:pPr>
            <w:r>
              <w:rPr/>
            </w:r>
          </w:p>
        </w:tc>
        <w:tc>
          <w:tcPr>
            <w:tcW w:w="15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озона </w:t>
            </w:r>
          </w:p>
          <w:p>
            <w:pPr>
              <w:pStyle w:val="Normal"/>
              <w:rPr/>
            </w:pPr>
            <w:r>
              <w:rPr/>
            </w:r>
          </w:p>
        </w:tc>
      </w:tr>
      <w:tr>
        <w:trPr/>
        <w:tc>
          <w:tcPr>
            <w:tcW w:w="1575" w:type="dxa"/>
            <w:tcBorders>
              <w:start w:val="single" w:sz="2" w:space="0" w:color="000000"/>
            </w:tcBorders>
            <w:shd w:fill="auto" w:val="clear"/>
            <w:tcMar>
              <w:start w:w="42" w:type="dxa"/>
            </w:tcMar>
          </w:tcPr>
          <w:p>
            <w:pPr>
              <w:pStyle w:val="Normal"/>
              <w:rPr/>
            </w:pPr>
            <w:r>
              <w:rPr/>
              <w:t xml:space="preserve">8-10 </w:t>
            </w:r>
          </w:p>
          <w:p>
            <w:pPr>
              <w:pStyle w:val="Normal"/>
              <w:rPr/>
            </w:pPr>
            <w:r>
              <w:rPr/>
            </w:r>
          </w:p>
        </w:tc>
        <w:tc>
          <w:tcPr>
            <w:tcW w:w="1575" w:type="dxa"/>
            <w:tcBorders>
              <w:start w:val="single" w:sz="2" w:space="0" w:color="000000"/>
            </w:tcBorders>
            <w:shd w:fill="auto" w:val="clear"/>
            <w:tcMar>
              <w:start w:w="42" w:type="dxa"/>
            </w:tcMar>
          </w:tcPr>
          <w:p>
            <w:pPr>
              <w:pStyle w:val="Normal"/>
              <w:rPr/>
            </w:pPr>
            <w:r>
              <w:rPr/>
              <w:t xml:space="preserve">4-8 </w:t>
            </w:r>
          </w:p>
          <w:p>
            <w:pPr>
              <w:pStyle w:val="Normal"/>
              <w:rPr/>
            </w:pPr>
            <w:r>
              <w:rPr/>
            </w:r>
          </w:p>
        </w:tc>
        <w:tc>
          <w:tcPr>
            <w:tcW w:w="1575" w:type="dxa"/>
            <w:tcBorders>
              <w:start w:val="single" w:sz="2" w:space="0" w:color="000000"/>
            </w:tcBorders>
            <w:shd w:fill="auto" w:val="clear"/>
            <w:tcMar>
              <w:start w:w="42" w:type="dxa"/>
            </w:tcMar>
          </w:tcPr>
          <w:p>
            <w:pPr>
              <w:pStyle w:val="Normal"/>
              <w:rPr/>
            </w:pPr>
            <w:r>
              <w:rPr/>
              <w:t xml:space="preserve">2-4 </w:t>
            </w:r>
          </w:p>
          <w:p>
            <w:pPr>
              <w:pStyle w:val="Normal"/>
              <w:rPr/>
            </w:pPr>
            <w:r>
              <w:rPr/>
            </w:r>
          </w:p>
        </w:tc>
        <w:tc>
          <w:tcPr>
            <w:tcW w:w="158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1-3 </w:t>
            </w:r>
          </w:p>
          <w:p>
            <w:pPr>
              <w:pStyle w:val="Normal"/>
              <w:rPr/>
            </w:pPr>
            <w:r>
              <w:rPr/>
            </w:r>
          </w:p>
        </w:tc>
      </w:tr>
      <w:tr>
        <w:trPr/>
        <w:tc>
          <w:tcPr>
            <w:tcW w:w="1575" w:type="dxa"/>
            <w:tcBorders>
              <w:start w:val="single" w:sz="2" w:space="0" w:color="000000"/>
            </w:tcBorders>
            <w:shd w:fill="auto" w:val="clear"/>
            <w:tcMar>
              <w:start w:w="42" w:type="dxa"/>
            </w:tcMar>
          </w:tcPr>
          <w:p>
            <w:pPr>
              <w:pStyle w:val="Normal"/>
              <w:rPr/>
            </w:pPr>
            <w:r>
              <w:rPr/>
              <w:t xml:space="preserve">10-15 </w:t>
            </w:r>
          </w:p>
          <w:p>
            <w:pPr>
              <w:pStyle w:val="Normal"/>
              <w:rPr/>
            </w:pPr>
            <w:r>
              <w:rPr/>
            </w:r>
          </w:p>
        </w:tc>
        <w:tc>
          <w:tcPr>
            <w:tcW w:w="1575" w:type="dxa"/>
            <w:tcBorders>
              <w:start w:val="single" w:sz="2" w:space="0" w:color="000000"/>
            </w:tcBorders>
            <w:shd w:fill="auto" w:val="clear"/>
            <w:tcMar>
              <w:start w:w="42" w:type="dxa"/>
            </w:tcMar>
          </w:tcPr>
          <w:p>
            <w:pPr>
              <w:pStyle w:val="Normal"/>
              <w:rPr/>
            </w:pPr>
            <w:r>
              <w:rPr/>
              <w:t xml:space="preserve">8-12 </w:t>
            </w:r>
          </w:p>
          <w:p>
            <w:pPr>
              <w:pStyle w:val="Normal"/>
              <w:rPr/>
            </w:pPr>
            <w:r>
              <w:rPr/>
            </w:r>
          </w:p>
        </w:tc>
        <w:tc>
          <w:tcPr>
            <w:tcW w:w="1575" w:type="dxa"/>
            <w:tcBorders>
              <w:start w:val="single" w:sz="2" w:space="0" w:color="000000"/>
            </w:tcBorders>
            <w:shd w:fill="auto" w:val="clear"/>
            <w:tcMar>
              <w:start w:w="42" w:type="dxa"/>
            </w:tcMar>
          </w:tcPr>
          <w:p>
            <w:pPr>
              <w:pStyle w:val="Normal"/>
              <w:rPr/>
            </w:pPr>
            <w:r>
              <w:rPr/>
              <w:t xml:space="preserve">4-6 </w:t>
            </w:r>
          </w:p>
          <w:p>
            <w:pPr>
              <w:pStyle w:val="Normal"/>
              <w:rPr/>
            </w:pPr>
            <w:r>
              <w:rPr/>
            </w:r>
          </w:p>
        </w:tc>
        <w:tc>
          <w:tcPr>
            <w:tcW w:w="158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3-5 </w:t>
            </w:r>
          </w:p>
          <w:p>
            <w:pPr>
              <w:pStyle w:val="Normal"/>
              <w:rPr/>
            </w:pPr>
            <w:r>
              <w:rPr/>
            </w:r>
          </w:p>
        </w:tc>
      </w:tr>
      <w:tr>
        <w:trPr/>
        <w:tc>
          <w:tcPr>
            <w:tcW w:w="15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15-25 </w:t>
            </w:r>
          </w:p>
          <w:p>
            <w:pPr>
              <w:pStyle w:val="Normal"/>
              <w:rPr/>
            </w:pPr>
            <w:r>
              <w:rPr/>
            </w:r>
          </w:p>
        </w:tc>
        <w:tc>
          <w:tcPr>
            <w:tcW w:w="15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12-14 </w:t>
            </w:r>
          </w:p>
          <w:p>
            <w:pPr>
              <w:pStyle w:val="Normal"/>
              <w:rPr/>
            </w:pPr>
            <w:r>
              <w:rPr/>
            </w:r>
          </w:p>
        </w:tc>
        <w:tc>
          <w:tcPr>
            <w:tcW w:w="15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6-10 </w:t>
            </w:r>
          </w:p>
          <w:p>
            <w:pPr>
              <w:pStyle w:val="Normal"/>
              <w:rPr/>
            </w:pPr>
            <w:r>
              <w:rPr/>
            </w:r>
          </w:p>
        </w:tc>
        <w:tc>
          <w:tcPr>
            <w:tcW w:w="158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5-8 </w:t>
            </w:r>
          </w:p>
          <w:p>
            <w:pPr>
              <w:pStyle w:val="Normal"/>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 xml:space="preserve">2. Основные места ввода окислителей и последовательность введения реагентов надлежит принимать по табл. 2. </w:t>
      </w:r>
    </w:p>
    <w:p>
      <w:pPr>
        <w:pStyle w:val="Normal"/>
        <w:ind w:firstLine="225"/>
        <w:jc w:val="both"/>
        <w:rPr/>
      </w:pPr>
      <w:r>
        <w:rPr/>
      </w:r>
    </w:p>
    <w:p>
      <w:pPr>
        <w:pStyle w:val="Normal"/>
        <w:jc w:val="end"/>
        <w:rPr/>
      </w:pPr>
      <w:r>
        <w:rPr/>
        <w:t xml:space="preserve">Таблица 2 </w:t>
      </w:r>
    </w:p>
    <w:p>
      <w:pPr>
        <w:pStyle w:val="Normal"/>
        <w:ind w:firstLine="270"/>
        <w:jc w:val="both"/>
        <w:rPr/>
      </w:pPr>
      <w:r>
        <w:rPr/>
      </w:r>
    </w:p>
    <w:p>
      <w:pPr>
        <w:pStyle w:val="Normal"/>
        <w:ind w:firstLine="270"/>
        <w:jc w:val="both"/>
        <w:rPr/>
      </w:pPr>
      <w:r>
        <w:rPr/>
      </w:r>
    </w:p>
    <w:tbl>
      <w:tblPr>
        <w:tblW w:w="6245" w:type="dxa"/>
        <w:jc w:val="start"/>
        <w:tblInd w:w="45" w:type="dxa"/>
        <w:tblBorders>
          <w:top w:val="single" w:sz="2" w:space="0" w:color="000000"/>
          <w:start w:val="single" w:sz="2" w:space="0" w:color="000000"/>
          <w:bottom w:val="single" w:sz="2" w:space="0" w:color="000000"/>
          <w:insideH w:val="single" w:sz="2" w:space="0" w:color="000000"/>
        </w:tblBorders>
        <w:tblCellMar>
          <w:top w:w="0" w:type="dxa"/>
          <w:start w:w="42" w:type="dxa"/>
          <w:bottom w:w="0" w:type="dxa"/>
          <w:end w:w="45" w:type="dxa"/>
        </w:tblCellMar>
      </w:tblPr>
      <w:tblGrid>
        <w:gridCol w:w="2130"/>
        <w:gridCol w:w="4115"/>
      </w:tblGrid>
      <w:tr>
        <w:trPr/>
        <w:tc>
          <w:tcPr>
            <w:tcW w:w="213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vanish/>
              </w:rPr>
              <w:t>#G0</w:t>
            </w:r>
            <w:r>
              <w:rPr/>
              <w:t>Место ввода окислителей</w:t>
            </w:r>
          </w:p>
          <w:p>
            <w:pPr>
              <w:pStyle w:val="Normal"/>
              <w:jc w:val="center"/>
              <w:rPr/>
            </w:pPr>
            <w:r>
              <w:rPr/>
            </w:r>
          </w:p>
          <w:p>
            <w:pPr>
              <w:pStyle w:val="Normal"/>
              <w:jc w:val="center"/>
              <w:rPr/>
            </w:pPr>
            <w:r>
              <w:rPr/>
            </w:r>
          </w:p>
        </w:tc>
        <w:tc>
          <w:tcPr>
            <w:tcW w:w="411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Последовательность введения реагентов в воду </w:t>
            </w:r>
          </w:p>
          <w:p>
            <w:pPr>
              <w:pStyle w:val="Normal"/>
              <w:rPr/>
            </w:pPr>
            <w:r>
              <w:rPr/>
            </w:r>
          </w:p>
        </w:tc>
      </w:tr>
      <w:tr>
        <w:trPr/>
        <w:tc>
          <w:tcPr>
            <w:tcW w:w="2130" w:type="dxa"/>
            <w:tcBorders>
              <w:start w:val="single" w:sz="2" w:space="0" w:color="000000"/>
            </w:tcBorders>
            <w:shd w:fill="auto" w:val="clear"/>
            <w:tcMar>
              <w:start w:w="42" w:type="dxa"/>
            </w:tcMar>
          </w:tcPr>
          <w:p>
            <w:pPr>
              <w:pStyle w:val="Normal"/>
              <w:snapToGrid w:val="false"/>
              <w:jc w:val="both"/>
              <w:rPr/>
            </w:pPr>
            <w:r>
              <w:rPr/>
            </w:r>
          </w:p>
          <w:p>
            <w:pPr>
              <w:pStyle w:val="Normal"/>
              <w:jc w:val="both"/>
              <w:rPr/>
            </w:pPr>
            <w:r>
              <w:rPr/>
              <w:t xml:space="preserve">1. Хлор перед сорбционной очисткой </w:t>
            </w:r>
          </w:p>
          <w:p>
            <w:pPr>
              <w:pStyle w:val="Normal"/>
              <w:jc w:val="both"/>
              <w:rPr/>
            </w:pPr>
            <w:r>
              <w:rPr/>
            </w:r>
          </w:p>
        </w:tc>
        <w:tc>
          <w:tcPr>
            <w:tcW w:w="4115" w:type="dxa"/>
            <w:tcBorders>
              <w:start w:val="single" w:sz="2" w:space="0" w:color="000000"/>
              <w:end w:val="single" w:sz="2" w:space="0" w:color="000000"/>
              <w:insideV w:val="single" w:sz="2" w:space="0" w:color="000000"/>
            </w:tcBorders>
            <w:shd w:fill="auto" w:val="clear"/>
            <w:tcMar>
              <w:start w:w="42" w:type="dxa"/>
            </w:tcMar>
          </w:tcPr>
          <w:p>
            <w:pPr>
              <w:pStyle w:val="Normal"/>
              <w:snapToGrid w:val="false"/>
              <w:rPr/>
            </w:pPr>
            <w:r>
              <w:rPr/>
            </w:r>
          </w:p>
          <w:p>
            <w:pPr>
              <w:pStyle w:val="Normal"/>
              <w:rPr/>
            </w:pPr>
            <w:r>
              <w:rPr/>
              <w:t>Хлорирование не менее чем за 2 мин до фильтрования через гранулированный активный уголь или введения порошкообразного активного угля</w:t>
            </w:r>
          </w:p>
          <w:p>
            <w:pPr>
              <w:pStyle w:val="Normal"/>
              <w:rPr/>
            </w:pPr>
            <w:r>
              <w:rPr/>
            </w:r>
          </w:p>
          <w:p>
            <w:pPr>
              <w:pStyle w:val="Normal"/>
              <w:rPr/>
            </w:pPr>
            <w:r>
              <w:rPr/>
            </w:r>
          </w:p>
        </w:tc>
      </w:tr>
      <w:tr>
        <w:trPr/>
        <w:tc>
          <w:tcPr>
            <w:tcW w:w="2130" w:type="dxa"/>
            <w:tcBorders>
              <w:start w:val="single" w:sz="2" w:space="0" w:color="000000"/>
            </w:tcBorders>
            <w:shd w:fill="auto" w:val="clear"/>
            <w:tcMar>
              <w:start w:w="42" w:type="dxa"/>
            </w:tcMar>
          </w:tcPr>
          <w:p>
            <w:pPr>
              <w:pStyle w:val="Normal"/>
              <w:rPr/>
            </w:pPr>
            <w:r>
              <w:rPr/>
              <w:t xml:space="preserve">2. Озон непосредственно перед сорбционной очисткой </w:t>
            </w:r>
          </w:p>
          <w:p>
            <w:pPr>
              <w:pStyle w:val="Normal"/>
              <w:rPr/>
            </w:pPr>
            <w:r>
              <w:rPr/>
            </w:r>
          </w:p>
        </w:tc>
        <w:tc>
          <w:tcPr>
            <w:tcW w:w="4115" w:type="dxa"/>
            <w:tcBorders>
              <w:start w:val="single" w:sz="2" w:space="0" w:color="000000"/>
              <w:end w:val="single" w:sz="2" w:space="0" w:color="000000"/>
              <w:insideV w:val="single" w:sz="2" w:space="0" w:color="000000"/>
            </w:tcBorders>
            <w:shd w:fill="auto" w:val="clear"/>
            <w:tcMar>
              <w:start w:w="42" w:type="dxa"/>
            </w:tcMar>
          </w:tcPr>
          <w:p>
            <w:pPr>
              <w:pStyle w:val="Normal"/>
              <w:rPr/>
            </w:pPr>
            <w:r>
              <w:rPr/>
              <w:t>Озонирование с последующим фильтрованием через гранулированный активный уголь или обработкой порошкообразным активным углем</w:t>
            </w:r>
          </w:p>
          <w:p>
            <w:pPr>
              <w:pStyle w:val="Normal"/>
              <w:rPr/>
            </w:pPr>
            <w:r>
              <w:rPr/>
            </w:r>
          </w:p>
          <w:p>
            <w:pPr>
              <w:pStyle w:val="Normal"/>
              <w:rPr/>
            </w:pPr>
            <w:r>
              <w:rPr/>
            </w:r>
          </w:p>
        </w:tc>
      </w:tr>
      <w:tr>
        <w:trPr/>
        <w:tc>
          <w:tcPr>
            <w:tcW w:w="2130" w:type="dxa"/>
            <w:tcBorders>
              <w:start w:val="single" w:sz="2" w:space="0" w:color="000000"/>
            </w:tcBorders>
            <w:shd w:fill="auto" w:val="clear"/>
            <w:tcMar>
              <w:start w:w="42" w:type="dxa"/>
            </w:tcMar>
          </w:tcPr>
          <w:p>
            <w:pPr>
              <w:pStyle w:val="Normal"/>
              <w:rPr/>
            </w:pPr>
            <w:r>
              <w:rPr/>
              <w:t xml:space="preserve">3. Хлор перед коагулированием </w:t>
            </w:r>
          </w:p>
          <w:p>
            <w:pPr>
              <w:pStyle w:val="Normal"/>
              <w:rPr/>
            </w:pPr>
            <w:r>
              <w:rPr/>
            </w:r>
          </w:p>
        </w:tc>
        <w:tc>
          <w:tcPr>
            <w:tcW w:w="4115" w:type="dxa"/>
            <w:tcBorders>
              <w:start w:val="single" w:sz="2" w:space="0" w:color="000000"/>
              <w:end w:val="single" w:sz="2" w:space="0" w:color="000000"/>
              <w:insideV w:val="single" w:sz="2" w:space="0" w:color="000000"/>
            </w:tcBorders>
            <w:shd w:fill="auto" w:val="clear"/>
            <w:tcMar>
              <w:start w:w="42" w:type="dxa"/>
            </w:tcMar>
          </w:tcPr>
          <w:p>
            <w:pPr>
              <w:pStyle w:val="Normal"/>
              <w:rPr/>
            </w:pPr>
            <w:r>
              <w:rPr/>
              <w:t>Первичное хлорирование, через 2-3 мин -  коагулирование</w:t>
            </w:r>
          </w:p>
          <w:p>
            <w:pPr>
              <w:pStyle w:val="Normal"/>
              <w:rPr/>
            </w:pPr>
            <w:r>
              <w:rPr/>
            </w:r>
          </w:p>
          <w:p>
            <w:pPr>
              <w:pStyle w:val="Normal"/>
              <w:rPr/>
            </w:pPr>
            <w:r>
              <w:rPr/>
            </w:r>
          </w:p>
        </w:tc>
      </w:tr>
      <w:tr>
        <w:trPr/>
        <w:tc>
          <w:tcPr>
            <w:tcW w:w="2130" w:type="dxa"/>
            <w:tcBorders>
              <w:start w:val="single" w:sz="2" w:space="0" w:color="000000"/>
            </w:tcBorders>
            <w:shd w:fill="auto" w:val="clear"/>
            <w:tcMar>
              <w:start w:w="42" w:type="dxa"/>
            </w:tcMar>
          </w:tcPr>
          <w:p>
            <w:pPr>
              <w:pStyle w:val="Normal"/>
              <w:rPr/>
            </w:pPr>
            <w:r>
              <w:rPr/>
              <w:t xml:space="preserve">4. Хлор и перманганат калия перед коагулированием </w:t>
            </w:r>
          </w:p>
          <w:p>
            <w:pPr>
              <w:pStyle w:val="Normal"/>
              <w:rPr/>
            </w:pPr>
            <w:r>
              <w:rPr/>
            </w:r>
          </w:p>
        </w:tc>
        <w:tc>
          <w:tcPr>
            <w:tcW w:w="4115" w:type="dxa"/>
            <w:tcBorders>
              <w:start w:val="single" w:sz="2" w:space="0" w:color="000000"/>
              <w:end w:val="single" w:sz="2" w:space="0" w:color="000000"/>
              <w:insideV w:val="single" w:sz="2" w:space="0" w:color="000000"/>
            </w:tcBorders>
            <w:shd w:fill="auto" w:val="clear"/>
            <w:tcMar>
              <w:start w:w="42" w:type="dxa"/>
            </w:tcMar>
          </w:tcPr>
          <w:p>
            <w:pPr>
              <w:pStyle w:val="Normal"/>
              <w:rPr/>
            </w:pPr>
            <w:r>
              <w:rPr/>
              <w:t>Первичное хлорирование, через 10 мин введение перманганата калия, через 2-3 мин -  коагулирование</w:t>
            </w:r>
          </w:p>
          <w:p>
            <w:pPr>
              <w:pStyle w:val="Normal"/>
              <w:rPr/>
            </w:pPr>
            <w:r>
              <w:rPr/>
            </w:r>
          </w:p>
          <w:p>
            <w:pPr>
              <w:pStyle w:val="Normal"/>
              <w:rPr/>
            </w:pPr>
            <w:r>
              <w:rPr/>
            </w:r>
          </w:p>
          <w:p>
            <w:pPr>
              <w:pStyle w:val="Normal"/>
              <w:rPr/>
            </w:pPr>
            <w:r>
              <w:rPr/>
            </w:r>
          </w:p>
        </w:tc>
      </w:tr>
      <w:tr>
        <w:trPr/>
        <w:tc>
          <w:tcPr>
            <w:tcW w:w="2130" w:type="dxa"/>
            <w:tcBorders>
              <w:start w:val="single" w:sz="2" w:space="0" w:color="000000"/>
            </w:tcBorders>
            <w:shd w:fill="auto" w:val="clear"/>
            <w:tcMar>
              <w:start w:w="42" w:type="dxa"/>
            </w:tcMar>
          </w:tcPr>
          <w:p>
            <w:pPr>
              <w:pStyle w:val="Normal"/>
              <w:rPr/>
            </w:pPr>
            <w:r>
              <w:rPr/>
              <w:t xml:space="preserve">5. Озон перед коагулированием </w:t>
            </w:r>
          </w:p>
          <w:p>
            <w:pPr>
              <w:pStyle w:val="Normal"/>
              <w:rPr/>
            </w:pPr>
            <w:r>
              <w:rPr/>
            </w:r>
          </w:p>
        </w:tc>
        <w:tc>
          <w:tcPr>
            <w:tcW w:w="4115" w:type="dxa"/>
            <w:tcBorders>
              <w:start w:val="single" w:sz="2" w:space="0" w:color="000000"/>
              <w:end w:val="single" w:sz="2" w:space="0" w:color="000000"/>
              <w:insideV w:val="single" w:sz="2" w:space="0" w:color="000000"/>
            </w:tcBorders>
            <w:shd w:fill="auto" w:val="clear"/>
            <w:tcMar>
              <w:start w:w="42" w:type="dxa"/>
            </w:tcMar>
          </w:tcPr>
          <w:p>
            <w:pPr>
              <w:pStyle w:val="Normal"/>
              <w:rPr/>
            </w:pPr>
            <w:r>
              <w:rPr/>
              <w:t>Озонирование, последующее коагулирование</w:t>
            </w:r>
          </w:p>
          <w:p>
            <w:pPr>
              <w:pStyle w:val="Normal"/>
              <w:rPr/>
            </w:pPr>
            <w:r>
              <w:rPr/>
            </w:r>
          </w:p>
          <w:p>
            <w:pPr>
              <w:pStyle w:val="Normal"/>
              <w:rPr/>
            </w:pPr>
            <w:r>
              <w:rPr/>
            </w:r>
          </w:p>
          <w:p>
            <w:pPr>
              <w:pStyle w:val="Normal"/>
              <w:rPr/>
            </w:pPr>
            <w:r>
              <w:rPr/>
            </w:r>
          </w:p>
        </w:tc>
      </w:tr>
      <w:tr>
        <w:trPr/>
        <w:tc>
          <w:tcPr>
            <w:tcW w:w="2130" w:type="dxa"/>
            <w:tcBorders>
              <w:start w:val="single" w:sz="2" w:space="0" w:color="000000"/>
            </w:tcBorders>
            <w:shd w:fill="auto" w:val="clear"/>
            <w:tcMar>
              <w:start w:w="42" w:type="dxa"/>
            </w:tcMar>
          </w:tcPr>
          <w:p>
            <w:pPr>
              <w:pStyle w:val="Normal"/>
              <w:rPr/>
            </w:pPr>
            <w:r>
              <w:rPr/>
              <w:t xml:space="preserve">6. Хлор и озон перед коагулированием </w:t>
            </w:r>
          </w:p>
          <w:p>
            <w:pPr>
              <w:pStyle w:val="Normal"/>
              <w:rPr/>
            </w:pPr>
            <w:r>
              <w:rPr/>
            </w:r>
          </w:p>
        </w:tc>
        <w:tc>
          <w:tcPr>
            <w:tcW w:w="4115" w:type="dxa"/>
            <w:tcBorders>
              <w:start w:val="single" w:sz="2" w:space="0" w:color="000000"/>
              <w:end w:val="single" w:sz="2" w:space="0" w:color="000000"/>
              <w:insideV w:val="single" w:sz="2" w:space="0" w:color="000000"/>
            </w:tcBorders>
            <w:shd w:fill="auto" w:val="clear"/>
            <w:tcMar>
              <w:start w:w="42" w:type="dxa"/>
            </w:tcMar>
          </w:tcPr>
          <w:p>
            <w:pPr>
              <w:pStyle w:val="Normal"/>
              <w:rPr/>
            </w:pPr>
            <w:r>
              <w:rPr/>
              <w:t>Первичное хлорирование с дозой в пределах хлоропоглощаемости воды, через 0,5-1 ч -  озонирование и последующее коагулирование</w:t>
            </w:r>
          </w:p>
          <w:p>
            <w:pPr>
              <w:pStyle w:val="Normal"/>
              <w:rPr/>
            </w:pPr>
            <w:r>
              <w:rPr/>
            </w:r>
          </w:p>
          <w:p>
            <w:pPr>
              <w:pStyle w:val="Normal"/>
              <w:rPr/>
            </w:pPr>
            <w:r>
              <w:rPr/>
            </w:r>
          </w:p>
        </w:tc>
      </w:tr>
      <w:tr>
        <w:trPr/>
        <w:tc>
          <w:tcPr>
            <w:tcW w:w="213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7. Озон перед осветлительными фильтрами или в очищенную воду</w:t>
            </w:r>
          </w:p>
          <w:p>
            <w:pPr>
              <w:pStyle w:val="Normal"/>
              <w:rPr/>
            </w:pPr>
            <w:r>
              <w:rPr/>
            </w:r>
          </w:p>
          <w:p>
            <w:pPr>
              <w:pStyle w:val="Normal"/>
              <w:rPr/>
            </w:pPr>
            <w:r>
              <w:rPr/>
            </w:r>
          </w:p>
        </w:tc>
        <w:tc>
          <w:tcPr>
            <w:tcW w:w="411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  </w:t>
            </w:r>
          </w:p>
          <w:p>
            <w:pPr>
              <w:pStyle w:val="Normal"/>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Примечание. Должна быть предусмотрена возможность изменения места ввода реагентов при эксплуатации сооружений.</w:t>
      </w:r>
    </w:p>
    <w:p>
      <w:pPr>
        <w:pStyle w:val="Normal"/>
        <w:ind w:firstLine="225"/>
        <w:jc w:val="both"/>
        <w:rPr/>
      </w:pPr>
      <w:r>
        <w:rPr/>
      </w:r>
    </w:p>
    <w:p>
      <w:pPr>
        <w:pStyle w:val="Normal"/>
        <w:ind w:firstLine="225"/>
        <w:jc w:val="both"/>
        <w:rPr/>
      </w:pPr>
      <w:r>
        <w:rPr/>
      </w:r>
    </w:p>
    <w:p>
      <w:pPr>
        <w:pStyle w:val="Normal"/>
        <w:ind w:firstLine="225"/>
        <w:jc w:val="both"/>
        <w:rPr/>
      </w:pPr>
      <w:r>
        <w:rPr/>
        <w:t>Допускается введение частей дозы окислителей перед сооружениями разного типа.</w:t>
      </w:r>
    </w:p>
    <w:p>
      <w:pPr>
        <w:pStyle w:val="Normal"/>
        <w:ind w:firstLine="225"/>
        <w:jc w:val="both"/>
        <w:rPr/>
      </w:pPr>
      <w:r>
        <w:rPr/>
      </w:r>
    </w:p>
    <w:p>
      <w:pPr>
        <w:pStyle w:val="Normal"/>
        <w:ind w:firstLine="225"/>
        <w:jc w:val="both"/>
        <w:rPr/>
      </w:pPr>
      <w:r>
        <w:rPr/>
        <w:t>3. При невозможности введения реагентов с требуемыми разрывами во времени в трубопроводы или в основные технологические сооружения должны быть предусмотрены специальные контактные камеры.</w:t>
      </w:r>
    </w:p>
    <w:p>
      <w:pPr>
        <w:pStyle w:val="Normal"/>
        <w:ind w:firstLine="225"/>
        <w:jc w:val="both"/>
        <w:rPr/>
      </w:pPr>
      <w:r>
        <w:rPr/>
      </w:r>
    </w:p>
    <w:p>
      <w:pPr>
        <w:pStyle w:val="Normal"/>
        <w:ind w:firstLine="225"/>
        <w:jc w:val="both"/>
        <w:rPr/>
      </w:pPr>
      <w:r>
        <w:rPr/>
        <w:t>4. Применение озона и перманганата калия в хозяйственно-питьевом водоснабжении не исключает необходимости хлорирования очищенной воды для ее обеззараживания.</w:t>
      </w:r>
    </w:p>
    <w:p>
      <w:pPr>
        <w:pStyle w:val="Normal"/>
        <w:ind w:firstLine="225"/>
        <w:jc w:val="both"/>
        <w:rPr/>
      </w:pPr>
      <w:r>
        <w:rPr/>
      </w:r>
    </w:p>
    <w:p>
      <w:pPr>
        <w:pStyle w:val="Normal"/>
        <w:ind w:firstLine="225"/>
        <w:jc w:val="both"/>
        <w:rPr/>
      </w:pPr>
      <w:r>
        <w:rPr/>
        <w:t>5. Гранулированный активный уголь следует применять в качестве загрузки сорбционных фильтров, располагаемых после осветлительных фильтров или других сооружений, обеспечивающих очистку воды от взвеси до 1,5 мг/л.</w:t>
      </w:r>
    </w:p>
    <w:p>
      <w:pPr>
        <w:pStyle w:val="Normal"/>
        <w:ind w:firstLine="225"/>
        <w:jc w:val="both"/>
        <w:rPr/>
      </w:pPr>
      <w:r>
        <w:rPr/>
      </w:r>
    </w:p>
    <w:p>
      <w:pPr>
        <w:pStyle w:val="Normal"/>
        <w:ind w:firstLine="225"/>
        <w:jc w:val="both"/>
        <w:rPr/>
      </w:pPr>
      <w:r>
        <w:rPr/>
        <w:t>При обосновании допускается применять совмещенные осветлительно-сорбционные фильтры.</w:t>
      </w:r>
    </w:p>
    <w:p>
      <w:pPr>
        <w:pStyle w:val="Normal"/>
        <w:ind w:firstLine="45"/>
        <w:jc w:val="both"/>
        <w:rPr/>
      </w:pPr>
      <w:r>
        <w:rPr/>
      </w:r>
    </w:p>
    <w:tbl>
      <w:tblPr>
        <w:tblW w:w="7365" w:type="dxa"/>
        <w:jc w:val="start"/>
        <w:tblInd w:w="15" w:type="dxa"/>
        <w:tblBorders/>
        <w:tblCellMar>
          <w:top w:w="0" w:type="dxa"/>
          <w:start w:w="15" w:type="dxa"/>
          <w:bottom w:w="0" w:type="dxa"/>
          <w:end w:w="15" w:type="dxa"/>
        </w:tblCellMar>
      </w:tblPr>
      <w:tblGrid>
        <w:gridCol w:w="2880"/>
        <w:gridCol w:w="780"/>
        <w:gridCol w:w="3705"/>
      </w:tblGrid>
      <w:tr>
        <w:trPr/>
        <w:tc>
          <w:tcPr>
            <w:tcW w:w="2880" w:type="dxa"/>
            <w:tcBorders/>
            <w:shd w:fill="auto" w:val="clear"/>
          </w:tcPr>
          <w:p>
            <w:pPr>
              <w:pStyle w:val="Normal"/>
              <w:rPr/>
            </w:pPr>
            <w:r>
              <w:rPr>
                <w:vanish/>
              </w:rPr>
              <w:t>#G0</w:t>
            </w:r>
            <w:r>
              <w:rPr/>
              <w:t xml:space="preserve"> </w:t>
            </w:r>
          </w:p>
          <w:p>
            <w:pPr>
              <w:pStyle w:val="Normal"/>
              <w:ind w:firstLine="180"/>
              <w:jc w:val="both"/>
              <w:rPr/>
            </w:pPr>
            <w:r>
              <w:rPr/>
              <w:t xml:space="preserve">6. Высота угольной загрузки </w:t>
            </w:r>
          </w:p>
          <w:p>
            <w:pPr>
              <w:pStyle w:val="Normal"/>
              <w:ind w:firstLine="180"/>
              <w:jc w:val="both"/>
              <w:rPr/>
            </w:pPr>
            <w:r>
              <w:rPr/>
            </w:r>
          </w:p>
        </w:tc>
        <w:tc>
          <w:tcPr>
            <w:tcW w:w="780" w:type="dxa"/>
            <w:tcBorders/>
            <w:shd w:fill="auto" w:val="clear"/>
          </w:tcPr>
          <w:p>
            <w:pPr>
              <w:pStyle w:val="Normal"/>
              <w:rPr/>
            </w:pPr>
            <w:r>
              <w:rPr/>
              <w:t xml:space="preserve">  </w:t>
            </w:r>
          </w:p>
          <w:p>
            <w:pPr>
              <w:pStyle w:val="Normal"/>
              <w:rPr/>
            </w:pPr>
            <w:r>
              <w:rPr/>
              <w:drawing>
                <wp:inline distT="0" distB="0" distL="0" distR="0">
                  <wp:extent cx="311150" cy="207645"/>
                  <wp:effectExtent l="0" t="0" r="0" b="0"/>
                  <wp:docPr id="210" name="Изображение2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Изображение210" descr="" title=""/>
                          <pic:cNvPicPr>
                            <a:picLocks noChangeAspect="1" noChangeArrowheads="1"/>
                          </pic:cNvPicPr>
                        </pic:nvPicPr>
                        <pic:blipFill>
                          <a:blip r:embed="rId211"/>
                          <a:stretch>
                            <a:fillRect/>
                          </a:stretch>
                        </pic:blipFill>
                        <pic:spPr bwMode="auto">
                          <a:xfrm>
                            <a:off x="0" y="0"/>
                            <a:ext cx="311150" cy="207645"/>
                          </a:xfrm>
                          <a:prstGeom prst="rect">
                            <a:avLst/>
                          </a:prstGeom>
                        </pic:spPr>
                      </pic:pic>
                    </a:graphicData>
                  </a:graphic>
                </wp:inline>
              </w:drawing>
            </w:r>
          </w:p>
        </w:tc>
        <w:tc>
          <w:tcPr>
            <w:tcW w:w="3705" w:type="dxa"/>
            <w:tcBorders/>
            <w:shd w:fill="auto" w:val="clear"/>
          </w:tcPr>
          <w:p>
            <w:pPr>
              <w:pStyle w:val="Normal"/>
              <w:rPr/>
            </w:pPr>
            <w:r>
              <w:rPr/>
              <w:t xml:space="preserve">  </w:t>
            </w:r>
          </w:p>
          <w:p>
            <w:pPr>
              <w:pStyle w:val="Normal"/>
              <w:jc w:val="both"/>
              <w:rPr/>
            </w:pPr>
            <w:r>
              <w:rPr/>
              <w:t xml:space="preserve">м, должна приниматься не менее </w:t>
            </w:r>
          </w:p>
          <w:p>
            <w:pPr>
              <w:pStyle w:val="Normal"/>
              <w:jc w:val="both"/>
              <w:rPr/>
            </w:pPr>
            <w:r>
              <w:rPr/>
            </w:r>
          </w:p>
        </w:tc>
      </w:tr>
    </w:tbl>
    <w:p>
      <w:pPr>
        <w:pStyle w:val="Normal"/>
        <w:ind w:firstLine="45"/>
        <w:jc w:val="both"/>
        <w:rPr/>
      </w:pPr>
      <w:r>
        <w:rPr/>
      </w:r>
    </w:p>
    <w:p>
      <w:pPr>
        <w:pStyle w:val="Normal"/>
        <w:ind w:firstLine="1395"/>
        <w:jc w:val="both"/>
        <w:rPr/>
      </w:pPr>
      <w:r>
        <w:rPr/>
      </w:r>
    </w:p>
    <w:p>
      <w:pPr>
        <w:pStyle w:val="Normal"/>
        <w:ind w:firstLine="1395"/>
        <w:jc w:val="both"/>
        <w:rPr/>
      </w:pPr>
      <w:r>
        <w:rPr/>
        <w:drawing>
          <wp:inline distT="0" distB="0" distL="0" distR="0">
            <wp:extent cx="1048385" cy="207645"/>
            <wp:effectExtent l="0" t="0" r="0" b="0"/>
            <wp:docPr id="211" name="Изображение2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Изображение211" descr="" title=""/>
                    <pic:cNvPicPr>
                      <a:picLocks noChangeAspect="1" noChangeArrowheads="1"/>
                    </pic:cNvPicPr>
                  </pic:nvPicPr>
                  <pic:blipFill>
                    <a:blip r:embed="rId212"/>
                    <a:stretch>
                      <a:fillRect/>
                    </a:stretch>
                  </pic:blipFill>
                  <pic:spPr bwMode="auto">
                    <a:xfrm>
                      <a:off x="0" y="0"/>
                      <a:ext cx="1048385" cy="207645"/>
                    </a:xfrm>
                    <a:prstGeom prst="rect">
                      <a:avLst/>
                    </a:prstGeom>
                  </pic:spPr>
                </pic:pic>
              </a:graphicData>
            </a:graphic>
          </wp:inline>
        </w:drawing>
      </w:r>
    </w:p>
    <w:p>
      <w:pPr>
        <w:pStyle w:val="Normal"/>
        <w:ind w:firstLine="45"/>
        <w:jc w:val="both"/>
        <w:rPr/>
      </w:pPr>
      <w:r>
        <w:rPr/>
      </w:r>
    </w:p>
    <w:tbl>
      <w:tblPr>
        <w:tblW w:w="8370" w:type="dxa"/>
        <w:jc w:val="start"/>
        <w:tblInd w:w="165" w:type="dxa"/>
        <w:tblBorders/>
        <w:tblCellMar>
          <w:top w:w="0" w:type="dxa"/>
          <w:start w:w="15" w:type="dxa"/>
          <w:bottom w:w="0" w:type="dxa"/>
          <w:end w:w="15" w:type="dxa"/>
        </w:tblCellMar>
      </w:tblPr>
      <w:tblGrid>
        <w:gridCol w:w="450"/>
        <w:gridCol w:w="780"/>
        <w:gridCol w:w="7140"/>
      </w:tblGrid>
      <w:tr>
        <w:trPr/>
        <w:tc>
          <w:tcPr>
            <w:tcW w:w="450" w:type="dxa"/>
            <w:tcBorders/>
            <w:shd w:fill="auto" w:val="clear"/>
          </w:tcPr>
          <w:p>
            <w:pPr>
              <w:pStyle w:val="Normal"/>
              <w:rPr/>
            </w:pPr>
            <w:r>
              <w:rPr>
                <w:vanish/>
              </w:rPr>
              <w:t>#G0</w:t>
            </w:r>
            <w:r>
              <w:rPr/>
              <w:t xml:space="preserve">       где </w:t>
            </w:r>
          </w:p>
          <w:p>
            <w:pPr>
              <w:pStyle w:val="Normal"/>
              <w:rPr/>
            </w:pPr>
            <w:r>
              <w:rPr/>
            </w:r>
          </w:p>
        </w:tc>
        <w:tc>
          <w:tcPr>
            <w:tcW w:w="780" w:type="dxa"/>
            <w:tcBorders/>
            <w:shd w:fill="auto" w:val="clear"/>
          </w:tcPr>
          <w:p>
            <w:pPr>
              <w:pStyle w:val="Normal"/>
              <w:rPr/>
            </w:pPr>
            <w:r>
              <w:rPr/>
              <w:t xml:space="preserve">  </w:t>
            </w:r>
          </w:p>
          <w:p>
            <w:pPr>
              <w:pStyle w:val="Normal"/>
              <w:rPr/>
            </w:pPr>
            <w:r>
              <w:rPr/>
              <w:drawing>
                <wp:inline distT="0" distB="0" distL="0" distR="0">
                  <wp:extent cx="253365" cy="207645"/>
                  <wp:effectExtent l="0" t="0" r="0" b="0"/>
                  <wp:docPr id="212" name="Изображение2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Изображение212" descr="" title=""/>
                          <pic:cNvPicPr>
                            <a:picLocks noChangeAspect="1" noChangeArrowheads="1"/>
                          </pic:cNvPicPr>
                        </pic:nvPicPr>
                        <pic:blipFill>
                          <a:blip r:embed="rId213"/>
                          <a:stretch>
                            <a:fillRect/>
                          </a:stretch>
                        </pic:blipFill>
                        <pic:spPr bwMode="auto">
                          <a:xfrm>
                            <a:off x="0" y="0"/>
                            <a:ext cx="253365" cy="207645"/>
                          </a:xfrm>
                          <a:prstGeom prst="rect">
                            <a:avLst/>
                          </a:prstGeom>
                        </pic:spPr>
                      </pic:pic>
                    </a:graphicData>
                  </a:graphic>
                </wp:inline>
              </w:drawing>
            </w:r>
          </w:p>
        </w:tc>
        <w:tc>
          <w:tcPr>
            <w:tcW w:w="7140" w:type="dxa"/>
            <w:tcBorders/>
            <w:shd w:fill="auto" w:val="clear"/>
          </w:tcPr>
          <w:p>
            <w:pPr>
              <w:pStyle w:val="Normal"/>
              <w:snapToGrid w:val="false"/>
              <w:rPr/>
            </w:pPr>
            <w:r>
              <w:rPr/>
            </w:r>
          </w:p>
          <w:p>
            <w:pPr>
              <w:pStyle w:val="Normal"/>
              <w:rPr/>
            </w:pPr>
            <w:r>
              <w:rPr/>
              <w:t xml:space="preserve"> </w:t>
            </w:r>
            <w:r>
              <w:rPr/>
              <w:t xml:space="preserve">- расчетная скорость фильтрования, принимаемая 10-15 м/ч;      </w:t>
            </w:r>
          </w:p>
          <w:p>
            <w:pPr>
              <w:pStyle w:val="Normal"/>
              <w:rPr/>
            </w:pPr>
            <w:r>
              <w:rPr/>
              <w:t xml:space="preserve"> </w:t>
            </w:r>
          </w:p>
          <w:p>
            <w:pPr>
              <w:pStyle w:val="Normal"/>
              <w:rPr/>
            </w:pPr>
            <w:r>
              <w:rPr/>
            </w:r>
          </w:p>
        </w:tc>
      </w:tr>
      <w:tr>
        <w:trPr/>
        <w:tc>
          <w:tcPr>
            <w:tcW w:w="450" w:type="dxa"/>
            <w:tcBorders/>
            <w:shd w:fill="auto" w:val="clear"/>
          </w:tcPr>
          <w:p>
            <w:pPr>
              <w:pStyle w:val="Normal"/>
              <w:rPr/>
            </w:pPr>
            <w:r>
              <w:rPr/>
              <w:t xml:space="preserve">  </w:t>
            </w:r>
          </w:p>
          <w:p>
            <w:pPr>
              <w:pStyle w:val="Normal"/>
              <w:rPr/>
            </w:pPr>
            <w:r>
              <w:rPr/>
            </w:r>
          </w:p>
        </w:tc>
        <w:tc>
          <w:tcPr>
            <w:tcW w:w="780" w:type="dxa"/>
            <w:tcBorders/>
            <w:shd w:fill="auto" w:val="clear"/>
          </w:tcPr>
          <w:p>
            <w:pPr>
              <w:pStyle w:val="Normal"/>
              <w:rPr/>
            </w:pPr>
            <w:r>
              <w:rPr/>
              <w:t xml:space="preserve">  </w:t>
            </w:r>
          </w:p>
          <w:p>
            <w:pPr>
              <w:pStyle w:val="Normal"/>
              <w:rPr/>
            </w:pPr>
            <w:r>
              <w:rPr/>
              <w:drawing>
                <wp:inline distT="0" distB="0" distL="0" distR="0">
                  <wp:extent cx="264795" cy="253365"/>
                  <wp:effectExtent l="0" t="0" r="0" b="0"/>
                  <wp:docPr id="213" name="Изображение2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Изображение213" descr="" title=""/>
                          <pic:cNvPicPr>
                            <a:picLocks noChangeAspect="1" noChangeArrowheads="1"/>
                          </pic:cNvPicPr>
                        </pic:nvPicPr>
                        <pic:blipFill>
                          <a:blip r:embed="rId214"/>
                          <a:stretch>
                            <a:fillRect/>
                          </a:stretch>
                        </pic:blipFill>
                        <pic:spPr bwMode="auto">
                          <a:xfrm>
                            <a:off x="0" y="0"/>
                            <a:ext cx="264795" cy="253365"/>
                          </a:xfrm>
                          <a:prstGeom prst="rect">
                            <a:avLst/>
                          </a:prstGeom>
                        </pic:spPr>
                      </pic:pic>
                    </a:graphicData>
                  </a:graphic>
                </wp:inline>
              </w:drawing>
            </w:r>
          </w:p>
        </w:tc>
        <w:tc>
          <w:tcPr>
            <w:tcW w:w="7140" w:type="dxa"/>
            <w:tcBorders/>
            <w:shd w:fill="auto" w:val="clear"/>
          </w:tcPr>
          <w:p>
            <w:pPr>
              <w:pStyle w:val="Normal"/>
              <w:snapToGrid w:val="false"/>
              <w:rPr/>
            </w:pPr>
            <w:r>
              <w:rPr/>
            </w:r>
          </w:p>
          <w:p>
            <w:pPr>
              <w:pStyle w:val="Normal"/>
              <w:rPr/>
            </w:pPr>
            <w:r>
              <w:rPr/>
              <w:t xml:space="preserve"> </w:t>
            </w:r>
            <w:r>
              <w:rPr/>
              <w:t>-  время прохождения воды через слой угля, принимаемое 10-15 мин в зависимости от сорбционных свойств угля, концентрации и вида загрязнений воды и других факторов и уточняемое технологическими изысканиями.</w:t>
            </w:r>
          </w:p>
          <w:p>
            <w:pPr>
              <w:pStyle w:val="Normal"/>
              <w:rPr/>
            </w:pPr>
            <w:r>
              <w:rPr/>
            </w:r>
          </w:p>
        </w:tc>
      </w:tr>
    </w:tbl>
    <w:p>
      <w:pPr>
        <w:pStyle w:val="Normal"/>
        <w:jc w:val="both"/>
        <w:rPr/>
      </w:pPr>
      <w:r>
        <w:rPr/>
      </w:r>
    </w:p>
    <w:p>
      <w:pPr>
        <w:pStyle w:val="Normal"/>
        <w:ind w:firstLine="225"/>
        <w:jc w:val="both"/>
        <w:rPr/>
      </w:pPr>
      <w:r>
        <w:rPr/>
        <w:t>7. Для загрузки сорбционных фильтров следует применять гранулированные активные угли марок АГ-З, АГ-М и др. с учетом требований п. 1.3.</w:t>
      </w:r>
    </w:p>
    <w:p>
      <w:pPr>
        <w:pStyle w:val="Normal"/>
        <w:ind w:firstLine="225"/>
        <w:jc w:val="both"/>
        <w:rPr/>
      </w:pPr>
      <w:r>
        <w:rPr/>
      </w:r>
    </w:p>
    <w:p>
      <w:pPr>
        <w:pStyle w:val="Normal"/>
        <w:ind w:firstLine="225"/>
        <w:jc w:val="both"/>
        <w:rPr/>
      </w:pPr>
      <w:r>
        <w:rPr/>
        <w:t>Интенсивность промывки водой сорбционной загрузки фильтра следует принимать в зависимости от требуемого относительного расширения активного угля по табл. 3.</w:t>
      </w:r>
    </w:p>
    <w:p>
      <w:pPr>
        <w:pStyle w:val="Normal"/>
        <w:ind w:firstLine="225"/>
        <w:jc w:val="both"/>
        <w:rPr/>
      </w:pPr>
      <w:r>
        <w:rPr/>
      </w:r>
    </w:p>
    <w:p>
      <w:pPr>
        <w:pStyle w:val="Normal"/>
        <w:jc w:val="end"/>
        <w:rPr/>
      </w:pPr>
      <w:r>
        <w:rPr/>
        <w:t xml:space="preserve">Таблица 3 </w:t>
      </w:r>
    </w:p>
    <w:p>
      <w:pPr>
        <w:pStyle w:val="Normal"/>
        <w:ind w:firstLine="270"/>
        <w:jc w:val="both"/>
        <w:rPr/>
      </w:pPr>
      <w:r>
        <w:rPr/>
      </w:r>
    </w:p>
    <w:p>
      <w:pPr>
        <w:pStyle w:val="Normal"/>
        <w:ind w:firstLine="270"/>
        <w:jc w:val="both"/>
        <w:rPr/>
      </w:pPr>
      <w:r>
        <w:rPr/>
      </w:r>
    </w:p>
    <w:tbl>
      <w:tblPr>
        <w:tblW w:w="6590" w:type="dxa"/>
        <w:jc w:val="start"/>
        <w:tblInd w:w="45" w:type="dxa"/>
        <w:tblBorders>
          <w:top w:val="single" w:sz="2" w:space="0" w:color="000000"/>
          <w:start w:val="single" w:sz="2" w:space="0" w:color="000000"/>
          <w:bottom w:val="single" w:sz="2" w:space="0" w:color="000000"/>
          <w:insideH w:val="single" w:sz="2" w:space="0" w:color="000000"/>
        </w:tblBorders>
        <w:tblCellMar>
          <w:top w:w="0" w:type="dxa"/>
          <w:start w:w="42" w:type="dxa"/>
          <w:bottom w:w="0" w:type="dxa"/>
          <w:end w:w="45" w:type="dxa"/>
        </w:tblCellMar>
      </w:tblPr>
      <w:tblGrid>
        <w:gridCol w:w="1575"/>
        <w:gridCol w:w="1575"/>
        <w:gridCol w:w="1575"/>
        <w:gridCol w:w="1865"/>
      </w:tblGrid>
      <w:tr>
        <w:trPr/>
        <w:tc>
          <w:tcPr>
            <w:tcW w:w="15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vanish/>
              </w:rPr>
            </w:pPr>
            <w:r>
              <w:rPr>
                <w:vanish/>
              </w:rPr>
              <w:t>#G0</w:t>
            </w:r>
          </w:p>
          <w:p>
            <w:pPr>
              <w:pStyle w:val="Normal"/>
              <w:jc w:val="center"/>
              <w:rPr/>
            </w:pPr>
            <w:r>
              <w:rPr/>
              <w:t xml:space="preserve">Тип активного угля </w:t>
            </w:r>
          </w:p>
          <w:p>
            <w:pPr>
              <w:pStyle w:val="Normal"/>
              <w:jc w:val="center"/>
              <w:rPr/>
            </w:pPr>
            <w:r>
              <w:rPr/>
            </w:r>
          </w:p>
        </w:tc>
        <w:tc>
          <w:tcPr>
            <w:tcW w:w="15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Требуемая величина относительного расширения загрузки, %</w:t>
            </w:r>
          </w:p>
          <w:p>
            <w:pPr>
              <w:pStyle w:val="Normal"/>
              <w:rPr/>
            </w:pPr>
            <w:r>
              <w:rPr/>
            </w:r>
          </w:p>
        </w:tc>
        <w:tc>
          <w:tcPr>
            <w:tcW w:w="15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Интенсивность промывки фильтров, л/(с·кв.м)</w:t>
            </w:r>
          </w:p>
          <w:p>
            <w:pPr>
              <w:pStyle w:val="Normal"/>
              <w:rPr/>
            </w:pPr>
            <w:r>
              <w:rPr/>
            </w:r>
          </w:p>
        </w:tc>
        <w:tc>
          <w:tcPr>
            <w:tcW w:w="186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Продолжительность промывки фильтров, мин </w:t>
            </w:r>
          </w:p>
          <w:p>
            <w:pPr>
              <w:pStyle w:val="Normal"/>
              <w:rPr/>
            </w:pPr>
            <w:r>
              <w:rPr/>
            </w:r>
          </w:p>
        </w:tc>
      </w:tr>
      <w:tr>
        <w:trPr/>
        <w:tc>
          <w:tcPr>
            <w:tcW w:w="1575" w:type="dxa"/>
            <w:tcBorders>
              <w:start w:val="single" w:sz="2" w:space="0" w:color="000000"/>
            </w:tcBorders>
            <w:shd w:fill="auto" w:val="clear"/>
            <w:tcMar>
              <w:start w:w="42" w:type="dxa"/>
            </w:tcMar>
          </w:tcPr>
          <w:p>
            <w:pPr>
              <w:pStyle w:val="Normal"/>
              <w:rPr/>
            </w:pPr>
            <w:r>
              <w:rPr/>
              <w:t xml:space="preserve">АГ-З </w:t>
            </w:r>
          </w:p>
          <w:p>
            <w:pPr>
              <w:pStyle w:val="Normal"/>
              <w:rPr/>
            </w:pPr>
            <w:r>
              <w:rPr/>
            </w:r>
          </w:p>
        </w:tc>
        <w:tc>
          <w:tcPr>
            <w:tcW w:w="1575" w:type="dxa"/>
            <w:tcBorders>
              <w:start w:val="single" w:sz="2" w:space="0" w:color="000000"/>
            </w:tcBorders>
            <w:shd w:fill="auto" w:val="clear"/>
            <w:tcMar>
              <w:start w:w="42" w:type="dxa"/>
            </w:tcMar>
          </w:tcPr>
          <w:p>
            <w:pPr>
              <w:pStyle w:val="Normal"/>
              <w:rPr/>
            </w:pPr>
            <w:r>
              <w:rPr/>
              <w:t xml:space="preserve">25 </w:t>
            </w:r>
          </w:p>
          <w:p>
            <w:pPr>
              <w:pStyle w:val="Normal"/>
              <w:rPr/>
            </w:pPr>
            <w:r>
              <w:rPr/>
            </w:r>
          </w:p>
        </w:tc>
        <w:tc>
          <w:tcPr>
            <w:tcW w:w="1575" w:type="dxa"/>
            <w:tcBorders>
              <w:start w:val="single" w:sz="2" w:space="0" w:color="000000"/>
            </w:tcBorders>
            <w:shd w:fill="auto" w:val="clear"/>
            <w:tcMar>
              <w:start w:w="42" w:type="dxa"/>
            </w:tcMar>
          </w:tcPr>
          <w:p>
            <w:pPr>
              <w:pStyle w:val="Normal"/>
              <w:rPr/>
            </w:pPr>
            <w:r>
              <w:rPr/>
              <w:t xml:space="preserve">12-14 </w:t>
            </w:r>
          </w:p>
          <w:p>
            <w:pPr>
              <w:pStyle w:val="Normal"/>
              <w:rPr/>
            </w:pPr>
            <w:r>
              <w:rPr/>
            </w:r>
          </w:p>
        </w:tc>
        <w:tc>
          <w:tcPr>
            <w:tcW w:w="1865"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8-7 </w:t>
            </w:r>
          </w:p>
          <w:p>
            <w:pPr>
              <w:pStyle w:val="Normal"/>
              <w:rPr/>
            </w:pPr>
            <w:r>
              <w:rPr/>
            </w:r>
          </w:p>
        </w:tc>
      </w:tr>
      <w:tr>
        <w:trPr/>
        <w:tc>
          <w:tcPr>
            <w:tcW w:w="157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575" w:type="dxa"/>
            <w:tcBorders>
              <w:start w:val="single" w:sz="2" w:space="0" w:color="000000"/>
            </w:tcBorders>
            <w:shd w:fill="auto" w:val="clear"/>
            <w:tcMar>
              <w:start w:w="42" w:type="dxa"/>
            </w:tcMar>
          </w:tcPr>
          <w:p>
            <w:pPr>
              <w:pStyle w:val="Normal"/>
              <w:jc w:val="center"/>
              <w:rPr/>
            </w:pPr>
            <w:r>
              <w:rPr/>
              <w:t xml:space="preserve">35 </w:t>
            </w:r>
          </w:p>
          <w:p>
            <w:pPr>
              <w:pStyle w:val="Normal"/>
              <w:jc w:val="center"/>
              <w:rPr/>
            </w:pPr>
            <w:r>
              <w:rPr/>
            </w:r>
          </w:p>
        </w:tc>
        <w:tc>
          <w:tcPr>
            <w:tcW w:w="1575" w:type="dxa"/>
            <w:tcBorders>
              <w:start w:val="single" w:sz="2" w:space="0" w:color="000000"/>
            </w:tcBorders>
            <w:shd w:fill="auto" w:val="clear"/>
            <w:tcMar>
              <w:start w:w="42" w:type="dxa"/>
            </w:tcMar>
          </w:tcPr>
          <w:p>
            <w:pPr>
              <w:pStyle w:val="Normal"/>
              <w:rPr/>
            </w:pPr>
            <w:r>
              <w:rPr/>
              <w:t xml:space="preserve">14-16 </w:t>
            </w:r>
          </w:p>
          <w:p>
            <w:pPr>
              <w:pStyle w:val="Normal"/>
              <w:rPr/>
            </w:pPr>
            <w:r>
              <w:rPr/>
            </w:r>
          </w:p>
        </w:tc>
        <w:tc>
          <w:tcPr>
            <w:tcW w:w="1865"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7-6 </w:t>
            </w:r>
          </w:p>
          <w:p>
            <w:pPr>
              <w:pStyle w:val="Normal"/>
              <w:rPr/>
            </w:pPr>
            <w:r>
              <w:rPr/>
            </w:r>
          </w:p>
        </w:tc>
      </w:tr>
      <w:tr>
        <w:trPr/>
        <w:tc>
          <w:tcPr>
            <w:tcW w:w="157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575" w:type="dxa"/>
            <w:tcBorders>
              <w:start w:val="single" w:sz="2" w:space="0" w:color="000000"/>
            </w:tcBorders>
            <w:shd w:fill="auto" w:val="clear"/>
            <w:tcMar>
              <w:start w:w="42" w:type="dxa"/>
            </w:tcMar>
          </w:tcPr>
          <w:p>
            <w:pPr>
              <w:pStyle w:val="Normal"/>
              <w:jc w:val="center"/>
              <w:rPr/>
            </w:pPr>
            <w:r>
              <w:rPr/>
              <w:t xml:space="preserve">45 </w:t>
            </w:r>
          </w:p>
          <w:p>
            <w:pPr>
              <w:pStyle w:val="Normal"/>
              <w:jc w:val="center"/>
              <w:rPr/>
            </w:pPr>
            <w:r>
              <w:rPr/>
            </w:r>
          </w:p>
        </w:tc>
        <w:tc>
          <w:tcPr>
            <w:tcW w:w="1575" w:type="dxa"/>
            <w:tcBorders>
              <w:start w:val="single" w:sz="2" w:space="0" w:color="000000"/>
            </w:tcBorders>
            <w:shd w:fill="auto" w:val="clear"/>
            <w:tcMar>
              <w:start w:w="42" w:type="dxa"/>
            </w:tcMar>
          </w:tcPr>
          <w:p>
            <w:pPr>
              <w:pStyle w:val="Normal"/>
              <w:rPr/>
            </w:pPr>
            <w:r>
              <w:rPr/>
              <w:t xml:space="preserve">16-18 </w:t>
            </w:r>
          </w:p>
          <w:p>
            <w:pPr>
              <w:pStyle w:val="Normal"/>
              <w:rPr/>
            </w:pPr>
            <w:r>
              <w:rPr/>
            </w:r>
          </w:p>
        </w:tc>
        <w:tc>
          <w:tcPr>
            <w:tcW w:w="1865"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6-5 </w:t>
            </w:r>
          </w:p>
          <w:p>
            <w:pPr>
              <w:pStyle w:val="Normal"/>
              <w:rPr/>
            </w:pPr>
            <w:r>
              <w:rPr/>
            </w:r>
          </w:p>
        </w:tc>
      </w:tr>
      <w:tr>
        <w:trPr/>
        <w:tc>
          <w:tcPr>
            <w:tcW w:w="1575" w:type="dxa"/>
            <w:tcBorders>
              <w:start w:val="single" w:sz="2" w:space="0" w:color="000000"/>
            </w:tcBorders>
            <w:shd w:fill="auto" w:val="clear"/>
            <w:tcMar>
              <w:start w:w="42" w:type="dxa"/>
            </w:tcMar>
          </w:tcPr>
          <w:p>
            <w:pPr>
              <w:pStyle w:val="Normal"/>
              <w:rPr/>
            </w:pPr>
            <w:r>
              <w:rPr/>
              <w:t xml:space="preserve">АГ-М </w:t>
            </w:r>
          </w:p>
          <w:p>
            <w:pPr>
              <w:pStyle w:val="Normal"/>
              <w:rPr/>
            </w:pPr>
            <w:r>
              <w:rPr/>
            </w:r>
          </w:p>
        </w:tc>
        <w:tc>
          <w:tcPr>
            <w:tcW w:w="1575" w:type="dxa"/>
            <w:tcBorders>
              <w:start w:val="single" w:sz="2" w:space="0" w:color="000000"/>
            </w:tcBorders>
            <w:shd w:fill="auto" w:val="clear"/>
            <w:tcMar>
              <w:start w:w="42" w:type="dxa"/>
            </w:tcMar>
          </w:tcPr>
          <w:p>
            <w:pPr>
              <w:pStyle w:val="Normal"/>
              <w:rPr/>
            </w:pPr>
            <w:r>
              <w:rPr/>
              <w:t xml:space="preserve">30 </w:t>
            </w:r>
          </w:p>
          <w:p>
            <w:pPr>
              <w:pStyle w:val="Normal"/>
              <w:rPr/>
            </w:pPr>
            <w:r>
              <w:rPr/>
            </w:r>
          </w:p>
        </w:tc>
        <w:tc>
          <w:tcPr>
            <w:tcW w:w="1575" w:type="dxa"/>
            <w:tcBorders>
              <w:start w:val="single" w:sz="2" w:space="0" w:color="000000"/>
            </w:tcBorders>
            <w:shd w:fill="auto" w:val="clear"/>
            <w:tcMar>
              <w:start w:w="42" w:type="dxa"/>
            </w:tcMar>
          </w:tcPr>
          <w:p>
            <w:pPr>
              <w:pStyle w:val="Normal"/>
              <w:rPr/>
            </w:pPr>
            <w:r>
              <w:rPr/>
              <w:t xml:space="preserve">8-9 </w:t>
            </w:r>
          </w:p>
          <w:p>
            <w:pPr>
              <w:pStyle w:val="Normal"/>
              <w:rPr/>
            </w:pPr>
            <w:r>
              <w:rPr/>
            </w:r>
          </w:p>
        </w:tc>
        <w:tc>
          <w:tcPr>
            <w:tcW w:w="1865"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12-10 </w:t>
            </w:r>
          </w:p>
          <w:p>
            <w:pPr>
              <w:pStyle w:val="Normal"/>
              <w:rPr/>
            </w:pPr>
            <w:r>
              <w:rPr/>
            </w:r>
          </w:p>
        </w:tc>
      </w:tr>
      <w:tr>
        <w:trPr/>
        <w:tc>
          <w:tcPr>
            <w:tcW w:w="157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575" w:type="dxa"/>
            <w:tcBorders>
              <w:start w:val="single" w:sz="2" w:space="0" w:color="000000"/>
            </w:tcBorders>
            <w:shd w:fill="auto" w:val="clear"/>
            <w:tcMar>
              <w:start w:w="42" w:type="dxa"/>
            </w:tcMar>
          </w:tcPr>
          <w:p>
            <w:pPr>
              <w:pStyle w:val="Normal"/>
              <w:jc w:val="center"/>
              <w:rPr/>
            </w:pPr>
            <w:r>
              <w:rPr/>
              <w:t xml:space="preserve">45 </w:t>
            </w:r>
          </w:p>
          <w:p>
            <w:pPr>
              <w:pStyle w:val="Normal"/>
              <w:jc w:val="center"/>
              <w:rPr/>
            </w:pPr>
            <w:r>
              <w:rPr/>
            </w:r>
          </w:p>
        </w:tc>
        <w:tc>
          <w:tcPr>
            <w:tcW w:w="1575" w:type="dxa"/>
            <w:tcBorders>
              <w:start w:val="single" w:sz="2" w:space="0" w:color="000000"/>
            </w:tcBorders>
            <w:shd w:fill="auto" w:val="clear"/>
            <w:tcMar>
              <w:start w:w="42" w:type="dxa"/>
            </w:tcMar>
          </w:tcPr>
          <w:p>
            <w:pPr>
              <w:pStyle w:val="Normal"/>
              <w:rPr/>
            </w:pPr>
            <w:r>
              <w:rPr/>
              <w:t xml:space="preserve">9-10 </w:t>
            </w:r>
          </w:p>
          <w:p>
            <w:pPr>
              <w:pStyle w:val="Normal"/>
              <w:rPr/>
            </w:pPr>
            <w:r>
              <w:rPr/>
            </w:r>
          </w:p>
        </w:tc>
        <w:tc>
          <w:tcPr>
            <w:tcW w:w="1865"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10-8 </w:t>
            </w:r>
          </w:p>
          <w:p>
            <w:pPr>
              <w:pStyle w:val="Normal"/>
              <w:rPr/>
            </w:pPr>
            <w:r>
              <w:rPr/>
            </w:r>
          </w:p>
        </w:tc>
      </w:tr>
      <w:tr>
        <w:trPr/>
        <w:tc>
          <w:tcPr>
            <w:tcW w:w="15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p>
          <w:p>
            <w:pPr>
              <w:pStyle w:val="Normal"/>
              <w:rPr/>
            </w:pPr>
            <w:r>
              <w:rPr/>
            </w:r>
          </w:p>
        </w:tc>
        <w:tc>
          <w:tcPr>
            <w:tcW w:w="1575"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60 </w:t>
            </w:r>
          </w:p>
          <w:p>
            <w:pPr>
              <w:pStyle w:val="Normal"/>
              <w:jc w:val="center"/>
              <w:rPr/>
            </w:pPr>
            <w:r>
              <w:rPr/>
            </w:r>
          </w:p>
        </w:tc>
        <w:tc>
          <w:tcPr>
            <w:tcW w:w="15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11-12 </w:t>
            </w:r>
          </w:p>
          <w:p>
            <w:pPr>
              <w:pStyle w:val="Normal"/>
              <w:rPr/>
            </w:pPr>
            <w:r>
              <w:rPr/>
            </w:r>
          </w:p>
        </w:tc>
        <w:tc>
          <w:tcPr>
            <w:tcW w:w="186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8-7 </w:t>
            </w:r>
          </w:p>
          <w:p>
            <w:pPr>
              <w:pStyle w:val="Normal"/>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8. Расстояние от поверхности фильтрующей загрузки до кромок желобов надлежит определять согласно п. 6.113 и табл. 23.</w:t>
      </w:r>
    </w:p>
    <w:p>
      <w:pPr>
        <w:pStyle w:val="Normal"/>
        <w:ind w:firstLine="225"/>
        <w:jc w:val="both"/>
        <w:rPr/>
      </w:pPr>
      <w:r>
        <w:rPr/>
      </w:r>
    </w:p>
    <w:p>
      <w:pPr>
        <w:pStyle w:val="Normal"/>
        <w:ind w:firstLine="225"/>
        <w:jc w:val="both"/>
        <w:rPr/>
      </w:pPr>
      <w:r>
        <w:rPr/>
        <w:t xml:space="preserve">9. Определение потери напора в сорбционном слое из активного угля, расчет и конструирование распределительной системы устройств для подачи промывной воды, желобов и других элементов сорбционных фильтров следует производить согласно пп. 6.103-6.112. </w:t>
      </w:r>
    </w:p>
    <w:p>
      <w:pPr>
        <w:pStyle w:val="Normal"/>
        <w:ind w:firstLine="225"/>
        <w:jc w:val="both"/>
        <w:rPr/>
      </w:pPr>
      <w:r>
        <w:rPr/>
      </w:r>
    </w:p>
    <w:p>
      <w:pPr>
        <w:pStyle w:val="Normal"/>
        <w:ind w:firstLine="225"/>
        <w:jc w:val="both"/>
        <w:rPr/>
      </w:pPr>
      <w:r>
        <w:rPr/>
        <w:t>10. Порошкообразный активный уголь надлежит вводить в воду до коагулянта с интервалом времени не менее 10 мин. Дозу угля перед фильтрами следует принимать до 5 мг/л.</w:t>
      </w:r>
    </w:p>
    <w:p>
      <w:pPr>
        <w:pStyle w:val="Normal"/>
        <w:ind w:firstLine="225"/>
        <w:jc w:val="both"/>
        <w:rPr/>
      </w:pPr>
      <w:r>
        <w:rPr/>
      </w:r>
    </w:p>
    <w:p>
      <w:pPr>
        <w:pStyle w:val="Normal"/>
        <w:ind w:firstLine="225"/>
        <w:jc w:val="both"/>
        <w:rPr/>
      </w:pPr>
      <w:r>
        <w:rPr/>
        <w:t>11. Транспортирование угольного порошка со склада реагента к установке приготовления угольной пульпы допускается осуществлять гидро- и пневмоспособами. При применении пневмоспособа установка транспортирования угольного порошка должна быть герметизирована и обеспечена средствами пожарной безопасности, местным противовзрывным клапаном и заземлена.</w:t>
      </w:r>
    </w:p>
    <w:p>
      <w:pPr>
        <w:pStyle w:val="Normal"/>
        <w:ind w:firstLine="225"/>
        <w:jc w:val="both"/>
        <w:rPr/>
      </w:pPr>
      <w:r>
        <w:rPr/>
      </w:r>
    </w:p>
    <w:p>
      <w:pPr>
        <w:pStyle w:val="Normal"/>
        <w:ind w:firstLine="225"/>
        <w:jc w:val="both"/>
        <w:rPr/>
      </w:pPr>
      <w:r>
        <w:rPr/>
        <w:t>Для дозирования угольной пульпы следует предусмотреть замачивание угля в течение 1 ч в баках с гидравлическим или механическим перемешиванием. Насосы для перекачивания угольной пульпы должны быть стойкими к абразивному воздействию угля. Производительность циркуляционных насосов должна обеспечивать 4-5-кратный обмен замачиваемого реагента в течение времени замачивания.</w:t>
      </w:r>
    </w:p>
    <w:p>
      <w:pPr>
        <w:pStyle w:val="Normal"/>
        <w:ind w:firstLine="225"/>
        <w:jc w:val="both"/>
        <w:rPr/>
      </w:pPr>
      <w:r>
        <w:rPr/>
      </w:r>
    </w:p>
    <w:p>
      <w:pPr>
        <w:pStyle w:val="Normal"/>
        <w:ind w:firstLine="225"/>
        <w:jc w:val="both"/>
        <w:rPr/>
      </w:pPr>
      <w:r>
        <w:rPr/>
        <w:t>Концентрацию угольной пульпы следует принимать до 8 %.</w:t>
      </w:r>
    </w:p>
    <w:p>
      <w:pPr>
        <w:pStyle w:val="Normal"/>
        <w:ind w:firstLine="225"/>
        <w:jc w:val="both"/>
        <w:rPr/>
      </w:pPr>
      <w:r>
        <w:rPr/>
      </w:r>
    </w:p>
    <w:p>
      <w:pPr>
        <w:pStyle w:val="Normal"/>
        <w:ind w:firstLine="225"/>
        <w:jc w:val="both"/>
        <w:rPr/>
      </w:pPr>
      <w:r>
        <w:rPr/>
        <w:t>12. Трубопроводы для подачи угольной пульпы надлежит рассчитывать при скорости движения пульпы не менее 1,5 м/с; на трубопроводах должны быть предусмотрены ревизии для прочистки, плавные повороты и уклоны согласно п. 6.38.</w:t>
      </w:r>
    </w:p>
    <w:p>
      <w:pPr>
        <w:pStyle w:val="Normal"/>
        <w:ind w:firstLine="225"/>
        <w:jc w:val="both"/>
        <w:rPr/>
      </w:pPr>
      <w:r>
        <w:rPr/>
      </w:r>
    </w:p>
    <w:p>
      <w:pPr>
        <w:pStyle w:val="Normal"/>
        <w:ind w:firstLine="225"/>
        <w:jc w:val="both"/>
        <w:rPr/>
      </w:pPr>
      <w:r>
        <w:rPr/>
        <w:t>13. Конструкция дозаторов должна обеспечивать гидравлическое перемешивание пульпы при постоянном уровне ее в дозаторе.</w:t>
      </w:r>
    </w:p>
    <w:p>
      <w:pPr>
        <w:pStyle w:val="Normal"/>
        <w:ind w:firstLine="225"/>
        <w:jc w:val="both"/>
        <w:rPr/>
      </w:pPr>
      <w:r>
        <w:rPr/>
      </w:r>
    </w:p>
    <w:p>
      <w:pPr>
        <w:pStyle w:val="Normal"/>
        <w:ind w:firstLine="225"/>
        <w:jc w:val="both"/>
        <w:rPr/>
      </w:pPr>
      <w:r>
        <w:rPr/>
        <w:t>14. Вместимость баков с мешалкой для приготовления раствора перманганата калия следует определять исходя из концентрации раствора реагента 0,5-2 % (по товарному продукту), при этом время полного растворения реагента следует принимать равным 4-6 ч при температуре воды 20 град.С и 2-3 ч при температуре воды 40 град.С.</w:t>
      </w:r>
    </w:p>
    <w:p>
      <w:pPr>
        <w:pStyle w:val="Normal"/>
        <w:ind w:firstLine="225"/>
        <w:jc w:val="both"/>
        <w:rPr/>
      </w:pPr>
      <w:r>
        <w:rPr/>
      </w:r>
    </w:p>
    <w:p>
      <w:pPr>
        <w:pStyle w:val="Normal"/>
        <w:ind w:firstLine="225"/>
        <w:jc w:val="both"/>
        <w:rPr/>
      </w:pPr>
      <w:r>
        <w:rPr/>
        <w:t>15. Количество растворных или растворно-расходных баков для перманганата калия должно быть не менее двух (один резервный). Для дозирования раствора перманганата калия следует принимать дозаторы, предназначенные для работы на отстоенных растворах.</w:t>
      </w:r>
    </w:p>
    <w:p>
      <w:pPr>
        <w:pStyle w:val="Normal"/>
        <w:ind w:firstLine="225"/>
        <w:jc w:val="both"/>
        <w:rPr/>
      </w:pPr>
      <w:r>
        <w:rPr/>
      </w:r>
    </w:p>
    <w:p>
      <w:pPr>
        <w:pStyle w:val="Normal"/>
        <w:ind w:firstLine="225"/>
        <w:jc w:val="both"/>
        <w:rPr/>
      </w:pPr>
      <w:r>
        <w:rPr/>
      </w:r>
    </w:p>
    <w:p>
      <w:pPr>
        <w:pStyle w:val="Normal"/>
        <w:jc w:val="end"/>
        <w:rPr/>
      </w:pPr>
      <w:r>
        <w:rPr/>
        <w:t xml:space="preserve">Приложение 5 </w:t>
      </w:r>
    </w:p>
    <w:p>
      <w:pPr>
        <w:pStyle w:val="Normal"/>
        <w:jc w:val="end"/>
        <w:rPr/>
      </w:pPr>
      <w:r>
        <w:rPr/>
        <w:t xml:space="preserve">Рекомендуемое </w:t>
      </w:r>
    </w:p>
    <w:p>
      <w:pPr>
        <w:pStyle w:val="Normal"/>
        <w:ind w:firstLine="270"/>
        <w:jc w:val="both"/>
        <w:rPr/>
      </w:pPr>
      <w:r>
        <w:rPr/>
      </w:r>
    </w:p>
    <w:p>
      <w:pPr>
        <w:pStyle w:val="Heading"/>
        <w:jc w:val="center"/>
        <w:rPr/>
      </w:pPr>
      <w:r>
        <w:rPr/>
      </w:r>
    </w:p>
    <w:p>
      <w:pPr>
        <w:pStyle w:val="Heading"/>
        <w:jc w:val="center"/>
        <w:rPr/>
      </w:pPr>
      <w:r>
        <w:rPr/>
        <w:t>СТАБИЛИЗАЦИОННАЯ ОБРАБОТКА ВОДЫ,</w:t>
      </w:r>
    </w:p>
    <w:p>
      <w:pPr>
        <w:pStyle w:val="Heading"/>
        <w:jc w:val="center"/>
        <w:rPr/>
      </w:pPr>
      <w:r>
        <w:rPr/>
        <w:t>ОБРАБОТКА ИНГИБИТОРАМИ ДЛЯ УСТРАНЕНИЯ КОРРОЗИИ</w:t>
      </w:r>
    </w:p>
    <w:p>
      <w:pPr>
        <w:pStyle w:val="Heading"/>
        <w:jc w:val="center"/>
        <w:rPr/>
      </w:pPr>
      <w:r>
        <w:rPr>
          <w:rFonts w:eastAsia="Arial"/>
        </w:rPr>
        <w:t xml:space="preserve"> </w:t>
      </w:r>
      <w:r>
        <w:rPr/>
        <w:t xml:space="preserve">СТАЛЬНЫХ И ЧУГУННЫХ ТРУБ </w:t>
      </w:r>
    </w:p>
    <w:p>
      <w:pPr>
        <w:pStyle w:val="Normal"/>
        <w:ind w:firstLine="270"/>
        <w:jc w:val="both"/>
        <w:rPr/>
      </w:pPr>
      <w:r>
        <w:rPr/>
      </w:r>
    </w:p>
    <w:p>
      <w:pPr>
        <w:pStyle w:val="Normal"/>
        <w:ind w:firstLine="270"/>
        <w:jc w:val="both"/>
        <w:rPr/>
      </w:pPr>
      <w:r>
        <w:rPr/>
      </w:r>
    </w:p>
    <w:p>
      <w:pPr>
        <w:pStyle w:val="Normal"/>
        <w:ind w:firstLine="225"/>
        <w:jc w:val="both"/>
        <w:rPr/>
      </w:pPr>
      <w:r>
        <w:rPr/>
        <w:t>1. При отсутствии данных технологических анализов стабильность воды допускается определять по индексу насыщения карбонатом кальция J</w:t>
      </w:r>
    </w:p>
    <w:p>
      <w:pPr>
        <w:pStyle w:val="Normal"/>
        <w:ind w:firstLine="225"/>
        <w:jc w:val="both"/>
        <w:rPr/>
      </w:pPr>
      <w:r>
        <w:rPr/>
        <w:tab/>
        <w:tab/>
        <w:tab/>
        <w:t xml:space="preserve">     </w:t>
      </w:r>
    </w:p>
    <w:tbl>
      <w:tblPr>
        <w:tblW w:w="3345" w:type="dxa"/>
        <w:jc w:val="start"/>
        <w:tblInd w:w="165" w:type="dxa"/>
        <w:tblBorders/>
        <w:tblCellMar>
          <w:top w:w="0" w:type="dxa"/>
          <w:start w:w="15" w:type="dxa"/>
          <w:bottom w:w="0" w:type="dxa"/>
          <w:end w:w="15" w:type="dxa"/>
        </w:tblCellMar>
      </w:tblPr>
      <w:tblGrid>
        <w:gridCol w:w="1575"/>
        <w:gridCol w:w="1770"/>
      </w:tblGrid>
      <w:tr>
        <w:trPr/>
        <w:tc>
          <w:tcPr>
            <w:tcW w:w="1575" w:type="dxa"/>
            <w:tcBorders/>
            <w:shd w:fill="auto" w:val="clear"/>
          </w:tcPr>
          <w:p>
            <w:pPr>
              <w:pStyle w:val="Normal"/>
              <w:rPr/>
            </w:pPr>
            <w:r>
              <w:rPr>
                <w:vanish/>
              </w:rPr>
              <w:t>#G0</w:t>
            </w:r>
            <w:r>
              <w:rPr/>
              <w:t xml:space="preserve">  </w:t>
            </w:r>
          </w:p>
          <w:p>
            <w:pPr>
              <w:pStyle w:val="Normal"/>
              <w:rPr/>
            </w:pPr>
            <w:r>
              <w:rPr/>
              <w:drawing>
                <wp:inline distT="0" distB="0" distL="0" distR="0">
                  <wp:extent cx="1082675" cy="219075"/>
                  <wp:effectExtent l="0" t="0" r="0" b="0"/>
                  <wp:docPr id="214" name="Изображение2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Изображение214" descr="" title=""/>
                          <pic:cNvPicPr>
                            <a:picLocks noChangeAspect="1" noChangeArrowheads="1"/>
                          </pic:cNvPicPr>
                        </pic:nvPicPr>
                        <pic:blipFill>
                          <a:blip r:embed="rId215"/>
                          <a:stretch>
                            <a:fillRect/>
                          </a:stretch>
                        </pic:blipFill>
                        <pic:spPr bwMode="auto">
                          <a:xfrm>
                            <a:off x="0" y="0"/>
                            <a:ext cx="1082675" cy="219075"/>
                          </a:xfrm>
                          <a:prstGeom prst="rect">
                            <a:avLst/>
                          </a:prstGeom>
                        </pic:spPr>
                      </pic:pic>
                    </a:graphicData>
                  </a:graphic>
                </wp:inline>
              </w:drawing>
            </w:r>
          </w:p>
        </w:tc>
        <w:tc>
          <w:tcPr>
            <w:tcW w:w="1770" w:type="dxa"/>
            <w:tcBorders/>
            <w:shd w:fill="auto" w:val="clear"/>
          </w:tcPr>
          <w:p>
            <w:pPr>
              <w:pStyle w:val="Normal"/>
              <w:snapToGrid w:val="false"/>
              <w:rPr/>
            </w:pPr>
            <w:r>
              <w:rPr/>
            </w:r>
          </w:p>
          <w:p>
            <w:pPr>
              <w:pStyle w:val="Normal"/>
              <w:rPr/>
            </w:pPr>
            <w:r>
              <w:rPr/>
              <w:t xml:space="preserve">                    </w:t>
            </w:r>
            <w:r>
              <w:rPr/>
              <w:t>(1)</w:t>
            </w:r>
          </w:p>
          <w:p>
            <w:pPr>
              <w:pStyle w:val="Normal"/>
              <w:rPr/>
            </w:pPr>
            <w:r>
              <w:rPr/>
            </w:r>
          </w:p>
        </w:tc>
      </w:tr>
    </w:tbl>
    <w:p>
      <w:pPr>
        <w:pStyle w:val="Normal"/>
        <w:jc w:val="both"/>
        <w:rPr/>
      </w:pPr>
      <w:r>
        <w:rPr/>
        <w:tab/>
        <w:tab/>
        <w:tab/>
      </w:r>
    </w:p>
    <w:tbl>
      <w:tblPr>
        <w:tblW w:w="8610" w:type="dxa"/>
        <w:jc w:val="start"/>
        <w:tblInd w:w="165" w:type="dxa"/>
        <w:tblBorders/>
        <w:tblCellMar>
          <w:top w:w="0" w:type="dxa"/>
          <w:start w:w="15" w:type="dxa"/>
          <w:bottom w:w="0" w:type="dxa"/>
          <w:end w:w="15" w:type="dxa"/>
        </w:tblCellMar>
      </w:tblPr>
      <w:tblGrid>
        <w:gridCol w:w="450"/>
        <w:gridCol w:w="615"/>
        <w:gridCol w:w="150"/>
        <w:gridCol w:w="6180"/>
        <w:gridCol w:w="1215"/>
      </w:tblGrid>
      <w:tr>
        <w:trPr/>
        <w:tc>
          <w:tcPr>
            <w:tcW w:w="450" w:type="dxa"/>
            <w:tcBorders/>
            <w:shd w:fill="auto" w:val="clear"/>
          </w:tcPr>
          <w:p>
            <w:pPr>
              <w:pStyle w:val="Normal"/>
              <w:rPr/>
            </w:pPr>
            <w:r>
              <w:rPr>
                <w:vanish/>
              </w:rPr>
              <w:t>#G0</w:t>
            </w:r>
            <w:r>
              <w:rPr/>
              <w:t xml:space="preserve">       где </w:t>
            </w:r>
          </w:p>
          <w:p>
            <w:pPr>
              <w:pStyle w:val="Normal"/>
              <w:rPr/>
            </w:pPr>
            <w:r>
              <w:rPr/>
            </w:r>
          </w:p>
        </w:tc>
        <w:tc>
          <w:tcPr>
            <w:tcW w:w="615" w:type="dxa"/>
            <w:tcBorders/>
            <w:shd w:fill="auto" w:val="clear"/>
          </w:tcPr>
          <w:p>
            <w:pPr>
              <w:pStyle w:val="Normal"/>
              <w:rPr/>
            </w:pPr>
            <w:r>
              <w:rPr/>
              <w:t xml:space="preserve">  </w:t>
            </w:r>
          </w:p>
          <w:p>
            <w:pPr>
              <w:pStyle w:val="Normal"/>
              <w:rPr/>
            </w:pPr>
            <w:r>
              <w:rPr/>
              <w:drawing>
                <wp:inline distT="0" distB="0" distL="0" distR="0">
                  <wp:extent cx="276225" cy="184150"/>
                  <wp:effectExtent l="0" t="0" r="0" b="0"/>
                  <wp:docPr id="215" name="Изображение2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Изображение215" descr="" title=""/>
                          <pic:cNvPicPr>
                            <a:picLocks noChangeAspect="1" noChangeArrowheads="1"/>
                          </pic:cNvPicPr>
                        </pic:nvPicPr>
                        <pic:blipFill>
                          <a:blip r:embed="rId216"/>
                          <a:stretch>
                            <a:fillRect/>
                          </a:stretch>
                        </pic:blipFill>
                        <pic:spPr bwMode="auto">
                          <a:xfrm>
                            <a:off x="0" y="0"/>
                            <a:ext cx="276225" cy="184150"/>
                          </a:xfrm>
                          <a:prstGeom prst="rect">
                            <a:avLst/>
                          </a:prstGeom>
                        </pic:spPr>
                      </pic:pic>
                    </a:graphicData>
                  </a:graphic>
                </wp:inline>
              </w:drawing>
            </w:r>
          </w:p>
        </w:tc>
        <w:tc>
          <w:tcPr>
            <w:tcW w:w="7545" w:type="dxa"/>
            <w:gridSpan w:val="3"/>
            <w:tcBorders/>
            <w:shd w:fill="auto" w:val="clear"/>
          </w:tcPr>
          <w:p>
            <w:pPr>
              <w:pStyle w:val="Normal"/>
              <w:rPr/>
            </w:pPr>
            <w:r>
              <w:rPr/>
              <w:t xml:space="preserve"> </w:t>
            </w:r>
          </w:p>
          <w:p>
            <w:pPr>
              <w:pStyle w:val="Normal"/>
              <w:rPr/>
            </w:pPr>
            <w:r>
              <w:rPr/>
              <w:t xml:space="preserve"> </w:t>
            </w:r>
            <w:r>
              <w:rPr/>
              <w:t xml:space="preserve">- водородный показатель, измеренный с помощью рН-метра; </w:t>
            </w:r>
          </w:p>
          <w:p>
            <w:pPr>
              <w:pStyle w:val="Normal"/>
              <w:rPr/>
            </w:pPr>
            <w:r>
              <w:rPr/>
            </w:r>
          </w:p>
        </w:tc>
      </w:tr>
      <w:tr>
        <w:trPr/>
        <w:tc>
          <w:tcPr>
            <w:tcW w:w="450" w:type="dxa"/>
            <w:tcBorders/>
            <w:shd w:fill="auto" w:val="clear"/>
          </w:tcPr>
          <w:p>
            <w:pPr>
              <w:pStyle w:val="Normal"/>
              <w:rPr/>
            </w:pPr>
            <w:r>
              <w:rPr/>
              <w:t xml:space="preserve">  </w:t>
            </w:r>
          </w:p>
          <w:p>
            <w:pPr>
              <w:pStyle w:val="Normal"/>
              <w:rPr/>
            </w:pPr>
            <w:r>
              <w:rPr/>
            </w:r>
          </w:p>
        </w:tc>
        <w:tc>
          <w:tcPr>
            <w:tcW w:w="615" w:type="dxa"/>
            <w:tcBorders/>
            <w:shd w:fill="auto" w:val="clear"/>
          </w:tcPr>
          <w:p>
            <w:pPr>
              <w:pStyle w:val="Normal"/>
              <w:rPr/>
            </w:pPr>
            <w:r>
              <w:rPr/>
              <w:t xml:space="preserve">  </w:t>
            </w:r>
          </w:p>
          <w:p>
            <w:pPr>
              <w:pStyle w:val="Normal"/>
              <w:rPr/>
            </w:pPr>
            <w:r>
              <w:rPr/>
              <w:drawing>
                <wp:inline distT="0" distB="0" distL="0" distR="0">
                  <wp:extent cx="264795" cy="184150"/>
                  <wp:effectExtent l="0" t="0" r="0" b="0"/>
                  <wp:docPr id="216" name="Изображение2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Изображение216" descr="" title=""/>
                          <pic:cNvPicPr>
                            <a:picLocks noChangeAspect="1" noChangeArrowheads="1"/>
                          </pic:cNvPicPr>
                        </pic:nvPicPr>
                        <pic:blipFill>
                          <a:blip r:embed="rId217"/>
                          <a:stretch>
                            <a:fillRect/>
                          </a:stretch>
                        </pic:blipFill>
                        <pic:spPr bwMode="auto">
                          <a:xfrm>
                            <a:off x="0" y="0"/>
                            <a:ext cx="264795" cy="184150"/>
                          </a:xfrm>
                          <a:prstGeom prst="rect">
                            <a:avLst/>
                          </a:prstGeom>
                        </pic:spPr>
                      </pic:pic>
                    </a:graphicData>
                  </a:graphic>
                </wp:inline>
              </w:drawing>
            </w:r>
          </w:p>
        </w:tc>
        <w:tc>
          <w:tcPr>
            <w:tcW w:w="7545" w:type="dxa"/>
            <w:gridSpan w:val="3"/>
            <w:tcBorders/>
            <w:shd w:fill="auto" w:val="clear"/>
          </w:tcPr>
          <w:p>
            <w:pPr>
              <w:pStyle w:val="Normal"/>
              <w:rPr/>
            </w:pPr>
            <w:r>
              <w:rPr/>
              <w:t xml:space="preserve">  </w:t>
            </w:r>
          </w:p>
          <w:p>
            <w:pPr>
              <w:pStyle w:val="Normal"/>
              <w:jc w:val="both"/>
              <w:rPr/>
            </w:pPr>
            <w:r>
              <w:rPr/>
              <w:t xml:space="preserve">- водородный показатель в условиях насыщения воды карбонатом кальция, определяемый по номограмме рис. 1, исходя из значений содержания кальция </w:t>
            </w:r>
          </w:p>
          <w:p>
            <w:pPr>
              <w:pStyle w:val="Normal"/>
              <w:jc w:val="both"/>
              <w:rPr/>
            </w:pPr>
            <w:r>
              <w:rPr/>
            </w:r>
          </w:p>
        </w:tc>
      </w:tr>
      <w:tr>
        <w:trPr/>
        <w:tc>
          <w:tcPr>
            <w:tcW w:w="450" w:type="dxa"/>
            <w:tcBorders/>
            <w:shd w:fill="auto" w:val="clear"/>
          </w:tcPr>
          <w:p>
            <w:pPr>
              <w:pStyle w:val="Normal"/>
              <w:rPr/>
            </w:pPr>
            <w:r>
              <w:rPr/>
              <w:t xml:space="preserve">  </w:t>
            </w:r>
          </w:p>
          <w:p>
            <w:pPr>
              <w:pStyle w:val="Normal"/>
              <w:rPr/>
            </w:pPr>
            <w:r>
              <w:rPr/>
            </w:r>
          </w:p>
        </w:tc>
        <w:tc>
          <w:tcPr>
            <w:tcW w:w="615" w:type="dxa"/>
            <w:tcBorders/>
            <w:shd w:fill="auto" w:val="clear"/>
          </w:tcPr>
          <w:p>
            <w:pPr>
              <w:pStyle w:val="Normal"/>
              <w:rPr/>
            </w:pPr>
            <w:r>
              <w:rPr/>
              <w:t xml:space="preserve">  </w:t>
            </w:r>
          </w:p>
          <w:p>
            <w:pPr>
              <w:pStyle w:val="Normal"/>
              <w:rPr/>
            </w:pPr>
            <w:r>
              <w:rPr/>
              <w:drawing>
                <wp:inline distT="0" distB="0" distL="0" distR="0">
                  <wp:extent cx="276225" cy="184150"/>
                  <wp:effectExtent l="0" t="0" r="0" b="0"/>
                  <wp:docPr id="217" name="Изображение2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Изображение217" descr="" title=""/>
                          <pic:cNvPicPr>
                            <a:picLocks noChangeAspect="1" noChangeArrowheads="1"/>
                          </pic:cNvPicPr>
                        </pic:nvPicPr>
                        <pic:blipFill>
                          <a:blip r:embed="rId218"/>
                          <a:stretch>
                            <a:fillRect/>
                          </a:stretch>
                        </pic:blipFill>
                        <pic:spPr bwMode="auto">
                          <a:xfrm>
                            <a:off x="0" y="0"/>
                            <a:ext cx="276225" cy="184150"/>
                          </a:xfrm>
                          <a:prstGeom prst="rect">
                            <a:avLst/>
                          </a:prstGeom>
                        </pic:spPr>
                      </pic:pic>
                    </a:graphicData>
                  </a:graphic>
                </wp:inline>
              </w:drawing>
            </w:r>
          </w:p>
        </w:tc>
        <w:tc>
          <w:tcPr>
            <w:tcW w:w="150" w:type="dxa"/>
            <w:tcBorders/>
            <w:shd w:fill="auto" w:val="clear"/>
          </w:tcPr>
          <w:p>
            <w:pPr>
              <w:pStyle w:val="Normal"/>
              <w:snapToGrid w:val="false"/>
              <w:ind w:firstLine="45"/>
              <w:jc w:val="both"/>
              <w:rPr/>
            </w:pPr>
            <w:r>
              <w:rPr/>
            </w:r>
          </w:p>
          <w:p>
            <w:pPr>
              <w:pStyle w:val="Normal"/>
              <w:ind w:firstLine="45"/>
              <w:jc w:val="both"/>
              <w:rPr/>
            </w:pPr>
            <w:r>
              <w:rPr/>
            </w:r>
          </w:p>
        </w:tc>
        <w:tc>
          <w:tcPr>
            <w:tcW w:w="6180" w:type="dxa"/>
            <w:tcBorders/>
            <w:shd w:fill="auto" w:val="clear"/>
          </w:tcPr>
          <w:p>
            <w:pPr>
              <w:pStyle w:val="Normal"/>
              <w:snapToGrid w:val="false"/>
              <w:rPr/>
            </w:pPr>
            <w:r>
              <w:rPr/>
            </w:r>
          </w:p>
          <w:p>
            <w:pPr>
              <w:pStyle w:val="Normal"/>
              <w:rPr/>
            </w:pPr>
            <w:r>
              <w:rPr/>
              <w:t xml:space="preserve">  </w:t>
            </w:r>
            <w:r>
              <w:rPr/>
              <w:t>общего солесодержания Р, щелочности Щ и температуры воды t.</w:t>
            </w:r>
          </w:p>
          <w:p>
            <w:pPr>
              <w:pStyle w:val="Normal"/>
              <w:rPr/>
            </w:pPr>
            <w:r>
              <w:rPr/>
            </w:r>
          </w:p>
          <w:p>
            <w:pPr>
              <w:pStyle w:val="Normal"/>
              <w:rPr/>
            </w:pPr>
            <w:r>
              <w:rPr/>
            </w:r>
          </w:p>
        </w:tc>
        <w:tc>
          <w:tcPr>
            <w:tcW w:w="1215" w:type="dxa"/>
            <w:tcBorders/>
            <w:shd w:fill="auto" w:val="clear"/>
            <w:tcMar>
              <w:start w:w="0" w:type="dxa"/>
              <w:end w:w="0" w:type="dxa"/>
            </w:tcMar>
          </w:tcPr>
          <w:p>
            <w:pPr>
              <w:pStyle w:val="Normal"/>
              <w:snapToGrid w:val="false"/>
              <w:rPr/>
            </w:pPr>
            <w:r>
              <w:rPr/>
            </w:r>
          </w:p>
        </w:tc>
      </w:tr>
    </w:tbl>
    <w:p>
      <w:pPr>
        <w:pStyle w:val="Normal"/>
        <w:jc w:val="both"/>
        <w:rPr/>
      </w:pPr>
      <w:r>
        <w:rPr/>
      </w:r>
    </w:p>
    <w:p>
      <w:pPr>
        <w:pStyle w:val="Normal"/>
        <w:jc w:val="both"/>
        <w:rPr/>
      </w:pPr>
      <w:r>
        <w:rPr/>
      </w:r>
    </w:p>
    <w:p>
      <w:pPr>
        <w:pStyle w:val="Normal"/>
        <w:ind w:firstLine="270"/>
        <w:jc w:val="both"/>
        <w:rPr/>
      </w:pPr>
      <w:r>
        <w:rPr/>
        <w:t>2. Для защиты металлических труб от коррозии и образования бугристых коррозионных отложений стабилизационную обработку воды следует предусматривать при индексе насыщения менее 0,3 более трех месяцев в году.</w:t>
      </w:r>
    </w:p>
    <w:p>
      <w:pPr>
        <w:pStyle w:val="Normal"/>
        <w:ind w:firstLine="270"/>
        <w:jc w:val="both"/>
        <w:rPr/>
      </w:pPr>
      <w:r>
        <w:rPr/>
      </w:r>
    </w:p>
    <w:p>
      <w:pPr>
        <w:pStyle w:val="Normal"/>
        <w:ind w:firstLine="225"/>
        <w:jc w:val="both"/>
        <w:rPr/>
      </w:pPr>
      <w:r>
        <w:rPr/>
        <w:t>При определении необходимости стабилизационной обработки воды надлежит учитывать изменение ее качества в результате предшествующей обработки (коагулирования, умягчения, аэрации и т.п.).</w:t>
      </w:r>
    </w:p>
    <w:p>
      <w:pPr>
        <w:pStyle w:val="Normal"/>
        <w:ind w:firstLine="225"/>
        <w:jc w:val="both"/>
        <w:rPr/>
      </w:pPr>
      <w:r>
        <w:rPr/>
      </w:r>
    </w:p>
    <w:p>
      <w:pPr>
        <w:pStyle w:val="Normal"/>
        <w:ind w:firstLine="225"/>
        <w:jc w:val="both"/>
        <w:rPr/>
      </w:pPr>
      <w:r>
        <w:rPr/>
        <w:t>3. Для вод, подвергаемых обработке минеральными коагулянтами (сернокислым алюминием, хлорным железом и т.п.), при подсчете индекса насыщения следует учитывать снижение рН и щелочности воды вследствие добавления в нее коагулянта.</w:t>
      </w:r>
    </w:p>
    <w:p>
      <w:pPr>
        <w:pStyle w:val="Normal"/>
        <w:ind w:firstLine="225"/>
        <w:jc w:val="both"/>
        <w:rPr/>
      </w:pPr>
      <w:r>
        <w:rPr/>
      </w:r>
    </w:p>
    <w:p>
      <w:pPr>
        <w:pStyle w:val="Normal"/>
        <w:ind w:firstLine="225"/>
        <w:jc w:val="both"/>
        <w:rPr/>
      </w:pPr>
      <w:r>
        <w:rPr/>
        <w:t>Щелочность воды после коагулирования Щ(к), мг-экв/л, следует определять по формуле</w:t>
      </w:r>
    </w:p>
    <w:p>
      <w:pPr>
        <w:pStyle w:val="Normal"/>
        <w:ind w:firstLine="225"/>
        <w:jc w:val="both"/>
        <w:rPr/>
      </w:pPr>
      <w:r>
        <w:rPr/>
      </w:r>
    </w:p>
    <w:p>
      <w:pPr>
        <w:pStyle w:val="Normal"/>
        <w:ind w:firstLine="720"/>
        <w:jc w:val="both"/>
        <w:rPr/>
      </w:pPr>
      <w:r>
        <w:rPr/>
        <w:tab/>
        <w:tab/>
        <w:t xml:space="preserve">               </w:t>
      </w:r>
    </w:p>
    <w:tbl>
      <w:tblPr>
        <w:tblW w:w="4410" w:type="dxa"/>
        <w:jc w:val="start"/>
        <w:tblInd w:w="165" w:type="dxa"/>
        <w:tblBorders/>
        <w:tblCellMar>
          <w:top w:w="0" w:type="dxa"/>
          <w:start w:w="15" w:type="dxa"/>
          <w:bottom w:w="0" w:type="dxa"/>
          <w:end w:w="15" w:type="dxa"/>
        </w:tblCellMar>
      </w:tblPr>
      <w:tblGrid>
        <w:gridCol w:w="2070"/>
        <w:gridCol w:w="2340"/>
      </w:tblGrid>
      <w:tr>
        <w:trPr/>
        <w:tc>
          <w:tcPr>
            <w:tcW w:w="2070" w:type="dxa"/>
            <w:tcBorders/>
            <w:shd w:fill="auto" w:val="clear"/>
          </w:tcPr>
          <w:p>
            <w:pPr>
              <w:pStyle w:val="Normal"/>
              <w:rPr/>
            </w:pPr>
            <w:r>
              <w:rPr>
                <w:vanish/>
              </w:rPr>
              <w:t>#G0</w:t>
            </w:r>
            <w:r>
              <w:rPr/>
              <w:t xml:space="preserve">  </w:t>
            </w:r>
          </w:p>
          <w:p>
            <w:pPr>
              <w:pStyle w:val="Normal"/>
              <w:rPr/>
            </w:pPr>
            <w:r>
              <w:rPr/>
              <w:drawing>
                <wp:inline distT="0" distB="0" distL="0" distR="0">
                  <wp:extent cx="1382395" cy="264795"/>
                  <wp:effectExtent l="0" t="0" r="0" b="0"/>
                  <wp:docPr id="218" name="Изображение2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Изображение218" descr="" title=""/>
                          <pic:cNvPicPr>
                            <a:picLocks noChangeAspect="1" noChangeArrowheads="1"/>
                          </pic:cNvPicPr>
                        </pic:nvPicPr>
                        <pic:blipFill>
                          <a:blip r:embed="rId219"/>
                          <a:stretch>
                            <a:fillRect/>
                          </a:stretch>
                        </pic:blipFill>
                        <pic:spPr bwMode="auto">
                          <a:xfrm>
                            <a:off x="0" y="0"/>
                            <a:ext cx="1382395" cy="264795"/>
                          </a:xfrm>
                          <a:prstGeom prst="rect">
                            <a:avLst/>
                          </a:prstGeom>
                        </pic:spPr>
                      </pic:pic>
                    </a:graphicData>
                  </a:graphic>
                </wp:inline>
              </w:drawing>
            </w:r>
          </w:p>
        </w:tc>
        <w:tc>
          <w:tcPr>
            <w:tcW w:w="2340" w:type="dxa"/>
            <w:tcBorders/>
            <w:shd w:fill="auto" w:val="clear"/>
          </w:tcPr>
          <w:p>
            <w:pPr>
              <w:pStyle w:val="Normal"/>
              <w:rPr/>
            </w:pPr>
            <w:r>
              <w:rPr/>
              <w:t xml:space="preserve">  </w:t>
            </w:r>
          </w:p>
          <w:p>
            <w:pPr>
              <w:pStyle w:val="Normal"/>
              <w:rPr/>
            </w:pPr>
            <w:r>
              <w:rPr/>
              <w:t xml:space="preserve">                                              </w:t>
            </w:r>
            <w:r>
              <w:rPr/>
              <w:t>(2)</w:t>
            </w:r>
          </w:p>
          <w:p>
            <w:pPr>
              <w:pStyle w:val="Normal"/>
              <w:rPr/>
            </w:pPr>
            <w:r>
              <w:rPr/>
            </w:r>
          </w:p>
        </w:tc>
      </w:tr>
    </w:tbl>
    <w:p>
      <w:pPr>
        <w:pStyle w:val="Normal"/>
        <w:jc w:val="both"/>
        <w:rPr/>
      </w:pPr>
      <w:r>
        <w:rPr/>
        <w:tab/>
        <w:tab/>
        <w:tab/>
      </w:r>
    </w:p>
    <w:p>
      <w:pPr>
        <w:pStyle w:val="Normal"/>
        <w:ind w:firstLine="270"/>
        <w:jc w:val="both"/>
        <w:rPr/>
      </w:pPr>
      <w:r>
        <w:rPr/>
      </w:r>
    </w:p>
    <w:p>
      <w:pPr>
        <w:pStyle w:val="Normal"/>
        <w:ind w:firstLine="270"/>
        <w:jc w:val="both"/>
        <w:rPr/>
      </w:pPr>
      <w:r>
        <w:rPr/>
        <w:t xml:space="preserve">где Щ(0) - щелочность исходной воды (до коагулирования), мг-экв/л; </w:t>
      </w:r>
    </w:p>
    <w:p>
      <w:pPr>
        <w:pStyle w:val="Normal"/>
        <w:ind w:firstLine="270"/>
        <w:jc w:val="both"/>
        <w:rPr/>
      </w:pPr>
      <w:r>
        <w:rPr/>
      </w:r>
    </w:p>
    <w:p>
      <w:pPr>
        <w:pStyle w:val="Normal"/>
        <w:ind w:firstLine="225"/>
        <w:jc w:val="both"/>
        <w:rPr/>
      </w:pPr>
      <w:r>
        <w:rPr/>
        <w:t>Д(к) - доза коагулянта в расчете на безводный продукт, мг/л;</w:t>
      </w:r>
    </w:p>
    <w:p>
      <w:pPr>
        <w:pStyle w:val="Normal"/>
        <w:ind w:firstLine="225"/>
        <w:jc w:val="both"/>
        <w:rPr/>
      </w:pPr>
      <w:r>
        <w:rPr/>
      </w:r>
    </w:p>
    <w:p>
      <w:pPr>
        <w:pStyle w:val="Normal"/>
        <w:ind w:firstLine="225"/>
        <w:jc w:val="both"/>
        <w:rPr/>
      </w:pPr>
      <w:r>
        <w:rPr/>
        <w:t>е(к)  - эквивалентная масса безводного вещества коагулянта, мг/мг-экв, принимаемая согласно п. 6.19.</w:t>
      </w:r>
    </w:p>
    <w:p>
      <w:pPr>
        <w:pStyle w:val="Normal"/>
        <w:ind w:firstLine="225"/>
        <w:jc w:val="both"/>
        <w:rPr/>
      </w:pPr>
      <w:r>
        <w:rPr/>
      </w:r>
    </w:p>
    <w:p>
      <w:pPr>
        <w:pStyle w:val="Normal"/>
        <w:ind w:firstLine="225"/>
        <w:jc w:val="both"/>
        <w:rPr/>
      </w:pPr>
      <w:r>
        <w:rPr/>
        <w:t>Количество свободной двуокиси углерода в воде после коагулирования следует определять по номограмме рис. 2 при известной величине рН коагулированной воды, а при неизвестном рН по формуле</w:t>
      </w:r>
    </w:p>
    <w:p>
      <w:pPr>
        <w:pStyle w:val="Normal"/>
        <w:ind w:firstLine="225"/>
        <w:jc w:val="both"/>
        <w:rPr/>
      </w:pPr>
      <w:r>
        <w:rPr/>
      </w:r>
    </w:p>
    <w:p>
      <w:pPr>
        <w:pStyle w:val="Normal"/>
        <w:ind w:firstLine="225"/>
        <w:jc w:val="both"/>
        <w:rPr/>
      </w:pPr>
      <w:r>
        <w:rPr/>
      </w:r>
    </w:p>
    <w:tbl>
      <w:tblPr>
        <w:tblW w:w="5760" w:type="dxa"/>
        <w:jc w:val="start"/>
        <w:tblInd w:w="165" w:type="dxa"/>
        <w:tblBorders/>
        <w:tblCellMar>
          <w:top w:w="0" w:type="dxa"/>
          <w:start w:w="15" w:type="dxa"/>
          <w:bottom w:w="0" w:type="dxa"/>
          <w:end w:w="15" w:type="dxa"/>
        </w:tblCellMar>
      </w:tblPr>
      <w:tblGrid>
        <w:gridCol w:w="2415"/>
        <w:gridCol w:w="3345"/>
      </w:tblGrid>
      <w:tr>
        <w:trPr/>
        <w:tc>
          <w:tcPr>
            <w:tcW w:w="2415" w:type="dxa"/>
            <w:tcBorders/>
            <w:shd w:fill="auto" w:val="clear"/>
          </w:tcPr>
          <w:p>
            <w:pPr>
              <w:pStyle w:val="Normal"/>
              <w:rPr/>
            </w:pPr>
            <w:r>
              <w:rPr>
                <w:vanish/>
              </w:rPr>
              <w:t>#G0</w:t>
            </w:r>
            <w:r>
              <w:rPr/>
              <w:t xml:space="preserve">  </w:t>
            </w:r>
          </w:p>
          <w:p>
            <w:pPr>
              <w:pStyle w:val="Normal"/>
              <w:rPr/>
            </w:pPr>
            <w:r>
              <w:rPr/>
              <w:drawing>
                <wp:inline distT="0" distB="0" distL="0" distR="0">
                  <wp:extent cx="2016125" cy="288290"/>
                  <wp:effectExtent l="0" t="0" r="0" b="0"/>
                  <wp:docPr id="219" name="Изображение2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Изображение219" descr="" title=""/>
                          <pic:cNvPicPr>
                            <a:picLocks noChangeAspect="1" noChangeArrowheads="1"/>
                          </pic:cNvPicPr>
                        </pic:nvPicPr>
                        <pic:blipFill>
                          <a:blip r:embed="rId220"/>
                          <a:stretch>
                            <a:fillRect/>
                          </a:stretch>
                        </pic:blipFill>
                        <pic:spPr bwMode="auto">
                          <a:xfrm>
                            <a:off x="0" y="0"/>
                            <a:ext cx="2016125" cy="288290"/>
                          </a:xfrm>
                          <a:prstGeom prst="rect">
                            <a:avLst/>
                          </a:prstGeom>
                        </pic:spPr>
                      </pic:pic>
                    </a:graphicData>
                  </a:graphic>
                </wp:inline>
              </w:drawing>
            </w:r>
          </w:p>
        </w:tc>
        <w:tc>
          <w:tcPr>
            <w:tcW w:w="3345" w:type="dxa"/>
            <w:tcBorders/>
            <w:shd w:fill="auto" w:val="clear"/>
          </w:tcPr>
          <w:p>
            <w:pPr>
              <w:pStyle w:val="Normal"/>
              <w:rPr/>
            </w:pPr>
            <w:r>
              <w:rPr/>
              <w:t xml:space="preserve"> </w:t>
            </w:r>
          </w:p>
          <w:p>
            <w:pPr>
              <w:pStyle w:val="Normal"/>
              <w:rPr/>
            </w:pPr>
            <w:r>
              <w:rPr/>
              <w:t xml:space="preserve">                                                       </w:t>
            </w:r>
            <w:r>
              <w:rPr/>
              <w:t>(3)</w:t>
            </w:r>
          </w:p>
          <w:p>
            <w:pPr>
              <w:pStyle w:val="Normal"/>
              <w:rPr/>
            </w:pPr>
            <w:r>
              <w:rPr/>
            </w:r>
          </w:p>
        </w:tc>
      </w:tr>
    </w:tbl>
    <w:p>
      <w:pPr>
        <w:pStyle w:val="Normal"/>
        <w:ind w:firstLine="1395"/>
        <w:jc w:val="both"/>
        <w:rPr/>
      </w:pPr>
      <w:r>
        <w:rPr/>
      </w:r>
    </w:p>
    <w:p>
      <w:pPr>
        <w:pStyle w:val="Normal"/>
        <w:ind w:firstLine="45"/>
        <w:jc w:val="both"/>
        <w:rPr/>
      </w:pPr>
      <w:r>
        <w:rPr/>
        <w:tab/>
      </w:r>
    </w:p>
    <w:p>
      <w:pPr>
        <w:pStyle w:val="Normal"/>
        <w:ind w:firstLine="270"/>
        <w:jc w:val="both"/>
        <w:rPr/>
      </w:pPr>
      <w:r>
        <w:rPr/>
      </w:r>
    </w:p>
    <w:tbl>
      <w:tblPr>
        <w:tblW w:w="8610" w:type="dxa"/>
        <w:jc w:val="start"/>
        <w:tblInd w:w="165" w:type="dxa"/>
        <w:tblBorders/>
        <w:tblCellMar>
          <w:top w:w="0" w:type="dxa"/>
          <w:start w:w="15" w:type="dxa"/>
          <w:bottom w:w="0" w:type="dxa"/>
          <w:end w:w="15" w:type="dxa"/>
        </w:tblCellMar>
      </w:tblPr>
      <w:tblGrid>
        <w:gridCol w:w="420"/>
        <w:gridCol w:w="1065"/>
        <w:gridCol w:w="870"/>
        <w:gridCol w:w="1140"/>
        <w:gridCol w:w="4740"/>
        <w:gridCol w:w="375"/>
      </w:tblGrid>
      <w:tr>
        <w:trPr/>
        <w:tc>
          <w:tcPr>
            <w:tcW w:w="420" w:type="dxa"/>
            <w:tcBorders/>
            <w:shd w:fill="auto" w:val="clear"/>
          </w:tcPr>
          <w:p>
            <w:pPr>
              <w:pStyle w:val="Normal"/>
              <w:rPr/>
            </w:pPr>
            <w:r>
              <w:rPr>
                <w:vanish/>
              </w:rPr>
              <w:t>#G0</w:t>
            </w:r>
            <w:r>
              <w:rPr/>
              <w:t xml:space="preserve">       где </w:t>
            </w:r>
          </w:p>
          <w:p>
            <w:pPr>
              <w:pStyle w:val="Normal"/>
              <w:rPr/>
            </w:pPr>
            <w:r>
              <w:rPr/>
            </w:r>
          </w:p>
        </w:tc>
        <w:tc>
          <w:tcPr>
            <w:tcW w:w="1065" w:type="dxa"/>
            <w:tcBorders/>
            <w:shd w:fill="auto" w:val="clear"/>
          </w:tcPr>
          <w:p>
            <w:pPr>
              <w:pStyle w:val="Normal"/>
              <w:rPr/>
            </w:pPr>
            <w:r>
              <w:rPr/>
              <w:t xml:space="preserve">  </w:t>
            </w:r>
          </w:p>
          <w:p>
            <w:pPr>
              <w:pStyle w:val="Normal"/>
              <w:rPr/>
            </w:pPr>
            <w:r>
              <w:rPr/>
              <w:drawing>
                <wp:inline distT="0" distB="0" distL="0" distR="0">
                  <wp:extent cx="437515" cy="184150"/>
                  <wp:effectExtent l="0" t="0" r="0" b="0"/>
                  <wp:docPr id="220" name="Изображение2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Изображение220" descr="" title=""/>
                          <pic:cNvPicPr>
                            <a:picLocks noChangeAspect="1" noChangeArrowheads="1"/>
                          </pic:cNvPicPr>
                        </pic:nvPicPr>
                        <pic:blipFill>
                          <a:blip r:embed="rId221"/>
                          <a:stretch>
                            <a:fillRect/>
                          </a:stretch>
                        </pic:blipFill>
                        <pic:spPr bwMode="auto">
                          <a:xfrm>
                            <a:off x="0" y="0"/>
                            <a:ext cx="437515" cy="184150"/>
                          </a:xfrm>
                          <a:prstGeom prst="rect">
                            <a:avLst/>
                          </a:prstGeom>
                        </pic:spPr>
                      </pic:pic>
                    </a:graphicData>
                  </a:graphic>
                </wp:inline>
              </w:drawing>
            </w:r>
          </w:p>
        </w:tc>
        <w:tc>
          <w:tcPr>
            <w:tcW w:w="6750" w:type="dxa"/>
            <w:gridSpan w:val="3"/>
            <w:tcBorders/>
            <w:shd w:fill="auto" w:val="clear"/>
          </w:tcPr>
          <w:p>
            <w:pPr>
              <w:pStyle w:val="Normal"/>
              <w:rPr/>
            </w:pPr>
            <w:r>
              <w:rPr/>
              <w:t xml:space="preserve"> </w:t>
            </w:r>
          </w:p>
          <w:p>
            <w:pPr>
              <w:pStyle w:val="Normal"/>
              <w:rPr/>
            </w:pPr>
            <w:r>
              <w:rPr/>
              <w:t xml:space="preserve"> </w:t>
            </w:r>
            <w:r>
              <w:rPr/>
              <w:t>- концентрация двуокиси углерода в исходной воде до коагулирования, мг/л.</w:t>
            </w:r>
          </w:p>
          <w:p>
            <w:pPr>
              <w:pStyle w:val="Normal"/>
              <w:rPr/>
            </w:pPr>
            <w:r>
              <w:rPr/>
            </w:r>
          </w:p>
        </w:tc>
        <w:tc>
          <w:tcPr>
            <w:tcW w:w="375" w:type="dxa"/>
            <w:tcBorders/>
            <w:shd w:fill="auto" w:val="clear"/>
            <w:tcMar>
              <w:start w:w="0" w:type="dxa"/>
              <w:end w:w="0" w:type="dxa"/>
            </w:tcMar>
          </w:tcPr>
          <w:p>
            <w:pPr>
              <w:pStyle w:val="Normal"/>
              <w:snapToGrid w:val="false"/>
              <w:rPr/>
            </w:pPr>
            <w:r>
              <w:rPr/>
            </w:r>
          </w:p>
        </w:tc>
      </w:tr>
      <w:tr>
        <w:trPr/>
        <w:tc>
          <w:tcPr>
            <w:tcW w:w="2355" w:type="dxa"/>
            <w:gridSpan w:val="3"/>
            <w:tcBorders/>
            <w:shd w:fill="auto" w:val="clear"/>
          </w:tcPr>
          <w:p>
            <w:pPr>
              <w:pStyle w:val="Normal"/>
              <w:rPr/>
            </w:pPr>
            <w:r>
              <w:rPr/>
              <w:t xml:space="preserve">  </w:t>
            </w:r>
          </w:p>
          <w:p>
            <w:pPr>
              <w:pStyle w:val="Normal"/>
              <w:ind w:firstLine="45"/>
              <w:jc w:val="both"/>
              <w:rPr/>
            </w:pPr>
            <w:r>
              <w:rPr/>
              <w:t xml:space="preserve">При известном значении </w:t>
            </w:r>
          </w:p>
          <w:p>
            <w:pPr>
              <w:pStyle w:val="Normal"/>
              <w:ind w:firstLine="45"/>
              <w:jc w:val="both"/>
              <w:rPr/>
            </w:pPr>
            <w:r>
              <w:rPr/>
            </w:r>
          </w:p>
        </w:tc>
        <w:tc>
          <w:tcPr>
            <w:tcW w:w="1140" w:type="dxa"/>
            <w:tcBorders/>
            <w:shd w:fill="auto" w:val="clear"/>
          </w:tcPr>
          <w:p>
            <w:pPr>
              <w:pStyle w:val="Normal"/>
              <w:rPr/>
            </w:pPr>
            <w:r>
              <w:rPr/>
              <w:t xml:space="preserve">  </w:t>
            </w:r>
          </w:p>
          <w:p>
            <w:pPr>
              <w:pStyle w:val="Normal"/>
              <w:rPr/>
            </w:pPr>
            <w:r>
              <w:rPr/>
              <w:drawing>
                <wp:inline distT="0" distB="0" distL="0" distR="0">
                  <wp:extent cx="472440" cy="184150"/>
                  <wp:effectExtent l="0" t="0" r="0" b="0"/>
                  <wp:docPr id="221" name="Изображение2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Изображение221" descr="" title=""/>
                          <pic:cNvPicPr>
                            <a:picLocks noChangeAspect="1" noChangeArrowheads="1"/>
                          </pic:cNvPicPr>
                        </pic:nvPicPr>
                        <pic:blipFill>
                          <a:blip r:embed="rId222"/>
                          <a:stretch>
                            <a:fillRect/>
                          </a:stretch>
                        </pic:blipFill>
                        <pic:spPr bwMode="auto">
                          <a:xfrm>
                            <a:off x="0" y="0"/>
                            <a:ext cx="472440" cy="184150"/>
                          </a:xfrm>
                          <a:prstGeom prst="rect">
                            <a:avLst/>
                          </a:prstGeom>
                        </pic:spPr>
                      </pic:pic>
                    </a:graphicData>
                  </a:graphic>
                </wp:inline>
              </w:drawing>
            </w:r>
          </w:p>
        </w:tc>
        <w:tc>
          <w:tcPr>
            <w:tcW w:w="5115" w:type="dxa"/>
            <w:gridSpan w:val="2"/>
            <w:tcBorders/>
            <w:shd w:fill="auto" w:val="clear"/>
          </w:tcPr>
          <w:p>
            <w:pPr>
              <w:pStyle w:val="Normal"/>
              <w:rPr/>
            </w:pPr>
            <w:r>
              <w:rPr/>
              <w:t xml:space="preserve">  </w:t>
            </w:r>
          </w:p>
          <w:p>
            <w:pPr>
              <w:pStyle w:val="Normal"/>
              <w:jc w:val="both"/>
              <w:rPr/>
            </w:pPr>
            <w:r>
              <w:rPr/>
              <w:t xml:space="preserve">по номограмме рис. 2 определяется величина рН воды </w:t>
            </w:r>
          </w:p>
          <w:p>
            <w:pPr>
              <w:pStyle w:val="Normal"/>
              <w:jc w:val="both"/>
              <w:rPr/>
            </w:pPr>
            <w:r>
              <w:rPr/>
            </w:r>
          </w:p>
        </w:tc>
      </w:tr>
    </w:tbl>
    <w:p>
      <w:pPr>
        <w:pStyle w:val="Normal"/>
        <w:ind w:firstLine="270"/>
        <w:jc w:val="both"/>
        <w:rPr/>
      </w:pPr>
      <w:r>
        <w:rPr/>
        <w:t>после обработки коагулянтом.</w:t>
      </w:r>
    </w:p>
    <w:p>
      <w:pPr>
        <w:pStyle w:val="Normal"/>
        <w:ind w:firstLine="270"/>
        <w:jc w:val="both"/>
        <w:rPr/>
      </w:pPr>
      <w:r>
        <w:rPr/>
      </w:r>
    </w:p>
    <w:p>
      <w:pPr>
        <w:pStyle w:val="Normal"/>
        <w:ind w:firstLine="225"/>
        <w:jc w:val="both"/>
        <w:rPr/>
      </w:pPr>
      <w:r>
        <w:rPr/>
        <w:t xml:space="preserve">4. При положительном индексе насыщения для предупреждения зарастания труб карбонатом кальция воду следует обрабатывать кислотой (серной или соляной), гексаметафосфатом или триполифосфатом натрия.     </w:t>
      </w:r>
    </w:p>
    <w:p>
      <w:pPr>
        <w:pStyle w:val="Normal"/>
        <w:ind w:firstLine="315"/>
        <w:jc w:val="both"/>
        <w:rPr/>
      </w:pPr>
      <w:r>
        <w:rPr/>
      </w:r>
    </w:p>
    <w:p>
      <w:pPr>
        <w:pStyle w:val="Normal"/>
        <w:jc w:val="center"/>
        <w:rPr/>
      </w:pPr>
      <w:r>
        <w:rPr/>
        <w:drawing>
          <wp:inline distT="0" distB="0" distL="0" distR="0">
            <wp:extent cx="6210300" cy="3067050"/>
            <wp:effectExtent l="0" t="0" r="0" b="0"/>
            <wp:docPr id="222" name="Изображение2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Изображение222" descr="" title=""/>
                    <pic:cNvPicPr>
                      <a:picLocks noChangeAspect="1" noChangeArrowheads="1"/>
                    </pic:cNvPicPr>
                  </pic:nvPicPr>
                  <pic:blipFill>
                    <a:blip r:embed="rId223"/>
                    <a:stretch>
                      <a:fillRect/>
                    </a:stretch>
                  </pic:blipFill>
                  <pic:spPr bwMode="auto">
                    <a:xfrm>
                      <a:off x="0" y="0"/>
                      <a:ext cx="6210300" cy="3067050"/>
                    </a:xfrm>
                    <a:prstGeom prst="rect">
                      <a:avLst/>
                    </a:prstGeom>
                  </pic:spPr>
                </pic:pic>
              </a:graphicData>
            </a:graphic>
          </wp:inline>
        </w:drawing>
      </w:r>
    </w:p>
    <w:p>
      <w:pPr>
        <w:pStyle w:val="Normal"/>
        <w:jc w:val="center"/>
        <w:rPr/>
      </w:pPr>
      <w:r>
        <w:rPr/>
        <w:t>Рис. 1. Номограмма для определения рН насыщения воды карбонатом кальция (рНs)</w:t>
      </w:r>
    </w:p>
    <w:p>
      <w:pPr>
        <w:pStyle w:val="Normal"/>
        <w:ind w:firstLine="270"/>
        <w:jc w:val="both"/>
        <w:rPr/>
      </w:pPr>
      <w:r>
        <w:rPr/>
      </w:r>
    </w:p>
    <w:tbl>
      <w:tblPr>
        <w:tblW w:w="4095" w:type="dxa"/>
        <w:jc w:val="start"/>
        <w:tblInd w:w="165" w:type="dxa"/>
        <w:tblBorders/>
        <w:tblCellMar>
          <w:top w:w="0" w:type="dxa"/>
          <w:start w:w="15" w:type="dxa"/>
          <w:bottom w:w="0" w:type="dxa"/>
          <w:end w:w="15" w:type="dxa"/>
        </w:tblCellMar>
      </w:tblPr>
      <w:tblGrid>
        <w:gridCol w:w="1515"/>
        <w:gridCol w:w="2580"/>
      </w:tblGrid>
      <w:tr>
        <w:trPr/>
        <w:tc>
          <w:tcPr>
            <w:tcW w:w="1515" w:type="dxa"/>
            <w:tcBorders/>
            <w:shd w:fill="auto" w:val="clear"/>
          </w:tcPr>
          <w:p>
            <w:pPr>
              <w:pStyle w:val="Normal"/>
              <w:rPr/>
            </w:pPr>
            <w:r>
              <w:rPr>
                <w:vanish/>
              </w:rPr>
              <w:t>#G0</w:t>
            </w:r>
            <w:r>
              <w:rPr/>
              <w:t xml:space="preserve">  </w:t>
            </w:r>
          </w:p>
          <w:p>
            <w:pPr>
              <w:pStyle w:val="Normal"/>
              <w:jc w:val="center"/>
              <w:rPr/>
            </w:pPr>
            <w:r>
              <w:rPr/>
              <w:t>Пример. Дано:</w:t>
            </w:r>
          </w:p>
          <w:p>
            <w:pPr>
              <w:pStyle w:val="Normal"/>
              <w:jc w:val="center"/>
              <w:rPr/>
            </w:pPr>
            <w:r>
              <w:rPr/>
            </w:r>
          </w:p>
        </w:tc>
        <w:tc>
          <w:tcPr>
            <w:tcW w:w="2580" w:type="dxa"/>
            <w:tcBorders/>
            <w:shd w:fill="auto" w:val="clear"/>
          </w:tcPr>
          <w:p>
            <w:pPr>
              <w:pStyle w:val="Normal"/>
              <w:rPr/>
            </w:pPr>
            <w:r>
              <w:rPr/>
              <w:t xml:space="preserve">  </w:t>
            </w:r>
          </w:p>
          <w:p>
            <w:pPr>
              <w:pStyle w:val="Normal"/>
              <w:rPr/>
            </w:pPr>
            <w:r>
              <w:rPr/>
              <w:drawing>
                <wp:inline distT="0" distB="0" distL="0" distR="0">
                  <wp:extent cx="944880" cy="184150"/>
                  <wp:effectExtent l="0" t="0" r="0" b="0"/>
                  <wp:docPr id="223" name="Изображение2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Изображение223" descr="" title=""/>
                          <pic:cNvPicPr>
                            <a:picLocks noChangeAspect="1" noChangeArrowheads="1"/>
                          </pic:cNvPicPr>
                        </pic:nvPicPr>
                        <pic:blipFill>
                          <a:blip r:embed="rId224"/>
                          <a:stretch>
                            <a:fillRect/>
                          </a:stretch>
                        </pic:blipFill>
                        <pic:spPr bwMode="auto">
                          <a:xfrm>
                            <a:off x="0" y="0"/>
                            <a:ext cx="944880" cy="184150"/>
                          </a:xfrm>
                          <a:prstGeom prst="rect">
                            <a:avLst/>
                          </a:prstGeom>
                        </pic:spPr>
                      </pic:pic>
                    </a:graphicData>
                  </a:graphic>
                </wp:inline>
              </w:drawing>
            </w:r>
          </w:p>
        </w:tc>
      </w:tr>
    </w:tbl>
    <w:p>
      <w:pPr>
        <w:pStyle w:val="Normal"/>
        <w:jc w:val="center"/>
        <w:rPr/>
      </w:pPr>
      <w:r>
        <w:rPr/>
      </w:r>
    </w:p>
    <w:p>
      <w:pPr>
        <w:pStyle w:val="Normal"/>
        <w:jc w:val="center"/>
        <w:rPr/>
      </w:pPr>
      <w:r>
        <w:rPr/>
        <w:t xml:space="preserve">Щ = 2 мг-экв/л; Р = 3 г/л; t = 40  град.С. </w:t>
      </w:r>
    </w:p>
    <w:p>
      <w:pPr>
        <w:pStyle w:val="Normal"/>
        <w:jc w:val="center"/>
        <w:rPr/>
      </w:pPr>
      <w:r>
        <w:rPr/>
      </w:r>
    </w:p>
    <w:p>
      <w:pPr>
        <w:pStyle w:val="Normal"/>
        <w:jc w:val="center"/>
        <w:rPr/>
      </w:pPr>
      <w:r>
        <w:rPr/>
        <w:t xml:space="preserve">Ответ: рНs = 7,47 </w:t>
      </w:r>
    </w:p>
    <w:p>
      <w:pPr>
        <w:pStyle w:val="Normal"/>
        <w:ind w:firstLine="270"/>
        <w:jc w:val="both"/>
        <w:rPr/>
      </w:pPr>
      <w:r>
        <w:rPr/>
      </w:r>
    </w:p>
    <w:p>
      <w:pPr>
        <w:pStyle w:val="Normal"/>
        <w:ind w:firstLine="270"/>
        <w:jc w:val="both"/>
        <w:rPr/>
      </w:pPr>
      <w:r>
        <w:rPr/>
      </w:r>
    </w:p>
    <w:p>
      <w:pPr>
        <w:pStyle w:val="Normal"/>
        <w:jc w:val="center"/>
        <w:rPr/>
      </w:pPr>
      <w:r>
        <w:rPr/>
        <w:drawing>
          <wp:inline distT="0" distB="0" distL="0" distR="0">
            <wp:extent cx="6286500" cy="2695575"/>
            <wp:effectExtent l="0" t="0" r="0" b="0"/>
            <wp:docPr id="224" name="Изображение2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Изображение224" descr="" title=""/>
                    <pic:cNvPicPr>
                      <a:picLocks noChangeAspect="1" noChangeArrowheads="1"/>
                    </pic:cNvPicPr>
                  </pic:nvPicPr>
                  <pic:blipFill>
                    <a:blip r:embed="rId225"/>
                    <a:stretch>
                      <a:fillRect/>
                    </a:stretch>
                  </pic:blipFill>
                  <pic:spPr bwMode="auto">
                    <a:xfrm>
                      <a:off x="0" y="0"/>
                      <a:ext cx="6286500" cy="2695575"/>
                    </a:xfrm>
                    <a:prstGeom prst="rect">
                      <a:avLst/>
                    </a:prstGeom>
                  </pic:spPr>
                </pic:pic>
              </a:graphicData>
            </a:graphic>
          </wp:inline>
        </w:drawing>
      </w:r>
    </w:p>
    <w:p>
      <w:pPr>
        <w:pStyle w:val="Normal"/>
        <w:jc w:val="center"/>
        <w:rPr/>
      </w:pPr>
      <w:r>
        <w:rPr/>
        <w:t>Рис. 2. Номограмма для определения концентрации свободной двуокиси углерода в природной воде (или рН)</w:t>
      </w:r>
    </w:p>
    <w:p>
      <w:pPr>
        <w:pStyle w:val="Normal"/>
        <w:jc w:val="center"/>
        <w:rPr/>
      </w:pPr>
      <w:r>
        <w:rPr/>
      </w:r>
    </w:p>
    <w:p>
      <w:pPr>
        <w:pStyle w:val="Normal"/>
        <w:jc w:val="center"/>
        <w:rPr/>
      </w:pPr>
      <w:r>
        <w:rPr/>
        <w:t xml:space="preserve">Пример. Дано: рН = 7;  Р = 1 г/л; Щ = 1 мг-экв/л; t = 80  град.С. </w:t>
      </w:r>
    </w:p>
    <w:tbl>
      <w:tblPr>
        <w:tblW w:w="3405" w:type="dxa"/>
        <w:jc w:val="start"/>
        <w:tblInd w:w="165" w:type="dxa"/>
        <w:tblBorders/>
        <w:tblCellMar>
          <w:top w:w="0" w:type="dxa"/>
          <w:start w:w="15" w:type="dxa"/>
          <w:bottom w:w="0" w:type="dxa"/>
          <w:end w:w="15" w:type="dxa"/>
        </w:tblCellMar>
      </w:tblPr>
      <w:tblGrid>
        <w:gridCol w:w="555"/>
        <w:gridCol w:w="2850"/>
      </w:tblGrid>
      <w:tr>
        <w:trPr/>
        <w:tc>
          <w:tcPr>
            <w:tcW w:w="555" w:type="dxa"/>
            <w:tcBorders/>
            <w:shd w:fill="auto" w:val="clear"/>
          </w:tcPr>
          <w:p>
            <w:pPr>
              <w:pStyle w:val="Normal"/>
              <w:rPr/>
            </w:pPr>
            <w:r>
              <w:rPr>
                <w:vanish/>
              </w:rPr>
              <w:t>#G0</w:t>
            </w:r>
            <w:r>
              <w:rPr/>
              <w:t xml:space="preserve">  </w:t>
            </w:r>
          </w:p>
          <w:p>
            <w:pPr>
              <w:pStyle w:val="Normal"/>
              <w:jc w:val="center"/>
              <w:rPr/>
            </w:pPr>
            <w:r>
              <w:rPr/>
              <w:t xml:space="preserve">Ответ: </w:t>
            </w:r>
          </w:p>
          <w:p>
            <w:pPr>
              <w:pStyle w:val="Normal"/>
              <w:jc w:val="center"/>
              <w:rPr/>
            </w:pPr>
            <w:r>
              <w:rPr/>
            </w:r>
          </w:p>
        </w:tc>
        <w:tc>
          <w:tcPr>
            <w:tcW w:w="2850" w:type="dxa"/>
            <w:tcBorders/>
            <w:shd w:fill="auto" w:val="clear"/>
          </w:tcPr>
          <w:p>
            <w:pPr>
              <w:pStyle w:val="Normal"/>
              <w:rPr/>
            </w:pPr>
            <w:r>
              <w:rPr/>
              <w:t xml:space="preserve">  </w:t>
            </w:r>
          </w:p>
          <w:p>
            <w:pPr>
              <w:pStyle w:val="Normal"/>
              <w:rPr/>
            </w:pPr>
            <w:r>
              <w:rPr/>
              <w:drawing>
                <wp:inline distT="0" distB="0" distL="0" distR="0">
                  <wp:extent cx="1106170" cy="184150"/>
                  <wp:effectExtent l="0" t="0" r="0" b="0"/>
                  <wp:docPr id="225" name="Изображение2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Изображение225" descr="" title=""/>
                          <pic:cNvPicPr>
                            <a:picLocks noChangeAspect="1" noChangeArrowheads="1"/>
                          </pic:cNvPicPr>
                        </pic:nvPicPr>
                        <pic:blipFill>
                          <a:blip r:embed="rId226"/>
                          <a:stretch>
                            <a:fillRect/>
                          </a:stretch>
                        </pic:blipFill>
                        <pic:spPr bwMode="auto">
                          <a:xfrm>
                            <a:off x="0" y="0"/>
                            <a:ext cx="1106170" cy="184150"/>
                          </a:xfrm>
                          <a:prstGeom prst="rect">
                            <a:avLst/>
                          </a:prstGeom>
                        </pic:spPr>
                      </pic:pic>
                    </a:graphicData>
                  </a:graphic>
                </wp:inline>
              </w:drawing>
            </w:r>
          </w:p>
        </w:tc>
      </w:tr>
    </w:tbl>
    <w:p>
      <w:pPr>
        <w:pStyle w:val="Normal"/>
        <w:jc w:val="center"/>
        <w:rPr/>
      </w:pPr>
      <w:r>
        <w:rPr/>
        <w:t xml:space="preserve">    </w:t>
      </w:r>
    </w:p>
    <w:p>
      <w:pPr>
        <w:pStyle w:val="Normal"/>
        <w:jc w:val="both"/>
        <w:rPr/>
      </w:pPr>
      <w:r>
        <w:rPr/>
      </w:r>
    </w:p>
    <w:p>
      <w:pPr>
        <w:pStyle w:val="Normal"/>
        <w:ind w:firstLine="270"/>
        <w:jc w:val="both"/>
        <w:rPr/>
      </w:pPr>
      <w:r>
        <w:rPr/>
        <w:t xml:space="preserve">Дозу кислоты Д(кис), мг/л, (в расчете на товарный продукт) следует определять по формуле    </w:t>
      </w:r>
    </w:p>
    <w:p>
      <w:pPr>
        <w:pStyle w:val="Normal"/>
        <w:ind w:firstLine="225"/>
        <w:jc w:val="both"/>
        <w:rPr/>
      </w:pPr>
      <w:r>
        <w:rPr/>
      </w:r>
    </w:p>
    <w:tbl>
      <w:tblPr>
        <w:tblW w:w="3900" w:type="dxa"/>
        <w:jc w:val="start"/>
        <w:tblInd w:w="165" w:type="dxa"/>
        <w:tblBorders/>
        <w:tblCellMar>
          <w:top w:w="0" w:type="dxa"/>
          <w:start w:w="15" w:type="dxa"/>
          <w:bottom w:w="0" w:type="dxa"/>
          <w:end w:w="15" w:type="dxa"/>
        </w:tblCellMar>
      </w:tblPr>
      <w:tblGrid>
        <w:gridCol w:w="2580"/>
        <w:gridCol w:w="1320"/>
      </w:tblGrid>
      <w:tr>
        <w:trPr/>
        <w:tc>
          <w:tcPr>
            <w:tcW w:w="2580" w:type="dxa"/>
            <w:tcBorders/>
            <w:shd w:fill="auto" w:val="clear"/>
          </w:tcPr>
          <w:p>
            <w:pPr>
              <w:pStyle w:val="Normal"/>
              <w:rPr/>
            </w:pPr>
            <w:r>
              <w:rPr>
                <w:vanish/>
              </w:rPr>
              <w:t>#G0</w:t>
            </w:r>
            <w:r>
              <w:rPr/>
              <w:t xml:space="preserve">  </w:t>
            </w:r>
          </w:p>
          <w:p>
            <w:pPr>
              <w:pStyle w:val="Normal"/>
              <w:rPr/>
            </w:pPr>
            <w:r>
              <w:rPr/>
              <w:drawing>
                <wp:inline distT="0" distB="0" distL="0" distR="0">
                  <wp:extent cx="1808480" cy="264795"/>
                  <wp:effectExtent l="0" t="0" r="0" b="0"/>
                  <wp:docPr id="226" name="Изображение2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Изображение226" descr="" title=""/>
                          <pic:cNvPicPr>
                            <a:picLocks noChangeAspect="1" noChangeArrowheads="1"/>
                          </pic:cNvPicPr>
                        </pic:nvPicPr>
                        <pic:blipFill>
                          <a:blip r:embed="rId227"/>
                          <a:stretch>
                            <a:fillRect/>
                          </a:stretch>
                        </pic:blipFill>
                        <pic:spPr bwMode="auto">
                          <a:xfrm>
                            <a:off x="0" y="0"/>
                            <a:ext cx="1808480" cy="264795"/>
                          </a:xfrm>
                          <a:prstGeom prst="rect">
                            <a:avLst/>
                          </a:prstGeom>
                        </pic:spPr>
                      </pic:pic>
                    </a:graphicData>
                  </a:graphic>
                </wp:inline>
              </w:drawing>
            </w:r>
          </w:p>
        </w:tc>
        <w:tc>
          <w:tcPr>
            <w:tcW w:w="1320" w:type="dxa"/>
            <w:tcBorders/>
            <w:shd w:fill="auto" w:val="clear"/>
          </w:tcPr>
          <w:p>
            <w:pPr>
              <w:pStyle w:val="Normal"/>
              <w:rPr/>
            </w:pPr>
            <w:r>
              <w:rPr/>
              <w:t xml:space="preserve"> </w:t>
            </w:r>
          </w:p>
          <w:p>
            <w:pPr>
              <w:pStyle w:val="Normal"/>
              <w:rPr/>
            </w:pPr>
            <w:r>
              <w:rPr/>
              <w:t xml:space="preserve">                </w:t>
            </w:r>
            <w:r>
              <w:rPr/>
              <w:t>(4)</w:t>
            </w:r>
          </w:p>
          <w:p>
            <w:pPr>
              <w:pStyle w:val="Normal"/>
              <w:rPr/>
            </w:pPr>
            <w:r>
              <w:rPr/>
            </w:r>
          </w:p>
        </w:tc>
      </w:tr>
    </w:tbl>
    <w:p>
      <w:pPr>
        <w:pStyle w:val="Normal"/>
        <w:ind w:firstLine="270"/>
        <w:jc w:val="both"/>
        <w:rPr/>
      </w:pPr>
      <w:r>
        <w:rPr/>
        <w:tab/>
        <w:tab/>
      </w:r>
    </w:p>
    <w:p>
      <w:pPr>
        <w:pStyle w:val="Normal"/>
        <w:ind w:firstLine="270"/>
        <w:jc w:val="both"/>
        <w:rPr/>
      </w:pPr>
      <w:r>
        <w:rPr/>
      </w:r>
    </w:p>
    <w:tbl>
      <w:tblPr>
        <w:tblW w:w="8295" w:type="dxa"/>
        <w:jc w:val="start"/>
        <w:tblInd w:w="165" w:type="dxa"/>
        <w:tblBorders/>
        <w:tblCellMar>
          <w:top w:w="0" w:type="dxa"/>
          <w:start w:w="15" w:type="dxa"/>
          <w:bottom w:w="0" w:type="dxa"/>
          <w:end w:w="15" w:type="dxa"/>
        </w:tblCellMar>
      </w:tblPr>
      <w:tblGrid>
        <w:gridCol w:w="450"/>
        <w:gridCol w:w="915"/>
        <w:gridCol w:w="6930"/>
      </w:tblGrid>
      <w:tr>
        <w:trPr/>
        <w:tc>
          <w:tcPr>
            <w:tcW w:w="450" w:type="dxa"/>
            <w:tcBorders/>
            <w:shd w:fill="auto" w:val="clear"/>
          </w:tcPr>
          <w:p>
            <w:pPr>
              <w:pStyle w:val="Normal"/>
              <w:rPr/>
            </w:pPr>
            <w:r>
              <w:rPr>
                <w:vanish/>
              </w:rPr>
              <w:t>#G0</w:t>
            </w:r>
            <w:r>
              <w:rPr/>
              <w:t xml:space="preserve">       где </w:t>
            </w:r>
          </w:p>
          <w:p>
            <w:pPr>
              <w:pStyle w:val="Normal"/>
              <w:rPr/>
            </w:pPr>
            <w:r>
              <w:rPr/>
            </w:r>
          </w:p>
        </w:tc>
        <w:tc>
          <w:tcPr>
            <w:tcW w:w="915" w:type="dxa"/>
            <w:tcBorders/>
            <w:shd w:fill="auto" w:val="clear"/>
          </w:tcPr>
          <w:p>
            <w:pPr>
              <w:pStyle w:val="Normal"/>
              <w:rPr/>
            </w:pPr>
            <w:r>
              <w:rPr/>
              <w:t xml:space="preserve">  </w:t>
            </w:r>
          </w:p>
          <w:p>
            <w:pPr>
              <w:pStyle w:val="Normal"/>
              <w:rPr/>
            </w:pPr>
            <w:r>
              <w:rPr/>
              <w:drawing>
                <wp:inline distT="0" distB="0" distL="0" distR="0">
                  <wp:extent cx="241935" cy="184150"/>
                  <wp:effectExtent l="0" t="0" r="0" b="0"/>
                  <wp:docPr id="227" name="Изображение2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Изображение227" descr="" title=""/>
                          <pic:cNvPicPr>
                            <a:picLocks noChangeAspect="1" noChangeArrowheads="1"/>
                          </pic:cNvPicPr>
                        </pic:nvPicPr>
                        <pic:blipFill>
                          <a:blip r:embed="rId228"/>
                          <a:stretch>
                            <a:fillRect/>
                          </a:stretch>
                        </pic:blipFill>
                        <pic:spPr bwMode="auto">
                          <a:xfrm>
                            <a:off x="0" y="0"/>
                            <a:ext cx="241935" cy="184150"/>
                          </a:xfrm>
                          <a:prstGeom prst="rect">
                            <a:avLst/>
                          </a:prstGeom>
                        </pic:spPr>
                      </pic:pic>
                    </a:graphicData>
                  </a:graphic>
                </wp:inline>
              </w:drawing>
            </w:r>
          </w:p>
        </w:tc>
        <w:tc>
          <w:tcPr>
            <w:tcW w:w="6930" w:type="dxa"/>
            <w:tcBorders/>
            <w:shd w:fill="auto" w:val="clear"/>
          </w:tcPr>
          <w:p>
            <w:pPr>
              <w:pStyle w:val="Normal"/>
              <w:snapToGrid w:val="false"/>
              <w:jc w:val="both"/>
              <w:rPr/>
            </w:pPr>
            <w:r>
              <w:rPr/>
            </w:r>
          </w:p>
          <w:p>
            <w:pPr>
              <w:pStyle w:val="Normal"/>
              <w:ind w:firstLine="45"/>
              <w:jc w:val="both"/>
              <w:rPr/>
            </w:pPr>
            <w:r>
              <w:rPr/>
              <w:t xml:space="preserve">- коэффициент, определяемый по номограмме рис. 3; </w:t>
            </w:r>
          </w:p>
          <w:p>
            <w:pPr>
              <w:pStyle w:val="Normal"/>
              <w:ind w:firstLine="45"/>
              <w:jc w:val="both"/>
              <w:rPr/>
            </w:pPr>
            <w:r>
              <w:rPr/>
            </w:r>
          </w:p>
        </w:tc>
      </w:tr>
      <w:tr>
        <w:trPr/>
        <w:tc>
          <w:tcPr>
            <w:tcW w:w="450" w:type="dxa"/>
            <w:tcBorders/>
            <w:shd w:fill="auto" w:val="clear"/>
          </w:tcPr>
          <w:p>
            <w:pPr>
              <w:pStyle w:val="Normal"/>
              <w:rPr/>
            </w:pPr>
            <w:r>
              <w:rPr/>
              <w:t xml:space="preserve">  </w:t>
            </w:r>
          </w:p>
          <w:p>
            <w:pPr>
              <w:pStyle w:val="Normal"/>
              <w:rPr/>
            </w:pPr>
            <w:r>
              <w:rPr/>
            </w:r>
          </w:p>
        </w:tc>
        <w:tc>
          <w:tcPr>
            <w:tcW w:w="915" w:type="dxa"/>
            <w:tcBorders/>
            <w:shd w:fill="auto" w:val="clear"/>
          </w:tcPr>
          <w:p>
            <w:pPr>
              <w:pStyle w:val="Normal"/>
              <w:rPr/>
            </w:pPr>
            <w:r>
              <w:rPr/>
              <w:t xml:space="preserve">  </w:t>
            </w:r>
            <w:r>
              <w:rPr/>
              <w:t xml:space="preserve">Щ </w:t>
            </w:r>
          </w:p>
          <w:p>
            <w:pPr>
              <w:pStyle w:val="Normal"/>
              <w:rPr/>
            </w:pPr>
            <w:r>
              <w:rPr/>
            </w:r>
          </w:p>
        </w:tc>
        <w:tc>
          <w:tcPr>
            <w:tcW w:w="6930" w:type="dxa"/>
            <w:tcBorders/>
            <w:shd w:fill="auto" w:val="clear"/>
          </w:tcPr>
          <w:p>
            <w:pPr>
              <w:pStyle w:val="Normal"/>
              <w:rPr/>
            </w:pPr>
            <w:r>
              <w:rPr/>
              <w:t xml:space="preserve">   </w:t>
            </w:r>
            <w:r>
              <w:rPr/>
              <w:t xml:space="preserve">- щелочность воды до стабилизационной обработки, мг-экв/л; </w:t>
            </w:r>
          </w:p>
          <w:p>
            <w:pPr>
              <w:pStyle w:val="Normal"/>
              <w:rPr/>
            </w:pPr>
            <w:r>
              <w:rPr/>
            </w:r>
          </w:p>
        </w:tc>
      </w:tr>
      <w:tr>
        <w:trPr/>
        <w:tc>
          <w:tcPr>
            <w:tcW w:w="450" w:type="dxa"/>
            <w:tcBorders/>
            <w:shd w:fill="auto" w:val="clear"/>
          </w:tcPr>
          <w:p>
            <w:pPr>
              <w:pStyle w:val="Normal"/>
              <w:rPr/>
            </w:pPr>
            <w:r>
              <w:rPr/>
              <w:t xml:space="preserve">  </w:t>
            </w:r>
          </w:p>
          <w:p>
            <w:pPr>
              <w:pStyle w:val="Normal"/>
              <w:rPr/>
            </w:pPr>
            <w:r>
              <w:rPr/>
            </w:r>
          </w:p>
        </w:tc>
        <w:tc>
          <w:tcPr>
            <w:tcW w:w="915" w:type="dxa"/>
            <w:tcBorders/>
            <w:shd w:fill="auto" w:val="clear"/>
          </w:tcPr>
          <w:p>
            <w:pPr>
              <w:pStyle w:val="Normal"/>
              <w:rPr/>
            </w:pPr>
            <w:r>
              <w:rPr/>
              <w:t xml:space="preserve">  </w:t>
            </w:r>
          </w:p>
          <w:p>
            <w:pPr>
              <w:pStyle w:val="Normal"/>
              <w:rPr/>
            </w:pPr>
            <w:r>
              <w:rPr/>
              <w:drawing>
                <wp:inline distT="0" distB="0" distL="0" distR="0">
                  <wp:extent cx="219075" cy="184150"/>
                  <wp:effectExtent l="0" t="0" r="0" b="0"/>
                  <wp:docPr id="228" name="Изображение2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Изображение228" descr="" title=""/>
                          <pic:cNvPicPr>
                            <a:picLocks noChangeAspect="1" noChangeArrowheads="1"/>
                          </pic:cNvPicPr>
                        </pic:nvPicPr>
                        <pic:blipFill>
                          <a:blip r:embed="rId229"/>
                          <a:stretch>
                            <a:fillRect/>
                          </a:stretch>
                        </pic:blipFill>
                        <pic:spPr bwMode="auto">
                          <a:xfrm>
                            <a:off x="0" y="0"/>
                            <a:ext cx="219075" cy="184150"/>
                          </a:xfrm>
                          <a:prstGeom prst="rect">
                            <a:avLst/>
                          </a:prstGeom>
                        </pic:spPr>
                      </pic:pic>
                    </a:graphicData>
                  </a:graphic>
                </wp:inline>
              </w:drawing>
            </w:r>
          </w:p>
        </w:tc>
        <w:tc>
          <w:tcPr>
            <w:tcW w:w="6930" w:type="dxa"/>
            <w:tcBorders/>
            <w:shd w:fill="auto" w:val="clear"/>
          </w:tcPr>
          <w:p>
            <w:pPr>
              <w:pStyle w:val="Normal"/>
              <w:rPr/>
            </w:pPr>
            <w:r>
              <w:rPr/>
              <w:t xml:space="preserve">  </w:t>
            </w:r>
          </w:p>
          <w:p>
            <w:pPr>
              <w:pStyle w:val="Normal"/>
              <w:rPr/>
            </w:pPr>
            <w:r>
              <w:rPr/>
              <w:t xml:space="preserve"> </w:t>
            </w:r>
            <w:r>
              <w:rPr/>
              <w:t>- эквивалентная масса кислоты, мг/мг-экв (для серной кислоты - 49, для соляной кислоты  36,5);</w:t>
            </w:r>
          </w:p>
          <w:p>
            <w:pPr>
              <w:pStyle w:val="Normal"/>
              <w:rPr/>
            </w:pPr>
            <w:r>
              <w:rPr/>
            </w:r>
          </w:p>
        </w:tc>
      </w:tr>
      <w:tr>
        <w:trPr/>
        <w:tc>
          <w:tcPr>
            <w:tcW w:w="450" w:type="dxa"/>
            <w:tcBorders/>
            <w:shd w:fill="auto" w:val="clear"/>
          </w:tcPr>
          <w:p>
            <w:pPr>
              <w:pStyle w:val="Normal"/>
              <w:rPr/>
            </w:pPr>
            <w:r>
              <w:rPr/>
              <w:t xml:space="preserve">  </w:t>
            </w:r>
          </w:p>
          <w:p>
            <w:pPr>
              <w:pStyle w:val="Normal"/>
              <w:rPr/>
            </w:pPr>
            <w:r>
              <w:rPr/>
              <w:t xml:space="preserve">  </w:t>
            </w:r>
          </w:p>
          <w:p>
            <w:pPr>
              <w:pStyle w:val="Normal"/>
              <w:rPr/>
            </w:pPr>
            <w:r>
              <w:rPr/>
            </w:r>
          </w:p>
        </w:tc>
        <w:tc>
          <w:tcPr>
            <w:tcW w:w="915" w:type="dxa"/>
            <w:tcBorders/>
            <w:shd w:fill="auto" w:val="clear"/>
          </w:tcPr>
          <w:p>
            <w:pPr>
              <w:pStyle w:val="Normal"/>
              <w:rPr/>
            </w:pPr>
            <w:r>
              <w:rPr/>
              <w:t xml:space="preserve">  </w:t>
            </w:r>
          </w:p>
          <w:p>
            <w:pPr>
              <w:pStyle w:val="Normal"/>
              <w:rPr/>
            </w:pPr>
            <w:r>
              <w:rPr/>
              <w:drawing>
                <wp:inline distT="0" distB="0" distL="0" distR="0">
                  <wp:extent cx="219075" cy="184150"/>
                  <wp:effectExtent l="0" t="0" r="0" b="0"/>
                  <wp:docPr id="229" name="Изображение2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Изображение229" descr="" title=""/>
                          <pic:cNvPicPr>
                            <a:picLocks noChangeAspect="1" noChangeArrowheads="1"/>
                          </pic:cNvPicPr>
                        </pic:nvPicPr>
                        <pic:blipFill>
                          <a:blip r:embed="rId230"/>
                          <a:stretch>
                            <a:fillRect/>
                          </a:stretch>
                        </pic:blipFill>
                        <pic:spPr bwMode="auto">
                          <a:xfrm>
                            <a:off x="0" y="0"/>
                            <a:ext cx="219075" cy="184150"/>
                          </a:xfrm>
                          <a:prstGeom prst="rect">
                            <a:avLst/>
                          </a:prstGeom>
                        </pic:spPr>
                      </pic:pic>
                    </a:graphicData>
                  </a:graphic>
                </wp:inline>
              </w:drawing>
            </w:r>
            <w:r>
              <w:rPr/>
              <w:t xml:space="preserve">  </w:t>
            </w:r>
          </w:p>
          <w:p>
            <w:pPr>
              <w:pStyle w:val="Normal"/>
              <w:rPr/>
            </w:pPr>
            <w:r>
              <w:rPr/>
            </w:r>
          </w:p>
        </w:tc>
        <w:tc>
          <w:tcPr>
            <w:tcW w:w="6930" w:type="dxa"/>
            <w:tcBorders/>
            <w:shd w:fill="auto" w:val="clear"/>
          </w:tcPr>
          <w:p>
            <w:pPr>
              <w:pStyle w:val="Normal"/>
              <w:rPr/>
            </w:pPr>
            <w:r>
              <w:rPr/>
              <w:t xml:space="preserve">   </w:t>
            </w:r>
          </w:p>
          <w:p>
            <w:pPr>
              <w:pStyle w:val="Normal"/>
              <w:rPr/>
            </w:pPr>
            <w:r>
              <w:rPr/>
              <w:t xml:space="preserve"> </w:t>
            </w:r>
            <w:r>
              <w:rPr/>
              <w:t>- содержание активной части в товарной кислоте, %.</w:t>
            </w:r>
          </w:p>
          <w:p>
            <w:pPr>
              <w:pStyle w:val="Normal"/>
              <w:rPr/>
            </w:pPr>
            <w:r>
              <w:rPr/>
            </w:r>
          </w:p>
        </w:tc>
      </w:tr>
    </w:tbl>
    <w:p>
      <w:pPr>
        <w:pStyle w:val="Normal"/>
        <w:jc w:val="both"/>
        <w:rPr/>
      </w:pPr>
      <w:r>
        <w:rPr/>
      </w:r>
    </w:p>
    <w:p>
      <w:pPr>
        <w:pStyle w:val="Normal"/>
        <w:ind w:firstLine="225"/>
        <w:jc w:val="both"/>
        <w:rPr/>
      </w:pPr>
      <w:r>
        <w:rPr/>
      </w:r>
    </w:p>
    <w:tbl>
      <w:tblPr>
        <w:tblW w:w="8805" w:type="dxa"/>
        <w:jc w:val="start"/>
        <w:tblInd w:w="165" w:type="dxa"/>
        <w:tblBorders/>
        <w:tblCellMar>
          <w:top w:w="0" w:type="dxa"/>
          <w:start w:w="15" w:type="dxa"/>
          <w:bottom w:w="0" w:type="dxa"/>
          <w:end w:w="15" w:type="dxa"/>
        </w:tblCellMar>
      </w:tblPr>
      <w:tblGrid>
        <w:gridCol w:w="5970"/>
        <w:gridCol w:w="660"/>
        <w:gridCol w:w="2175"/>
      </w:tblGrid>
      <w:tr>
        <w:trPr/>
        <w:tc>
          <w:tcPr>
            <w:tcW w:w="5970" w:type="dxa"/>
            <w:tcBorders/>
            <w:shd w:fill="auto" w:val="clear"/>
          </w:tcPr>
          <w:p>
            <w:pPr>
              <w:pStyle w:val="Normal"/>
              <w:rPr/>
            </w:pPr>
            <w:r>
              <w:rPr>
                <w:vanish/>
              </w:rPr>
              <w:t>#G0</w:t>
            </w:r>
            <w:r>
              <w:rPr/>
              <w:t xml:space="preserve">  </w:t>
            </w:r>
          </w:p>
          <w:p>
            <w:pPr>
              <w:pStyle w:val="Normal"/>
              <w:ind w:firstLine="45"/>
              <w:jc w:val="both"/>
              <w:rPr/>
            </w:pPr>
            <w:r>
              <w:rPr/>
              <w:t xml:space="preserve">Дозу гексаметафосфата или триполифосфата натрия (в расчете на </w:t>
            </w:r>
          </w:p>
          <w:p>
            <w:pPr>
              <w:pStyle w:val="Normal"/>
              <w:ind w:firstLine="45"/>
              <w:jc w:val="both"/>
              <w:rPr/>
            </w:pPr>
            <w:r>
              <w:rPr/>
            </w:r>
          </w:p>
        </w:tc>
        <w:tc>
          <w:tcPr>
            <w:tcW w:w="660" w:type="dxa"/>
            <w:tcBorders/>
            <w:shd w:fill="auto" w:val="clear"/>
          </w:tcPr>
          <w:p>
            <w:pPr>
              <w:pStyle w:val="Normal"/>
              <w:rPr/>
            </w:pPr>
            <w:r>
              <w:rPr/>
              <w:t xml:space="preserve">  </w:t>
            </w:r>
          </w:p>
          <w:p>
            <w:pPr>
              <w:pStyle w:val="Normal"/>
              <w:rPr/>
            </w:pPr>
            <w:r>
              <w:rPr/>
              <w:drawing>
                <wp:inline distT="0" distB="0" distL="0" distR="0">
                  <wp:extent cx="368935" cy="184150"/>
                  <wp:effectExtent l="0" t="0" r="0" b="0"/>
                  <wp:docPr id="230" name="Изображение2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Изображение230" descr="" title=""/>
                          <pic:cNvPicPr>
                            <a:picLocks noChangeAspect="1" noChangeArrowheads="1"/>
                          </pic:cNvPicPr>
                        </pic:nvPicPr>
                        <pic:blipFill>
                          <a:blip r:embed="rId231"/>
                          <a:stretch>
                            <a:fillRect/>
                          </a:stretch>
                        </pic:blipFill>
                        <pic:spPr bwMode="auto">
                          <a:xfrm>
                            <a:off x="0" y="0"/>
                            <a:ext cx="368935" cy="184150"/>
                          </a:xfrm>
                          <a:prstGeom prst="rect">
                            <a:avLst/>
                          </a:prstGeom>
                        </pic:spPr>
                      </pic:pic>
                    </a:graphicData>
                  </a:graphic>
                </wp:inline>
              </w:drawing>
            </w:r>
          </w:p>
        </w:tc>
        <w:tc>
          <w:tcPr>
            <w:tcW w:w="2175" w:type="dxa"/>
            <w:tcBorders/>
            <w:shd w:fill="auto" w:val="clear"/>
          </w:tcPr>
          <w:p>
            <w:pPr>
              <w:pStyle w:val="Normal"/>
              <w:rPr/>
            </w:pPr>
            <w:r>
              <w:rPr/>
              <w:t xml:space="preserve">  </w:t>
            </w:r>
          </w:p>
          <w:p>
            <w:pPr>
              <w:pStyle w:val="Normal"/>
              <w:ind w:firstLine="45"/>
              <w:jc w:val="both"/>
              <w:rPr/>
            </w:pPr>
            <w:r>
              <w:rPr/>
              <w:t>надлежит принимать:</w:t>
            </w:r>
          </w:p>
          <w:p>
            <w:pPr>
              <w:pStyle w:val="Normal"/>
              <w:ind w:firstLine="45"/>
              <w:jc w:val="both"/>
              <w:rPr/>
            </w:pPr>
            <w:r>
              <w:rPr/>
            </w:r>
          </w:p>
        </w:tc>
      </w:tr>
    </w:tbl>
    <w:p>
      <w:pPr>
        <w:pStyle w:val="Normal"/>
        <w:ind w:firstLine="315"/>
        <w:jc w:val="both"/>
        <w:rPr/>
      </w:pPr>
      <w:r>
        <w:rPr/>
      </w:r>
    </w:p>
    <w:tbl>
      <w:tblPr>
        <w:tblW w:w="8445" w:type="dxa"/>
        <w:jc w:val="start"/>
        <w:tblInd w:w="45" w:type="dxa"/>
        <w:tblBorders/>
        <w:tblCellMar>
          <w:top w:w="0" w:type="dxa"/>
          <w:start w:w="15" w:type="dxa"/>
          <w:bottom w:w="0" w:type="dxa"/>
          <w:end w:w="15" w:type="dxa"/>
        </w:tblCellMar>
      </w:tblPr>
      <w:tblGrid>
        <w:gridCol w:w="7425"/>
        <w:gridCol w:w="1020"/>
      </w:tblGrid>
      <w:tr>
        <w:trPr/>
        <w:tc>
          <w:tcPr>
            <w:tcW w:w="7425" w:type="dxa"/>
            <w:tcBorders/>
            <w:shd w:fill="auto" w:val="clear"/>
          </w:tcPr>
          <w:p>
            <w:pPr>
              <w:pStyle w:val="Normal"/>
              <w:rPr/>
            </w:pPr>
            <w:r>
              <w:rPr>
                <w:vanish/>
              </w:rPr>
              <w:t>#G0</w:t>
            </w:r>
            <w:r>
              <w:rPr/>
              <w:t xml:space="preserve">  </w:t>
            </w:r>
          </w:p>
          <w:p>
            <w:pPr>
              <w:pStyle w:val="Normal"/>
              <w:jc w:val="both"/>
              <w:rPr/>
            </w:pPr>
            <w:r>
              <w:rPr/>
              <w:t xml:space="preserve">для хозяйственно-питьевых водопроводов - не более 2,5 мг/л (3,5 мг/л в расчете на </w:t>
            </w:r>
          </w:p>
          <w:p>
            <w:pPr>
              <w:pStyle w:val="Normal"/>
              <w:jc w:val="both"/>
              <w:rPr/>
            </w:pPr>
            <w:r>
              <w:rPr/>
            </w:r>
          </w:p>
        </w:tc>
        <w:tc>
          <w:tcPr>
            <w:tcW w:w="1020" w:type="dxa"/>
            <w:tcBorders/>
            <w:shd w:fill="auto" w:val="clear"/>
          </w:tcPr>
          <w:p>
            <w:pPr>
              <w:pStyle w:val="Normal"/>
              <w:rPr/>
            </w:pPr>
            <w:r>
              <w:rPr/>
              <w:t xml:space="preserve">  </w:t>
            </w:r>
          </w:p>
          <w:p>
            <w:pPr>
              <w:pStyle w:val="Normal"/>
              <w:rPr/>
            </w:pPr>
            <w:r>
              <w:rPr/>
              <w:drawing>
                <wp:inline distT="0" distB="0" distL="0" distR="0">
                  <wp:extent cx="380365" cy="184150"/>
                  <wp:effectExtent l="0" t="0" r="0" b="0"/>
                  <wp:docPr id="231" name="Изображение2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Изображение231" descr="" title=""/>
                          <pic:cNvPicPr>
                            <a:picLocks noChangeAspect="1" noChangeArrowheads="1"/>
                          </pic:cNvPicPr>
                        </pic:nvPicPr>
                        <pic:blipFill>
                          <a:blip r:embed="rId232"/>
                          <a:stretch>
                            <a:fillRect/>
                          </a:stretch>
                        </pic:blipFill>
                        <pic:spPr bwMode="auto">
                          <a:xfrm>
                            <a:off x="0" y="0"/>
                            <a:ext cx="380365" cy="184150"/>
                          </a:xfrm>
                          <a:prstGeom prst="rect">
                            <a:avLst/>
                          </a:prstGeom>
                        </pic:spPr>
                      </pic:pic>
                    </a:graphicData>
                  </a:graphic>
                </wp:inline>
              </w:drawing>
            </w:r>
          </w:p>
        </w:tc>
      </w:tr>
    </w:tbl>
    <w:p>
      <w:pPr>
        <w:pStyle w:val="Normal"/>
        <w:jc w:val="both"/>
        <w:rPr/>
      </w:pPr>
      <w:r>
        <w:rPr/>
      </w:r>
    </w:p>
    <w:p>
      <w:pPr>
        <w:pStyle w:val="Normal"/>
        <w:jc w:val="both"/>
        <w:rPr/>
      </w:pPr>
      <w:r>
        <w:rPr/>
        <w:t>для производственных водопроводов - до 4 мг/л.</w:t>
      </w:r>
    </w:p>
    <w:p>
      <w:pPr>
        <w:pStyle w:val="Normal"/>
        <w:jc w:val="both"/>
        <w:rPr/>
      </w:pPr>
      <w:r>
        <w:rPr/>
      </w:r>
    </w:p>
    <w:tbl>
      <w:tblPr>
        <w:tblW w:w="6105" w:type="dxa"/>
        <w:jc w:val="start"/>
        <w:tblInd w:w="165" w:type="dxa"/>
        <w:tblBorders/>
        <w:tblCellMar>
          <w:top w:w="0" w:type="dxa"/>
          <w:start w:w="15" w:type="dxa"/>
          <w:bottom w:w="0" w:type="dxa"/>
          <w:end w:w="15" w:type="dxa"/>
        </w:tblCellMar>
      </w:tblPr>
      <w:tblGrid>
        <w:gridCol w:w="5085"/>
        <w:gridCol w:w="1020"/>
      </w:tblGrid>
      <w:tr>
        <w:trPr/>
        <w:tc>
          <w:tcPr>
            <w:tcW w:w="5085" w:type="dxa"/>
            <w:tcBorders/>
            <w:shd w:fill="auto" w:val="clear"/>
          </w:tcPr>
          <w:p>
            <w:pPr>
              <w:pStyle w:val="Normal"/>
              <w:rPr/>
            </w:pPr>
            <w:r>
              <w:rPr/>
              <w:drawing>
                <wp:inline distT="0" distB="0" distL="0" distR="0">
                  <wp:extent cx="3848100" cy="3962400"/>
                  <wp:effectExtent l="0" t="0" r="0" b="0"/>
                  <wp:docPr id="232" name="Изображение2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Изображение232" descr="" title=""/>
                          <pic:cNvPicPr>
                            <a:picLocks noChangeAspect="1" noChangeArrowheads="1"/>
                          </pic:cNvPicPr>
                        </pic:nvPicPr>
                        <pic:blipFill>
                          <a:blip r:embed="rId233"/>
                          <a:stretch>
                            <a:fillRect/>
                          </a:stretch>
                        </pic:blipFill>
                        <pic:spPr bwMode="auto">
                          <a:xfrm>
                            <a:off x="0" y="0"/>
                            <a:ext cx="3848100" cy="3962400"/>
                          </a:xfrm>
                          <a:prstGeom prst="rect">
                            <a:avLst/>
                          </a:prstGeom>
                        </pic:spPr>
                      </pic:pic>
                    </a:graphicData>
                  </a:graphic>
                </wp:inline>
              </w:drawing>
            </w:r>
            <w:r>
              <w:rPr>
                <w:vanish/>
              </w:rPr>
              <w:t>#G0</w:t>
            </w:r>
            <w:r>
              <w:rPr/>
              <w:t xml:space="preserve">  </w:t>
            </w:r>
          </w:p>
          <w:p>
            <w:pPr>
              <w:pStyle w:val="Normal"/>
              <w:jc w:val="center"/>
              <w:rPr/>
            </w:pPr>
            <w:r>
              <w:rPr/>
              <w:t xml:space="preserve">Рис. 3. Номограмма для определения коэффициента </w:t>
            </w:r>
          </w:p>
          <w:p>
            <w:pPr>
              <w:pStyle w:val="Normal"/>
              <w:jc w:val="center"/>
              <w:rPr/>
            </w:pPr>
            <w:r>
              <w:rPr/>
            </w:r>
          </w:p>
        </w:tc>
        <w:tc>
          <w:tcPr>
            <w:tcW w:w="1020" w:type="dxa"/>
            <w:tcBorders/>
            <w:shd w:fill="auto" w:val="clear"/>
          </w:tcPr>
          <w:p>
            <w:pPr>
              <w:pStyle w:val="Normal"/>
              <w:rPr/>
            </w:pPr>
            <w:r>
              <w:rPr/>
              <w:t xml:space="preserve">  </w:t>
            </w:r>
          </w:p>
          <w:p>
            <w:pPr>
              <w:pStyle w:val="Normal"/>
              <w:rPr/>
            </w:pPr>
            <w:r>
              <w:rPr/>
              <w:drawing>
                <wp:inline distT="0" distB="0" distL="0" distR="0">
                  <wp:extent cx="241935" cy="184150"/>
                  <wp:effectExtent l="0" t="0" r="0" b="0"/>
                  <wp:docPr id="233" name="Изображение2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Изображение233" descr="" title=""/>
                          <pic:cNvPicPr>
                            <a:picLocks noChangeAspect="1" noChangeArrowheads="1"/>
                          </pic:cNvPicPr>
                        </pic:nvPicPr>
                        <pic:blipFill>
                          <a:blip r:embed="rId234"/>
                          <a:stretch>
                            <a:fillRect/>
                          </a:stretch>
                        </pic:blipFill>
                        <pic:spPr bwMode="auto">
                          <a:xfrm>
                            <a:off x="0" y="0"/>
                            <a:ext cx="241935" cy="184150"/>
                          </a:xfrm>
                          <a:prstGeom prst="rect">
                            <a:avLst/>
                          </a:prstGeom>
                        </pic:spPr>
                      </pic:pic>
                    </a:graphicData>
                  </a:graphic>
                </wp:inline>
              </w:drawing>
            </w:r>
          </w:p>
        </w:tc>
      </w:tr>
    </w:tbl>
    <w:p>
      <w:pPr>
        <w:pStyle w:val="Normal"/>
        <w:jc w:val="center"/>
        <w:rPr/>
      </w:pPr>
      <w:r>
        <w:rPr/>
        <w:t xml:space="preserve">при расчете дозы кислоты </w:t>
      </w:r>
    </w:p>
    <w:p>
      <w:pPr>
        <w:pStyle w:val="Normal"/>
        <w:ind w:firstLine="270"/>
        <w:jc w:val="both"/>
        <w:rPr/>
      </w:pPr>
      <w:r>
        <w:rPr/>
      </w:r>
    </w:p>
    <w:p>
      <w:pPr>
        <w:pStyle w:val="Normal"/>
        <w:ind w:firstLine="225"/>
        <w:jc w:val="both"/>
        <w:rPr/>
      </w:pPr>
      <w:r>
        <w:rPr/>
        <w:t xml:space="preserve">5. При отрицательном индексе насыщения воды карбонатом кальция для получения стабильной воды следует предусматривать ее обработку щелочными реагентами (известью, содой или этими реагентами совместно), гексаметафосфатом или триполифосфатом натрия. </w:t>
      </w:r>
    </w:p>
    <w:p>
      <w:pPr>
        <w:pStyle w:val="Normal"/>
        <w:ind w:firstLine="225"/>
        <w:jc w:val="both"/>
        <w:rPr/>
      </w:pPr>
      <w:r>
        <w:rPr/>
      </w:r>
    </w:p>
    <w:p>
      <w:pPr>
        <w:pStyle w:val="Normal"/>
        <w:ind w:firstLine="225"/>
        <w:jc w:val="both"/>
        <w:rPr/>
      </w:pPr>
      <w:r>
        <w:rPr/>
      </w:r>
    </w:p>
    <w:p>
      <w:pPr>
        <w:pStyle w:val="Normal"/>
        <w:ind w:firstLine="225"/>
        <w:jc w:val="both"/>
        <w:rPr/>
      </w:pPr>
      <w:r>
        <w:rPr/>
        <w:t xml:space="preserve">Дозу извести следует определять по формуле    </w:t>
      </w:r>
    </w:p>
    <w:p>
      <w:pPr>
        <w:pStyle w:val="Normal"/>
        <w:ind w:firstLine="225"/>
        <w:jc w:val="both"/>
        <w:rPr/>
      </w:pPr>
      <w:r>
        <w:rPr/>
      </w:r>
    </w:p>
    <w:p>
      <w:pPr>
        <w:pStyle w:val="Normal"/>
        <w:ind w:firstLine="225"/>
        <w:jc w:val="both"/>
        <w:rPr/>
      </w:pPr>
      <w:r>
        <w:rPr/>
      </w:r>
    </w:p>
    <w:p>
      <w:pPr>
        <w:pStyle w:val="Normal"/>
        <w:ind w:firstLine="270"/>
        <w:jc w:val="both"/>
        <w:rPr/>
      </w:pPr>
      <w:r>
        <w:rPr/>
        <w:drawing>
          <wp:inline distT="0" distB="0" distL="0" distR="0">
            <wp:extent cx="3778250" cy="184150"/>
            <wp:effectExtent l="0" t="0" r="0" b="0"/>
            <wp:docPr id="234" name="Изображение2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Изображение234" descr="" title=""/>
                    <pic:cNvPicPr>
                      <a:picLocks noChangeAspect="1" noChangeArrowheads="1"/>
                    </pic:cNvPicPr>
                  </pic:nvPicPr>
                  <pic:blipFill>
                    <a:blip r:embed="rId235"/>
                    <a:stretch>
                      <a:fillRect/>
                    </a:stretch>
                  </pic:blipFill>
                  <pic:spPr bwMode="auto">
                    <a:xfrm>
                      <a:off x="0" y="0"/>
                      <a:ext cx="3778250" cy="184150"/>
                    </a:xfrm>
                    <a:prstGeom prst="rect">
                      <a:avLst/>
                    </a:prstGeom>
                  </pic:spPr>
                </pic:pic>
              </a:graphicData>
            </a:graphic>
          </wp:inline>
        </w:drawing>
      </w:r>
    </w:p>
    <w:tbl>
      <w:tblPr>
        <w:tblW w:w="8310" w:type="dxa"/>
        <w:jc w:val="start"/>
        <w:tblInd w:w="165" w:type="dxa"/>
        <w:tblBorders/>
        <w:tblCellMar>
          <w:top w:w="0" w:type="dxa"/>
          <w:start w:w="15" w:type="dxa"/>
          <w:bottom w:w="0" w:type="dxa"/>
          <w:end w:w="15" w:type="dxa"/>
        </w:tblCellMar>
      </w:tblPr>
      <w:tblGrid>
        <w:gridCol w:w="450"/>
        <w:gridCol w:w="720"/>
        <w:gridCol w:w="390"/>
        <w:gridCol w:w="1530"/>
        <w:gridCol w:w="270"/>
        <w:gridCol w:w="240"/>
        <w:gridCol w:w="555"/>
        <w:gridCol w:w="2955"/>
        <w:gridCol w:w="495"/>
        <w:gridCol w:w="555"/>
        <w:gridCol w:w="135"/>
        <w:gridCol w:w="15"/>
      </w:tblGrid>
      <w:tr>
        <w:trPr/>
        <w:tc>
          <w:tcPr>
            <w:tcW w:w="1560" w:type="dxa"/>
            <w:gridSpan w:val="3"/>
            <w:tcBorders/>
            <w:shd w:fill="auto" w:val="clear"/>
          </w:tcPr>
          <w:p>
            <w:pPr>
              <w:pStyle w:val="Normal"/>
              <w:rPr/>
            </w:pPr>
            <w:r>
              <w:rPr>
                <w:vanish/>
              </w:rPr>
              <w:t>#G0</w:t>
            </w:r>
            <w:r>
              <w:rPr/>
              <w:t xml:space="preserve">  </w:t>
            </w:r>
          </w:p>
          <w:p>
            <w:pPr>
              <w:pStyle w:val="Normal"/>
              <w:rPr/>
            </w:pPr>
            <w:r>
              <w:rPr/>
            </w:r>
          </w:p>
        </w:tc>
        <w:tc>
          <w:tcPr>
            <w:tcW w:w="1800" w:type="dxa"/>
            <w:gridSpan w:val="2"/>
            <w:tcBorders/>
            <w:shd w:fill="auto" w:val="clear"/>
          </w:tcPr>
          <w:p>
            <w:pPr>
              <w:pStyle w:val="Normal"/>
              <w:snapToGrid w:val="false"/>
              <w:rPr/>
            </w:pPr>
            <w:r>
              <w:rPr/>
            </w:r>
          </w:p>
          <w:p>
            <w:pPr>
              <w:pStyle w:val="Normal"/>
              <w:rPr/>
            </w:pPr>
            <w:r>
              <w:rPr/>
            </w:r>
          </w:p>
        </w:tc>
        <w:tc>
          <w:tcPr>
            <w:tcW w:w="4950" w:type="dxa"/>
            <w:gridSpan w:val="6"/>
            <w:tcBorders/>
            <w:shd w:fill="auto" w:val="clear"/>
            <w:tcMar>
              <w:start w:w="0" w:type="dxa"/>
              <w:end w:w="0" w:type="dxa"/>
            </w:tcMar>
          </w:tcPr>
          <w:p>
            <w:pPr>
              <w:pStyle w:val="Normal"/>
              <w:snapToGrid w:val="false"/>
              <w:rPr/>
            </w:pPr>
            <w:r>
              <w:rPr/>
            </w:r>
          </w:p>
        </w:tc>
      </w:tr>
      <w:tr>
        <w:trPr/>
        <w:tc>
          <w:tcPr>
            <w:tcW w:w="450" w:type="dxa"/>
            <w:tcBorders/>
            <w:shd w:fill="auto" w:val="clear"/>
          </w:tcPr>
          <w:p>
            <w:pPr>
              <w:pStyle w:val="Normal"/>
              <w:rPr/>
            </w:pPr>
            <w:r>
              <w:rPr/>
              <w:t xml:space="preserve">         </w:t>
            </w:r>
            <w:r>
              <w:rPr/>
              <w:t xml:space="preserve">где </w:t>
            </w:r>
          </w:p>
          <w:p>
            <w:pPr>
              <w:pStyle w:val="Normal"/>
              <w:rPr/>
            </w:pPr>
            <w:r>
              <w:rPr/>
            </w:r>
          </w:p>
        </w:tc>
        <w:tc>
          <w:tcPr>
            <w:tcW w:w="720" w:type="dxa"/>
            <w:tcBorders/>
            <w:shd w:fill="auto" w:val="clear"/>
          </w:tcPr>
          <w:p>
            <w:pPr>
              <w:pStyle w:val="Normal"/>
              <w:rPr/>
            </w:pPr>
            <w:r>
              <w:rPr/>
              <w:t xml:space="preserve">  </w:t>
            </w:r>
          </w:p>
          <w:p>
            <w:pPr>
              <w:pStyle w:val="Normal"/>
              <w:rPr/>
            </w:pPr>
            <w:r>
              <w:rPr/>
              <w:drawing>
                <wp:inline distT="0" distB="0" distL="0" distR="0">
                  <wp:extent cx="207645" cy="184150"/>
                  <wp:effectExtent l="0" t="0" r="0" b="0"/>
                  <wp:docPr id="235" name="Изображение2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Изображение235" descr="" title=""/>
                          <pic:cNvPicPr>
                            <a:picLocks noChangeAspect="1" noChangeArrowheads="1"/>
                          </pic:cNvPicPr>
                        </pic:nvPicPr>
                        <pic:blipFill>
                          <a:blip r:embed="rId236"/>
                          <a:stretch>
                            <a:fillRect/>
                          </a:stretch>
                        </pic:blipFill>
                        <pic:spPr bwMode="auto">
                          <a:xfrm>
                            <a:off x="0" y="0"/>
                            <a:ext cx="207645" cy="184150"/>
                          </a:xfrm>
                          <a:prstGeom prst="rect">
                            <a:avLst/>
                          </a:prstGeom>
                        </pic:spPr>
                      </pic:pic>
                    </a:graphicData>
                  </a:graphic>
                </wp:inline>
              </w:drawing>
            </w:r>
          </w:p>
        </w:tc>
        <w:tc>
          <w:tcPr>
            <w:tcW w:w="7125" w:type="dxa"/>
            <w:gridSpan w:val="9"/>
            <w:tcBorders/>
            <w:shd w:fill="auto" w:val="clear"/>
          </w:tcPr>
          <w:p>
            <w:pPr>
              <w:pStyle w:val="Normal"/>
              <w:rPr/>
            </w:pPr>
            <w:r>
              <w:rPr/>
              <w:t xml:space="preserve"> </w:t>
            </w:r>
          </w:p>
          <w:p>
            <w:pPr>
              <w:pStyle w:val="Normal"/>
              <w:rPr/>
            </w:pPr>
            <w:r>
              <w:rPr/>
              <w:t xml:space="preserve"> </w:t>
            </w:r>
            <w:r>
              <w:rPr/>
              <w:t>- доза извести, мг/л, в расчете на СаО;</w:t>
            </w:r>
          </w:p>
          <w:p>
            <w:pPr>
              <w:pStyle w:val="Normal"/>
              <w:rPr/>
            </w:pPr>
            <w:r>
              <w:rPr/>
            </w:r>
          </w:p>
        </w:tc>
      </w:tr>
      <w:tr>
        <w:trPr/>
        <w:tc>
          <w:tcPr>
            <w:tcW w:w="450" w:type="dxa"/>
            <w:tcBorders/>
            <w:shd w:fill="auto" w:val="clear"/>
          </w:tcPr>
          <w:p>
            <w:pPr>
              <w:pStyle w:val="Normal"/>
              <w:rPr/>
            </w:pPr>
            <w:r>
              <w:rPr/>
              <w:t xml:space="preserve">  </w:t>
            </w:r>
          </w:p>
          <w:p>
            <w:pPr>
              <w:pStyle w:val="Normal"/>
              <w:rPr/>
            </w:pPr>
            <w:r>
              <w:rPr/>
            </w:r>
          </w:p>
        </w:tc>
        <w:tc>
          <w:tcPr>
            <w:tcW w:w="720" w:type="dxa"/>
            <w:tcBorders/>
            <w:shd w:fill="auto" w:val="clear"/>
          </w:tcPr>
          <w:p>
            <w:pPr>
              <w:pStyle w:val="Normal"/>
              <w:rPr/>
            </w:pPr>
            <w:r>
              <w:rPr/>
              <w:t xml:space="preserve">  </w:t>
            </w:r>
          </w:p>
          <w:p>
            <w:pPr>
              <w:pStyle w:val="Normal"/>
              <w:rPr/>
            </w:pPr>
            <w:r>
              <w:rPr/>
              <w:drawing>
                <wp:inline distT="0" distB="0" distL="0" distR="0">
                  <wp:extent cx="161290" cy="184150"/>
                  <wp:effectExtent l="0" t="0" r="0" b="0"/>
                  <wp:docPr id="236" name="Изображение2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Изображение236" descr="" title=""/>
                          <pic:cNvPicPr>
                            <a:picLocks noChangeAspect="1" noChangeArrowheads="1"/>
                          </pic:cNvPicPr>
                        </pic:nvPicPr>
                        <pic:blipFill>
                          <a:blip r:embed="rId237"/>
                          <a:stretch>
                            <a:fillRect/>
                          </a:stretch>
                        </pic:blipFill>
                        <pic:spPr bwMode="auto">
                          <a:xfrm>
                            <a:off x="0" y="0"/>
                            <a:ext cx="161290" cy="184150"/>
                          </a:xfrm>
                          <a:prstGeom prst="rect">
                            <a:avLst/>
                          </a:prstGeom>
                        </pic:spPr>
                      </pic:pic>
                    </a:graphicData>
                  </a:graphic>
                </wp:inline>
              </w:drawing>
            </w:r>
          </w:p>
        </w:tc>
        <w:tc>
          <w:tcPr>
            <w:tcW w:w="7125" w:type="dxa"/>
            <w:gridSpan w:val="9"/>
            <w:tcBorders/>
            <w:shd w:fill="auto" w:val="clear"/>
          </w:tcPr>
          <w:p>
            <w:pPr>
              <w:pStyle w:val="Normal"/>
              <w:rPr/>
            </w:pPr>
            <w:r>
              <w:rPr/>
              <w:t xml:space="preserve"> </w:t>
            </w:r>
          </w:p>
          <w:p>
            <w:pPr>
              <w:pStyle w:val="Normal"/>
              <w:rPr/>
            </w:pPr>
            <w:r>
              <w:rPr/>
              <w:t xml:space="preserve"> </w:t>
            </w:r>
            <w:r>
              <w:rPr/>
              <w:t>- коэффициент, определяемый по номограмме рис. 4 в зависимости от рН воды (до стабилизационной обработки) и индекса насыщения J;</w:t>
            </w:r>
          </w:p>
          <w:p>
            <w:pPr>
              <w:pStyle w:val="Normal"/>
              <w:rPr/>
            </w:pPr>
            <w:r>
              <w:rPr/>
            </w:r>
          </w:p>
        </w:tc>
      </w:tr>
      <w:tr>
        <w:trPr/>
        <w:tc>
          <w:tcPr>
            <w:tcW w:w="450" w:type="dxa"/>
            <w:tcBorders/>
            <w:shd w:fill="auto" w:val="clear"/>
          </w:tcPr>
          <w:p>
            <w:pPr>
              <w:pStyle w:val="Normal"/>
              <w:rPr/>
            </w:pPr>
            <w:r>
              <w:rPr/>
              <w:t xml:space="preserve">  </w:t>
            </w:r>
          </w:p>
          <w:p>
            <w:pPr>
              <w:pStyle w:val="Normal"/>
              <w:rPr/>
            </w:pPr>
            <w:r>
              <w:rPr/>
            </w:r>
          </w:p>
        </w:tc>
        <w:tc>
          <w:tcPr>
            <w:tcW w:w="720" w:type="dxa"/>
            <w:tcBorders/>
            <w:shd w:fill="auto" w:val="clear"/>
          </w:tcPr>
          <w:p>
            <w:pPr>
              <w:pStyle w:val="Normal"/>
              <w:rPr/>
            </w:pPr>
            <w:r>
              <w:rPr/>
              <w:t xml:space="preserve">  </w:t>
            </w:r>
          </w:p>
          <w:p>
            <w:pPr>
              <w:pStyle w:val="Normal"/>
              <w:rPr/>
            </w:pPr>
            <w:r>
              <w:rPr/>
              <w:drawing>
                <wp:inline distT="0" distB="0" distL="0" distR="0">
                  <wp:extent cx="172720" cy="184150"/>
                  <wp:effectExtent l="0" t="0" r="0" b="0"/>
                  <wp:docPr id="237" name="Изображение2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Изображение237" descr="" title=""/>
                          <pic:cNvPicPr>
                            <a:picLocks noChangeAspect="1" noChangeArrowheads="1"/>
                          </pic:cNvPicPr>
                        </pic:nvPicPr>
                        <pic:blipFill>
                          <a:blip r:embed="rId238"/>
                          <a:stretch>
                            <a:fillRect/>
                          </a:stretch>
                        </pic:blipFill>
                        <pic:spPr bwMode="auto">
                          <a:xfrm>
                            <a:off x="0" y="0"/>
                            <a:ext cx="172720" cy="184150"/>
                          </a:xfrm>
                          <a:prstGeom prst="rect">
                            <a:avLst/>
                          </a:prstGeom>
                        </pic:spPr>
                      </pic:pic>
                    </a:graphicData>
                  </a:graphic>
                </wp:inline>
              </w:drawing>
            </w:r>
          </w:p>
        </w:tc>
        <w:tc>
          <w:tcPr>
            <w:tcW w:w="5940" w:type="dxa"/>
            <w:gridSpan w:val="6"/>
            <w:tcBorders/>
            <w:shd w:fill="auto" w:val="clear"/>
          </w:tcPr>
          <w:p>
            <w:pPr>
              <w:pStyle w:val="Normal"/>
              <w:snapToGrid w:val="false"/>
              <w:rPr/>
            </w:pPr>
            <w:r>
              <w:rPr/>
            </w:r>
          </w:p>
          <w:p>
            <w:pPr>
              <w:pStyle w:val="Normal"/>
              <w:rPr/>
            </w:pPr>
            <w:r>
              <w:rPr/>
              <w:t xml:space="preserve"> </w:t>
            </w:r>
            <w:r>
              <w:rPr/>
              <w:t>-  коэффициент, зависящий от температуры воды: при t = 20 град.С -</w:t>
            </w:r>
          </w:p>
          <w:p>
            <w:pPr>
              <w:pStyle w:val="Normal"/>
              <w:rPr/>
            </w:pPr>
            <w:r>
              <w:rPr/>
            </w:r>
          </w:p>
        </w:tc>
        <w:tc>
          <w:tcPr>
            <w:tcW w:w="495" w:type="dxa"/>
            <w:tcBorders/>
            <w:shd w:fill="auto" w:val="clear"/>
          </w:tcPr>
          <w:p>
            <w:pPr>
              <w:pStyle w:val="Normal"/>
              <w:rPr/>
            </w:pPr>
            <w:r>
              <w:rPr/>
              <w:t>,</w:t>
            </w:r>
          </w:p>
          <w:p>
            <w:pPr>
              <w:pStyle w:val="Normal"/>
              <w:rPr/>
            </w:pPr>
            <w:r>
              <w:rPr/>
              <w:drawing>
                <wp:inline distT="0" distB="0" distL="0" distR="0">
                  <wp:extent cx="172720" cy="184150"/>
                  <wp:effectExtent l="0" t="0" r="0" b="0"/>
                  <wp:docPr id="238" name="Изображение2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Изображение238" descr="" title=""/>
                          <pic:cNvPicPr>
                            <a:picLocks noChangeAspect="1" noChangeArrowheads="1"/>
                          </pic:cNvPicPr>
                        </pic:nvPicPr>
                        <pic:blipFill>
                          <a:blip r:embed="rId239"/>
                          <a:stretch>
                            <a:fillRect/>
                          </a:stretch>
                        </pic:blipFill>
                        <pic:spPr bwMode="auto">
                          <a:xfrm>
                            <a:off x="0" y="0"/>
                            <a:ext cx="172720" cy="184150"/>
                          </a:xfrm>
                          <a:prstGeom prst="rect">
                            <a:avLst/>
                          </a:prstGeom>
                        </pic:spPr>
                      </pic:pic>
                    </a:graphicData>
                  </a:graphic>
                </wp:inline>
              </w:drawing>
            </w:r>
          </w:p>
        </w:tc>
        <w:tc>
          <w:tcPr>
            <w:tcW w:w="555" w:type="dxa"/>
            <w:tcBorders/>
            <w:shd w:fill="auto" w:val="clear"/>
          </w:tcPr>
          <w:p>
            <w:pPr>
              <w:pStyle w:val="Normal"/>
              <w:rPr/>
            </w:pPr>
            <w:r>
              <w:rPr/>
              <w:t xml:space="preserve">  </w:t>
            </w:r>
          </w:p>
          <w:p>
            <w:pPr>
              <w:pStyle w:val="Normal"/>
              <w:rPr/>
            </w:pPr>
            <w:r>
              <w:rPr/>
              <w:t xml:space="preserve">  </w:t>
            </w:r>
            <w:r>
              <w:rPr/>
              <w:t xml:space="preserve">=1,   </w:t>
            </w:r>
          </w:p>
          <w:p>
            <w:pPr>
              <w:pStyle w:val="Normal"/>
              <w:rPr/>
            </w:pPr>
            <w:r>
              <w:rPr/>
            </w:r>
          </w:p>
        </w:tc>
        <w:tc>
          <w:tcPr>
            <w:tcW w:w="135" w:type="dxa"/>
            <w:tcBorders/>
            <w:shd w:fill="auto" w:val="clear"/>
            <w:tcMar>
              <w:start w:w="0" w:type="dxa"/>
              <w:end w:w="0" w:type="dxa"/>
            </w:tcMar>
          </w:tcPr>
          <w:p>
            <w:pPr>
              <w:pStyle w:val="Normal"/>
              <w:snapToGrid w:val="false"/>
              <w:rPr/>
            </w:pPr>
            <w:r>
              <w:rPr/>
            </w:r>
          </w:p>
        </w:tc>
      </w:tr>
      <w:tr>
        <w:trPr/>
        <w:tc>
          <w:tcPr>
            <w:tcW w:w="450" w:type="dxa"/>
            <w:tcBorders/>
            <w:shd w:fill="auto" w:val="clear"/>
          </w:tcPr>
          <w:p>
            <w:pPr>
              <w:pStyle w:val="Normal"/>
              <w:rPr/>
            </w:pPr>
            <w:r>
              <w:rPr/>
              <w:t xml:space="preserve">  </w:t>
            </w:r>
          </w:p>
          <w:p>
            <w:pPr>
              <w:pStyle w:val="Normal"/>
              <w:rPr/>
            </w:pPr>
            <w:r>
              <w:rPr/>
            </w:r>
          </w:p>
        </w:tc>
        <w:tc>
          <w:tcPr>
            <w:tcW w:w="720" w:type="dxa"/>
            <w:tcBorders/>
            <w:shd w:fill="auto" w:val="clear"/>
          </w:tcPr>
          <w:p>
            <w:pPr>
              <w:pStyle w:val="Normal"/>
              <w:rPr/>
            </w:pPr>
            <w:r>
              <w:rPr/>
              <w:t xml:space="preserve">  </w:t>
            </w:r>
          </w:p>
          <w:p>
            <w:pPr>
              <w:pStyle w:val="Normal"/>
              <w:rPr/>
            </w:pPr>
            <w:r>
              <w:rPr/>
            </w:r>
          </w:p>
        </w:tc>
        <w:tc>
          <w:tcPr>
            <w:tcW w:w="1920" w:type="dxa"/>
            <w:gridSpan w:val="2"/>
            <w:tcBorders/>
            <w:shd w:fill="auto" w:val="clear"/>
          </w:tcPr>
          <w:p>
            <w:pPr>
              <w:pStyle w:val="Normal"/>
              <w:snapToGrid w:val="false"/>
              <w:rPr/>
            </w:pPr>
            <w:r>
              <w:rPr/>
            </w:r>
          </w:p>
          <w:p>
            <w:pPr>
              <w:pStyle w:val="Normal"/>
              <w:rPr/>
            </w:pPr>
            <w:r>
              <w:rPr/>
              <w:t>при t = 50 град.С   -</w:t>
            </w:r>
          </w:p>
          <w:p>
            <w:pPr>
              <w:pStyle w:val="Normal"/>
              <w:rPr/>
            </w:pPr>
            <w:r>
              <w:rPr/>
            </w:r>
          </w:p>
        </w:tc>
        <w:tc>
          <w:tcPr>
            <w:tcW w:w="510" w:type="dxa"/>
            <w:gridSpan w:val="2"/>
            <w:tcBorders/>
            <w:shd w:fill="auto" w:val="clear"/>
          </w:tcPr>
          <w:p>
            <w:pPr>
              <w:pStyle w:val="Normal"/>
              <w:rPr/>
            </w:pPr>
            <w:r>
              <w:rPr/>
              <w:t xml:space="preserve">  </w:t>
            </w:r>
          </w:p>
          <w:p>
            <w:pPr>
              <w:pStyle w:val="Normal"/>
              <w:rPr/>
            </w:pPr>
            <w:r>
              <w:rPr/>
              <w:drawing>
                <wp:inline distT="0" distB="0" distL="0" distR="0">
                  <wp:extent cx="172720" cy="184150"/>
                  <wp:effectExtent l="0" t="0" r="0" b="0"/>
                  <wp:docPr id="239" name="Изображение2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Изображение239" descr="" title=""/>
                          <pic:cNvPicPr>
                            <a:picLocks noChangeAspect="1" noChangeArrowheads="1"/>
                          </pic:cNvPicPr>
                        </pic:nvPicPr>
                        <pic:blipFill>
                          <a:blip r:embed="rId240"/>
                          <a:stretch>
                            <a:fillRect/>
                          </a:stretch>
                        </pic:blipFill>
                        <pic:spPr bwMode="auto">
                          <a:xfrm>
                            <a:off x="0" y="0"/>
                            <a:ext cx="172720" cy="184150"/>
                          </a:xfrm>
                          <a:prstGeom prst="rect">
                            <a:avLst/>
                          </a:prstGeom>
                        </pic:spPr>
                      </pic:pic>
                    </a:graphicData>
                  </a:graphic>
                </wp:inline>
              </w:drawing>
            </w:r>
          </w:p>
        </w:tc>
        <w:tc>
          <w:tcPr>
            <w:tcW w:w="555" w:type="dxa"/>
            <w:tcBorders/>
            <w:shd w:fill="auto" w:val="clear"/>
          </w:tcPr>
          <w:p>
            <w:pPr>
              <w:pStyle w:val="Normal"/>
              <w:snapToGrid w:val="false"/>
              <w:rPr/>
            </w:pPr>
            <w:r>
              <w:rPr/>
            </w:r>
          </w:p>
          <w:p>
            <w:pPr>
              <w:pStyle w:val="Normal"/>
              <w:rPr/>
            </w:pPr>
            <w:r>
              <w:rPr/>
              <w:t xml:space="preserve"> </w:t>
            </w:r>
            <w:r>
              <w:rPr/>
              <w:t>=1,3;</w:t>
            </w:r>
          </w:p>
          <w:p>
            <w:pPr>
              <w:pStyle w:val="Normal"/>
              <w:rPr/>
            </w:pPr>
            <w:r>
              <w:rPr/>
            </w:r>
          </w:p>
        </w:tc>
        <w:tc>
          <w:tcPr>
            <w:tcW w:w="4140" w:type="dxa"/>
            <w:gridSpan w:val="4"/>
            <w:tcBorders/>
            <w:shd w:fill="auto" w:val="clear"/>
            <w:tcMar>
              <w:start w:w="0" w:type="dxa"/>
              <w:end w:w="0" w:type="dxa"/>
            </w:tcMar>
          </w:tcPr>
          <w:p>
            <w:pPr>
              <w:pStyle w:val="Normal"/>
              <w:snapToGrid w:val="false"/>
              <w:rPr/>
            </w:pPr>
            <w:r>
              <w:rPr/>
            </w:r>
          </w:p>
        </w:tc>
      </w:tr>
    </w:tbl>
    <w:p>
      <w:pPr>
        <w:pStyle w:val="Normal"/>
        <w:ind w:firstLine="540"/>
        <w:jc w:val="both"/>
        <w:rPr/>
      </w:pPr>
      <w:r>
        <w:rPr/>
        <w:t>Щ - щелочность воды до стабилизационной обработки, мг-экв/л.</w:t>
      </w:r>
    </w:p>
    <w:p>
      <w:pPr>
        <w:pStyle w:val="Normal"/>
        <w:ind w:firstLine="540"/>
        <w:jc w:val="both"/>
        <w:rPr/>
      </w:pPr>
      <w:r>
        <w:rPr/>
      </w:r>
    </w:p>
    <w:p>
      <w:pPr>
        <w:pStyle w:val="Normal"/>
        <w:jc w:val="center"/>
        <w:rPr/>
      </w:pPr>
      <w:r>
        <w:rPr/>
        <w:drawing>
          <wp:inline distT="0" distB="0" distL="0" distR="0">
            <wp:extent cx="3162300" cy="4495800"/>
            <wp:effectExtent l="0" t="0" r="0" b="0"/>
            <wp:docPr id="240" name="Изображение2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Изображение240" descr="" title=""/>
                    <pic:cNvPicPr>
                      <a:picLocks noChangeAspect="1" noChangeArrowheads="1"/>
                    </pic:cNvPicPr>
                  </pic:nvPicPr>
                  <pic:blipFill>
                    <a:blip r:embed="rId241"/>
                    <a:stretch>
                      <a:fillRect/>
                    </a:stretch>
                  </pic:blipFill>
                  <pic:spPr bwMode="auto">
                    <a:xfrm>
                      <a:off x="0" y="0"/>
                      <a:ext cx="3162300" cy="4495800"/>
                    </a:xfrm>
                    <a:prstGeom prst="rect">
                      <a:avLst/>
                    </a:prstGeom>
                  </pic:spPr>
                </pic:pic>
              </a:graphicData>
            </a:graphic>
          </wp:inline>
        </w:drawing>
      </w:r>
    </w:p>
    <w:p>
      <w:pPr>
        <w:pStyle w:val="Normal"/>
        <w:jc w:val="center"/>
        <w:rPr/>
      </w:pPr>
      <w:r>
        <w:rPr/>
        <w:t xml:space="preserve">Рис. 4. Номограмма для определения коэффициента  </w:t>
      </w:r>
    </w:p>
    <w:tbl>
      <w:tblPr>
        <w:tblW w:w="3030" w:type="dxa"/>
        <w:jc w:val="start"/>
        <w:tblInd w:w="165" w:type="dxa"/>
        <w:tblBorders/>
        <w:tblCellMar>
          <w:top w:w="0" w:type="dxa"/>
          <w:start w:w="15" w:type="dxa"/>
          <w:bottom w:w="0" w:type="dxa"/>
          <w:end w:w="15" w:type="dxa"/>
        </w:tblCellMar>
      </w:tblPr>
      <w:tblGrid>
        <w:gridCol w:w="750"/>
        <w:gridCol w:w="2280"/>
      </w:tblGrid>
      <w:tr>
        <w:trPr/>
        <w:tc>
          <w:tcPr>
            <w:tcW w:w="750" w:type="dxa"/>
            <w:tcBorders/>
            <w:shd w:fill="auto" w:val="clear"/>
          </w:tcPr>
          <w:p>
            <w:pPr>
              <w:pStyle w:val="Normal"/>
              <w:rPr/>
            </w:pPr>
            <w:r>
              <w:rPr>
                <w:vanish/>
              </w:rPr>
              <w:t>#G0</w:t>
            </w:r>
            <w:r>
              <w:rPr/>
              <w:t xml:space="preserve">  </w:t>
            </w:r>
          </w:p>
          <w:p>
            <w:pPr>
              <w:pStyle w:val="Normal"/>
              <w:rPr/>
            </w:pPr>
            <w:r>
              <w:rPr/>
              <w:drawing>
                <wp:inline distT="0" distB="0" distL="0" distR="0">
                  <wp:extent cx="161290" cy="184150"/>
                  <wp:effectExtent l="0" t="0" r="0" b="0"/>
                  <wp:docPr id="241" name="Изображение2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Изображение241" descr="" title=""/>
                          <pic:cNvPicPr>
                            <a:picLocks noChangeAspect="1" noChangeArrowheads="1"/>
                          </pic:cNvPicPr>
                        </pic:nvPicPr>
                        <pic:blipFill>
                          <a:blip r:embed="rId242"/>
                          <a:stretch>
                            <a:fillRect/>
                          </a:stretch>
                        </pic:blipFill>
                        <pic:spPr bwMode="auto">
                          <a:xfrm>
                            <a:off x="0" y="0"/>
                            <a:ext cx="161290" cy="184150"/>
                          </a:xfrm>
                          <a:prstGeom prst="rect">
                            <a:avLst/>
                          </a:prstGeom>
                        </pic:spPr>
                      </pic:pic>
                    </a:graphicData>
                  </a:graphic>
                </wp:inline>
              </w:drawing>
            </w:r>
          </w:p>
        </w:tc>
        <w:tc>
          <w:tcPr>
            <w:tcW w:w="2280" w:type="dxa"/>
            <w:tcBorders/>
            <w:shd w:fill="auto" w:val="clear"/>
          </w:tcPr>
          <w:p>
            <w:pPr>
              <w:pStyle w:val="Normal"/>
              <w:rPr/>
            </w:pPr>
            <w:r>
              <w:rPr/>
              <w:t xml:space="preserve">  </w:t>
            </w:r>
          </w:p>
          <w:p>
            <w:pPr>
              <w:pStyle w:val="Normal"/>
              <w:jc w:val="center"/>
              <w:rPr/>
            </w:pPr>
            <w:r>
              <w:rPr/>
              <w:t xml:space="preserve">при расчете дозы щелочи </w:t>
            </w:r>
          </w:p>
          <w:p>
            <w:pPr>
              <w:pStyle w:val="Normal"/>
              <w:jc w:val="center"/>
              <w:rPr/>
            </w:pPr>
            <w:r>
              <w:rPr/>
            </w:r>
          </w:p>
        </w:tc>
      </w:tr>
    </w:tbl>
    <w:p>
      <w:pPr>
        <w:pStyle w:val="Normal"/>
        <w:jc w:val="center"/>
        <w:rPr/>
      </w:pPr>
      <w:r>
        <w:rPr/>
      </w:r>
    </w:p>
    <w:p>
      <w:pPr>
        <w:pStyle w:val="Normal"/>
        <w:ind w:firstLine="270"/>
        <w:jc w:val="both"/>
        <w:rPr/>
      </w:pPr>
      <w:r>
        <w:rPr/>
      </w:r>
    </w:p>
    <w:tbl>
      <w:tblPr>
        <w:tblW w:w="8100" w:type="dxa"/>
        <w:jc w:val="start"/>
        <w:tblInd w:w="165" w:type="dxa"/>
        <w:tblBorders/>
        <w:tblCellMar>
          <w:top w:w="0" w:type="dxa"/>
          <w:start w:w="15" w:type="dxa"/>
          <w:bottom w:w="0" w:type="dxa"/>
          <w:end w:w="15" w:type="dxa"/>
        </w:tblCellMar>
      </w:tblPr>
      <w:tblGrid>
        <w:gridCol w:w="2250"/>
        <w:gridCol w:w="1335"/>
        <w:gridCol w:w="4515"/>
      </w:tblGrid>
      <w:tr>
        <w:trPr/>
        <w:tc>
          <w:tcPr>
            <w:tcW w:w="2250" w:type="dxa"/>
            <w:tcBorders/>
            <w:shd w:fill="auto" w:val="clear"/>
          </w:tcPr>
          <w:p>
            <w:pPr>
              <w:pStyle w:val="Normal"/>
              <w:rPr>
                <w:vanish/>
              </w:rPr>
            </w:pPr>
            <w:r>
              <w:rPr>
                <w:vanish/>
              </w:rPr>
              <w:t>#G0</w:t>
            </w:r>
          </w:p>
          <w:p>
            <w:pPr>
              <w:pStyle w:val="Normal"/>
              <w:rPr/>
            </w:pPr>
            <w:r>
              <w:rPr/>
              <w:t xml:space="preserve">  </w:t>
            </w:r>
            <w:r>
              <w:rPr/>
              <w:t xml:space="preserve">Дозу соды в расчете на </w:t>
            </w:r>
          </w:p>
          <w:p>
            <w:pPr>
              <w:pStyle w:val="Normal"/>
              <w:rPr/>
            </w:pPr>
            <w:r>
              <w:rPr/>
            </w:r>
          </w:p>
        </w:tc>
        <w:tc>
          <w:tcPr>
            <w:tcW w:w="1335" w:type="dxa"/>
            <w:tcBorders/>
            <w:shd w:fill="auto" w:val="clear"/>
          </w:tcPr>
          <w:p>
            <w:pPr>
              <w:pStyle w:val="Normal"/>
              <w:rPr/>
            </w:pPr>
            <w:r>
              <w:rPr/>
              <w:t xml:space="preserve">  </w:t>
            </w:r>
          </w:p>
          <w:p>
            <w:pPr>
              <w:pStyle w:val="Normal"/>
              <w:rPr/>
            </w:pPr>
            <w:r>
              <w:rPr/>
              <w:drawing>
                <wp:inline distT="0" distB="0" distL="0" distR="0">
                  <wp:extent cx="541655" cy="184150"/>
                  <wp:effectExtent l="0" t="0" r="0" b="0"/>
                  <wp:docPr id="242" name="Изображение2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Изображение242" descr="" title=""/>
                          <pic:cNvPicPr>
                            <a:picLocks noChangeAspect="1" noChangeArrowheads="1"/>
                          </pic:cNvPicPr>
                        </pic:nvPicPr>
                        <pic:blipFill>
                          <a:blip r:embed="rId243"/>
                          <a:stretch>
                            <a:fillRect/>
                          </a:stretch>
                        </pic:blipFill>
                        <pic:spPr bwMode="auto">
                          <a:xfrm>
                            <a:off x="0" y="0"/>
                            <a:ext cx="541655" cy="184150"/>
                          </a:xfrm>
                          <a:prstGeom prst="rect">
                            <a:avLst/>
                          </a:prstGeom>
                        </pic:spPr>
                      </pic:pic>
                    </a:graphicData>
                  </a:graphic>
                </wp:inline>
              </w:drawing>
            </w:r>
          </w:p>
        </w:tc>
        <w:tc>
          <w:tcPr>
            <w:tcW w:w="4515" w:type="dxa"/>
            <w:tcBorders/>
            <w:shd w:fill="auto" w:val="clear"/>
          </w:tcPr>
          <w:p>
            <w:pPr>
              <w:pStyle w:val="Normal"/>
              <w:snapToGrid w:val="false"/>
              <w:jc w:val="both"/>
              <w:rPr/>
            </w:pPr>
            <w:r>
              <w:rPr/>
            </w:r>
          </w:p>
          <w:p>
            <w:pPr>
              <w:pStyle w:val="Normal"/>
              <w:jc w:val="both"/>
              <w:rPr/>
            </w:pPr>
            <w:r>
              <w:rPr/>
              <w:t xml:space="preserve">мг/л, надлежит принимать в 3-3,5 раза больше </w:t>
            </w:r>
          </w:p>
          <w:p>
            <w:pPr>
              <w:pStyle w:val="Normal"/>
              <w:jc w:val="both"/>
              <w:rPr/>
            </w:pPr>
            <w:r>
              <w:rPr/>
            </w:r>
          </w:p>
        </w:tc>
      </w:tr>
    </w:tbl>
    <w:p>
      <w:pPr>
        <w:pStyle w:val="Normal"/>
        <w:ind w:firstLine="270"/>
        <w:jc w:val="both"/>
        <w:rPr/>
      </w:pPr>
      <w:r>
        <w:rPr/>
        <w:t xml:space="preserve">дозы извести в расчете на СаО, мг/л.    </w:t>
      </w:r>
    </w:p>
    <w:tbl>
      <w:tblPr>
        <w:tblW w:w="8325" w:type="dxa"/>
        <w:jc w:val="start"/>
        <w:tblInd w:w="15" w:type="dxa"/>
        <w:tblBorders/>
        <w:tblCellMar>
          <w:top w:w="0" w:type="dxa"/>
          <w:start w:w="15" w:type="dxa"/>
          <w:bottom w:w="0" w:type="dxa"/>
          <w:end w:w="15" w:type="dxa"/>
        </w:tblCellMar>
      </w:tblPr>
      <w:tblGrid>
        <w:gridCol w:w="615"/>
        <w:gridCol w:w="930"/>
        <w:gridCol w:w="1515"/>
        <w:gridCol w:w="345"/>
        <w:gridCol w:w="855"/>
        <w:gridCol w:w="465"/>
        <w:gridCol w:w="3600"/>
      </w:tblGrid>
      <w:tr>
        <w:trPr/>
        <w:tc>
          <w:tcPr>
            <w:tcW w:w="3405" w:type="dxa"/>
            <w:gridSpan w:val="4"/>
            <w:tcBorders/>
            <w:shd w:fill="auto" w:val="clear"/>
          </w:tcPr>
          <w:p>
            <w:pPr>
              <w:pStyle w:val="Normal"/>
              <w:rPr/>
            </w:pPr>
            <w:r>
              <w:rPr>
                <w:vanish/>
              </w:rPr>
              <w:t>#G0</w:t>
            </w:r>
            <w:r>
              <w:rPr/>
              <w:t xml:space="preserve">  </w:t>
            </w:r>
          </w:p>
          <w:p>
            <w:pPr>
              <w:pStyle w:val="Normal"/>
              <w:ind w:firstLine="225"/>
              <w:jc w:val="both"/>
              <w:rPr/>
            </w:pPr>
            <w:r>
              <w:rPr/>
              <w:t xml:space="preserve">Если по формуле (5) доза извести </w:t>
            </w:r>
          </w:p>
          <w:p>
            <w:pPr>
              <w:pStyle w:val="Normal"/>
              <w:ind w:firstLine="225"/>
              <w:jc w:val="both"/>
              <w:rPr/>
            </w:pPr>
            <w:r>
              <w:rPr/>
            </w:r>
          </w:p>
        </w:tc>
        <w:tc>
          <w:tcPr>
            <w:tcW w:w="1320" w:type="dxa"/>
            <w:gridSpan w:val="2"/>
            <w:tcBorders/>
            <w:shd w:fill="auto" w:val="clear"/>
          </w:tcPr>
          <w:p>
            <w:pPr>
              <w:pStyle w:val="Normal"/>
              <w:rPr/>
            </w:pPr>
            <w:r>
              <w:rPr/>
              <w:t xml:space="preserve">  </w:t>
            </w:r>
          </w:p>
          <w:p>
            <w:pPr>
              <w:pStyle w:val="Normal"/>
              <w:rPr/>
            </w:pPr>
            <w:r>
              <w:rPr/>
              <w:drawing>
                <wp:inline distT="0" distB="0" distL="0" distR="0">
                  <wp:extent cx="483870" cy="184150"/>
                  <wp:effectExtent l="0" t="0" r="0" b="0"/>
                  <wp:docPr id="243" name="Изображение2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Изображение243" descr="" title=""/>
                          <pic:cNvPicPr>
                            <a:picLocks noChangeAspect="1" noChangeArrowheads="1"/>
                          </pic:cNvPicPr>
                        </pic:nvPicPr>
                        <pic:blipFill>
                          <a:blip r:embed="rId244"/>
                          <a:stretch>
                            <a:fillRect/>
                          </a:stretch>
                        </pic:blipFill>
                        <pic:spPr bwMode="auto">
                          <a:xfrm>
                            <a:off x="0" y="0"/>
                            <a:ext cx="483870" cy="184150"/>
                          </a:xfrm>
                          <a:prstGeom prst="rect">
                            <a:avLst/>
                          </a:prstGeom>
                        </pic:spPr>
                      </pic:pic>
                    </a:graphicData>
                  </a:graphic>
                </wp:inline>
              </w:drawing>
            </w:r>
          </w:p>
        </w:tc>
        <w:tc>
          <w:tcPr>
            <w:tcW w:w="3600" w:type="dxa"/>
            <w:tcBorders/>
            <w:shd w:fill="auto" w:val="clear"/>
          </w:tcPr>
          <w:p>
            <w:pPr>
              <w:pStyle w:val="Normal"/>
              <w:rPr/>
            </w:pPr>
            <w:r>
              <w:rPr/>
              <w:t xml:space="preserve">  </w:t>
            </w:r>
          </w:p>
          <w:p>
            <w:pPr>
              <w:pStyle w:val="Normal"/>
              <w:jc w:val="both"/>
              <w:rPr/>
            </w:pPr>
            <w:r>
              <w:rPr/>
              <w:t xml:space="preserve">мг-экв/л, получается больше величины </w:t>
            </w:r>
          </w:p>
          <w:p>
            <w:pPr>
              <w:pStyle w:val="Normal"/>
              <w:jc w:val="both"/>
              <w:rPr/>
            </w:pPr>
            <w:r>
              <w:rPr/>
            </w:r>
          </w:p>
        </w:tc>
      </w:tr>
      <w:tr>
        <w:trPr/>
        <w:tc>
          <w:tcPr>
            <w:tcW w:w="615" w:type="dxa"/>
            <w:tcBorders/>
            <w:shd w:fill="auto" w:val="clear"/>
          </w:tcPr>
          <w:p>
            <w:pPr>
              <w:pStyle w:val="Normal"/>
              <w:rPr/>
            </w:pPr>
            <w:r>
              <w:rPr/>
              <w:drawing>
                <wp:inline distT="0" distB="0" distL="0" distR="0">
                  <wp:extent cx="230505" cy="207645"/>
                  <wp:effectExtent l="0" t="0" r="0" b="0"/>
                  <wp:docPr id="244" name="Изображение2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Изображение244" descr="" title=""/>
                          <pic:cNvPicPr>
                            <a:picLocks noChangeAspect="1" noChangeArrowheads="1"/>
                          </pic:cNvPicPr>
                        </pic:nvPicPr>
                        <pic:blipFill>
                          <a:blip r:embed="rId245"/>
                          <a:stretch>
                            <a:fillRect/>
                          </a:stretch>
                        </pic:blipFill>
                        <pic:spPr bwMode="auto">
                          <a:xfrm>
                            <a:off x="0" y="0"/>
                            <a:ext cx="230505" cy="207645"/>
                          </a:xfrm>
                          <a:prstGeom prst="rect">
                            <a:avLst/>
                          </a:prstGeom>
                        </pic:spPr>
                      </pic:pic>
                    </a:graphicData>
                  </a:graphic>
                </wp:inline>
              </w:drawing>
            </w:r>
            <w:r>
              <w:rPr/>
              <w:t xml:space="preserve">  </w:t>
            </w:r>
          </w:p>
          <w:p>
            <w:pPr>
              <w:pStyle w:val="Normal"/>
              <w:rPr/>
            </w:pPr>
            <w:r>
              <w:rPr/>
            </w:r>
          </w:p>
        </w:tc>
        <w:tc>
          <w:tcPr>
            <w:tcW w:w="930" w:type="dxa"/>
            <w:tcBorders/>
            <w:shd w:fill="auto" w:val="clear"/>
          </w:tcPr>
          <w:p>
            <w:pPr>
              <w:pStyle w:val="Normal"/>
              <w:rPr/>
            </w:pPr>
            <w:r>
              <w:rPr/>
              <w:t xml:space="preserve">  </w:t>
            </w:r>
            <w:r>
              <w:rPr/>
              <w:t>мг-экв/л,</w:t>
            </w:r>
          </w:p>
          <w:p>
            <w:pPr>
              <w:pStyle w:val="Normal"/>
              <w:rPr/>
            </w:pPr>
            <w:r>
              <w:rPr/>
            </w:r>
          </w:p>
        </w:tc>
        <w:tc>
          <w:tcPr>
            <w:tcW w:w="1515" w:type="dxa"/>
            <w:tcBorders/>
            <w:shd w:fill="auto" w:val="clear"/>
          </w:tcPr>
          <w:p>
            <w:pPr>
              <w:pStyle w:val="Normal"/>
              <w:rPr/>
            </w:pPr>
            <w:r>
              <w:rPr/>
              <w:t xml:space="preserve"> </w:t>
            </w:r>
            <w:r>
              <w:rPr/>
              <w:t xml:space="preserve">определяемой </w:t>
            </w:r>
          </w:p>
          <w:p>
            <w:pPr>
              <w:pStyle w:val="Normal"/>
              <w:rPr/>
            </w:pPr>
            <w:r>
              <w:rPr/>
            </w:r>
          </w:p>
        </w:tc>
        <w:tc>
          <w:tcPr>
            <w:tcW w:w="1200" w:type="dxa"/>
            <w:gridSpan w:val="2"/>
            <w:tcBorders/>
            <w:shd w:fill="auto" w:val="clear"/>
          </w:tcPr>
          <w:p>
            <w:pPr>
              <w:pStyle w:val="Normal"/>
              <w:rPr/>
            </w:pPr>
            <w:r>
              <w:rPr/>
              <w:t xml:space="preserve">по формуле </w:t>
            </w:r>
          </w:p>
          <w:p>
            <w:pPr>
              <w:pStyle w:val="Normal"/>
              <w:rPr/>
            </w:pPr>
            <w:r>
              <w:rPr/>
            </w:r>
          </w:p>
        </w:tc>
        <w:tc>
          <w:tcPr>
            <w:tcW w:w="4065" w:type="dxa"/>
            <w:gridSpan w:val="2"/>
            <w:tcBorders/>
            <w:shd w:fill="auto" w:val="clear"/>
            <w:tcMar>
              <w:start w:w="0" w:type="dxa"/>
              <w:end w:w="0" w:type="dxa"/>
            </w:tcMar>
          </w:tcPr>
          <w:p>
            <w:pPr>
              <w:pStyle w:val="Normal"/>
              <w:snapToGrid w:val="false"/>
              <w:rPr/>
            </w:pPr>
            <w:r>
              <w:rPr/>
            </w:r>
          </w:p>
        </w:tc>
      </w:tr>
    </w:tbl>
    <w:p>
      <w:pPr>
        <w:pStyle w:val="Normal"/>
        <w:ind w:firstLine="135"/>
        <w:jc w:val="both"/>
        <w:rPr/>
      </w:pPr>
      <w:r>
        <w:rPr/>
      </w:r>
    </w:p>
    <w:tbl>
      <w:tblPr>
        <w:tblW w:w="4155" w:type="dxa"/>
        <w:jc w:val="start"/>
        <w:tblInd w:w="165" w:type="dxa"/>
        <w:tblBorders/>
        <w:tblCellMar>
          <w:top w:w="0" w:type="dxa"/>
          <w:start w:w="15" w:type="dxa"/>
          <w:bottom w:w="0" w:type="dxa"/>
          <w:end w:w="15" w:type="dxa"/>
        </w:tblCellMar>
      </w:tblPr>
      <w:tblGrid>
        <w:gridCol w:w="2385"/>
        <w:gridCol w:w="1770"/>
      </w:tblGrid>
      <w:tr>
        <w:trPr/>
        <w:tc>
          <w:tcPr>
            <w:tcW w:w="2385" w:type="dxa"/>
            <w:tcBorders/>
            <w:shd w:fill="auto" w:val="clear"/>
          </w:tcPr>
          <w:p>
            <w:pPr>
              <w:pStyle w:val="Normal"/>
              <w:rPr/>
            </w:pPr>
            <w:r>
              <w:rPr>
                <w:vanish/>
              </w:rPr>
              <w:t>#G0</w:t>
            </w:r>
            <w:r>
              <w:rPr/>
              <w:t xml:space="preserve">  </w:t>
            </w:r>
          </w:p>
          <w:p>
            <w:pPr>
              <w:pStyle w:val="Normal"/>
              <w:rPr/>
            </w:pPr>
            <w:r>
              <w:rPr/>
              <w:drawing>
                <wp:inline distT="0" distB="0" distL="0" distR="0">
                  <wp:extent cx="1612900" cy="288290"/>
                  <wp:effectExtent l="0" t="0" r="0" b="0"/>
                  <wp:docPr id="245" name="Изображение2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Изображение245" descr="" title=""/>
                          <pic:cNvPicPr>
                            <a:picLocks noChangeAspect="1" noChangeArrowheads="1"/>
                          </pic:cNvPicPr>
                        </pic:nvPicPr>
                        <pic:blipFill>
                          <a:blip r:embed="rId246"/>
                          <a:stretch>
                            <a:fillRect/>
                          </a:stretch>
                        </pic:blipFill>
                        <pic:spPr bwMode="auto">
                          <a:xfrm>
                            <a:off x="0" y="0"/>
                            <a:ext cx="1612900" cy="288290"/>
                          </a:xfrm>
                          <a:prstGeom prst="rect">
                            <a:avLst/>
                          </a:prstGeom>
                        </pic:spPr>
                      </pic:pic>
                    </a:graphicData>
                  </a:graphic>
                </wp:inline>
              </w:drawing>
            </w:r>
          </w:p>
        </w:tc>
        <w:tc>
          <w:tcPr>
            <w:tcW w:w="1770" w:type="dxa"/>
            <w:tcBorders/>
            <w:shd w:fill="auto" w:val="clear"/>
          </w:tcPr>
          <w:p>
            <w:pPr>
              <w:pStyle w:val="Normal"/>
              <w:rPr/>
            </w:pPr>
            <w:r>
              <w:rPr/>
              <w:t xml:space="preserve">  </w:t>
            </w:r>
          </w:p>
          <w:p>
            <w:pPr>
              <w:pStyle w:val="Normal"/>
              <w:rPr/>
            </w:pPr>
            <w:r>
              <w:rPr/>
              <w:t xml:space="preserve">               </w:t>
            </w:r>
            <w:r>
              <w:rPr/>
              <w:t>(6)</w:t>
            </w:r>
          </w:p>
          <w:p>
            <w:pPr>
              <w:pStyle w:val="Normal"/>
              <w:rPr/>
            </w:pPr>
            <w:r>
              <w:rPr/>
            </w:r>
          </w:p>
        </w:tc>
      </w:tr>
    </w:tbl>
    <w:p>
      <w:pPr>
        <w:pStyle w:val="Normal"/>
        <w:ind w:firstLine="1350"/>
        <w:jc w:val="both"/>
        <w:rPr/>
      </w:pPr>
      <w:r>
        <w:rPr/>
      </w:r>
    </w:p>
    <w:p>
      <w:pPr>
        <w:pStyle w:val="Normal"/>
        <w:ind w:firstLine="1350"/>
        <w:jc w:val="both"/>
        <w:rPr/>
      </w:pPr>
      <w:r>
        <w:rPr/>
        <w:tab/>
      </w:r>
    </w:p>
    <w:tbl>
      <w:tblPr>
        <w:tblW w:w="8460" w:type="dxa"/>
        <w:jc w:val="start"/>
        <w:tblInd w:w="15" w:type="dxa"/>
        <w:tblBorders/>
        <w:tblCellMar>
          <w:top w:w="0" w:type="dxa"/>
          <w:start w:w="15" w:type="dxa"/>
          <w:bottom w:w="0" w:type="dxa"/>
          <w:end w:w="15" w:type="dxa"/>
        </w:tblCellMar>
      </w:tblPr>
      <w:tblGrid>
        <w:gridCol w:w="675"/>
        <w:gridCol w:w="2715"/>
        <w:gridCol w:w="525"/>
        <w:gridCol w:w="525"/>
        <w:gridCol w:w="525"/>
        <w:gridCol w:w="525"/>
        <w:gridCol w:w="2970"/>
      </w:tblGrid>
      <w:tr>
        <w:trPr/>
        <w:tc>
          <w:tcPr>
            <w:tcW w:w="3390" w:type="dxa"/>
            <w:gridSpan w:val="2"/>
            <w:tcBorders/>
            <w:shd w:fill="auto" w:val="clear"/>
          </w:tcPr>
          <w:p>
            <w:pPr>
              <w:pStyle w:val="Normal"/>
              <w:rPr/>
            </w:pPr>
            <w:r>
              <w:rPr>
                <w:vanish/>
              </w:rPr>
              <w:t>#G0</w:t>
            </w:r>
            <w:r>
              <w:rPr/>
              <w:t xml:space="preserve"> </w:t>
            </w:r>
          </w:p>
          <w:p>
            <w:pPr>
              <w:pStyle w:val="Normal"/>
              <w:jc w:val="both"/>
              <w:rPr/>
            </w:pPr>
            <w:r>
              <w:rPr/>
              <w:t xml:space="preserve">то в воду кроме извести в количестве </w:t>
            </w:r>
          </w:p>
          <w:p>
            <w:pPr>
              <w:pStyle w:val="Normal"/>
              <w:rPr/>
            </w:pPr>
            <w:r>
              <w:rPr/>
              <w:t xml:space="preserve"> </w:t>
            </w:r>
          </w:p>
          <w:p>
            <w:pPr>
              <w:pStyle w:val="Normal"/>
              <w:rPr/>
            </w:pPr>
            <w:r>
              <w:rPr/>
            </w:r>
          </w:p>
        </w:tc>
        <w:tc>
          <w:tcPr>
            <w:tcW w:w="525" w:type="dxa"/>
            <w:tcBorders/>
            <w:shd w:fill="auto" w:val="clear"/>
          </w:tcPr>
          <w:p>
            <w:pPr>
              <w:pStyle w:val="Normal"/>
              <w:rPr/>
            </w:pPr>
            <w:r>
              <w:rPr/>
              <w:t xml:space="preserve">  </w:t>
            </w:r>
          </w:p>
          <w:p>
            <w:pPr>
              <w:pStyle w:val="Normal"/>
              <w:rPr/>
            </w:pPr>
            <w:r>
              <w:rPr/>
              <w:drawing>
                <wp:inline distT="0" distB="0" distL="0" distR="0">
                  <wp:extent cx="230505" cy="207645"/>
                  <wp:effectExtent l="0" t="0" r="0" b="0"/>
                  <wp:docPr id="246" name="Изображение2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Изображение246" descr="" title=""/>
                          <pic:cNvPicPr>
                            <a:picLocks noChangeAspect="1" noChangeArrowheads="1"/>
                          </pic:cNvPicPr>
                        </pic:nvPicPr>
                        <pic:blipFill>
                          <a:blip r:embed="rId247"/>
                          <a:stretch>
                            <a:fillRect/>
                          </a:stretch>
                        </pic:blipFill>
                        <pic:spPr bwMode="auto">
                          <a:xfrm>
                            <a:off x="0" y="0"/>
                            <a:ext cx="230505" cy="207645"/>
                          </a:xfrm>
                          <a:prstGeom prst="rect">
                            <a:avLst/>
                          </a:prstGeom>
                        </pic:spPr>
                      </pic:pic>
                    </a:graphicData>
                  </a:graphic>
                </wp:inline>
              </w:drawing>
            </w:r>
          </w:p>
        </w:tc>
        <w:tc>
          <w:tcPr>
            <w:tcW w:w="4545" w:type="dxa"/>
            <w:gridSpan w:val="4"/>
            <w:tcBorders/>
            <w:shd w:fill="auto" w:val="clear"/>
          </w:tcPr>
          <w:p>
            <w:pPr>
              <w:pStyle w:val="Normal"/>
              <w:rPr/>
            </w:pPr>
            <w:r>
              <w:rPr/>
              <w:t xml:space="preserve">  </w:t>
            </w:r>
          </w:p>
          <w:p>
            <w:pPr>
              <w:pStyle w:val="Normal"/>
              <w:jc w:val="both"/>
              <w:rPr/>
            </w:pPr>
            <w:r>
              <w:rPr/>
              <w:t xml:space="preserve">мг-экв/л, следует вводить также соду, дозу которой </w:t>
            </w:r>
          </w:p>
          <w:p>
            <w:pPr>
              <w:pStyle w:val="Normal"/>
              <w:jc w:val="both"/>
              <w:rPr/>
            </w:pPr>
            <w:r>
              <w:rPr/>
            </w:r>
          </w:p>
        </w:tc>
      </w:tr>
      <w:tr>
        <w:trPr/>
        <w:tc>
          <w:tcPr>
            <w:tcW w:w="675" w:type="dxa"/>
            <w:tcBorders/>
            <w:shd w:fill="auto" w:val="clear"/>
          </w:tcPr>
          <w:p>
            <w:pPr>
              <w:pStyle w:val="Normal"/>
              <w:rPr/>
            </w:pPr>
            <w:r>
              <w:rPr/>
              <w:drawing>
                <wp:inline distT="0" distB="0" distL="0" distR="0">
                  <wp:extent cx="253365" cy="184150"/>
                  <wp:effectExtent l="0" t="0" r="0" b="0"/>
                  <wp:docPr id="247" name="Изображение2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Изображение247" descr="" title=""/>
                          <pic:cNvPicPr>
                            <a:picLocks noChangeAspect="1" noChangeArrowheads="1"/>
                          </pic:cNvPicPr>
                        </pic:nvPicPr>
                        <pic:blipFill>
                          <a:blip r:embed="rId248"/>
                          <a:stretch>
                            <a:fillRect/>
                          </a:stretch>
                        </pic:blipFill>
                        <pic:spPr bwMode="auto">
                          <a:xfrm>
                            <a:off x="0" y="0"/>
                            <a:ext cx="253365" cy="184150"/>
                          </a:xfrm>
                          <a:prstGeom prst="rect">
                            <a:avLst/>
                          </a:prstGeom>
                        </pic:spPr>
                      </pic:pic>
                    </a:graphicData>
                  </a:graphic>
                </wp:inline>
              </w:drawing>
            </w:r>
            <w:r>
              <w:rPr/>
              <w:t xml:space="preserve">  </w:t>
            </w:r>
          </w:p>
          <w:p>
            <w:pPr>
              <w:pStyle w:val="Normal"/>
              <w:rPr/>
            </w:pPr>
            <w:r>
              <w:rPr/>
            </w:r>
          </w:p>
        </w:tc>
        <w:tc>
          <w:tcPr>
            <w:tcW w:w="3765" w:type="dxa"/>
            <w:gridSpan w:val="3"/>
            <w:tcBorders/>
            <w:shd w:fill="auto" w:val="clear"/>
          </w:tcPr>
          <w:p>
            <w:pPr>
              <w:pStyle w:val="Normal"/>
              <w:rPr/>
            </w:pPr>
            <w:r>
              <w:rPr/>
              <w:t xml:space="preserve"> </w:t>
            </w:r>
            <w:r>
              <w:rPr/>
              <w:t xml:space="preserve">мг/л, надлежит определять по формуле </w:t>
            </w:r>
          </w:p>
          <w:p>
            <w:pPr>
              <w:pStyle w:val="Normal"/>
              <w:rPr/>
            </w:pPr>
            <w:r>
              <w:rPr/>
            </w:r>
          </w:p>
        </w:tc>
        <w:tc>
          <w:tcPr>
            <w:tcW w:w="525" w:type="dxa"/>
            <w:tcBorders/>
            <w:shd w:fill="auto" w:val="clear"/>
          </w:tcPr>
          <w:p>
            <w:pPr>
              <w:pStyle w:val="Normal"/>
              <w:rPr/>
            </w:pPr>
            <w:r>
              <w:rPr/>
              <w:t xml:space="preserve">  </w:t>
            </w:r>
          </w:p>
          <w:p>
            <w:pPr>
              <w:pStyle w:val="Normal"/>
              <w:rPr/>
            </w:pPr>
            <w:r>
              <w:rPr/>
            </w:r>
          </w:p>
        </w:tc>
        <w:tc>
          <w:tcPr>
            <w:tcW w:w="525" w:type="dxa"/>
            <w:tcBorders/>
            <w:shd w:fill="auto" w:val="clear"/>
          </w:tcPr>
          <w:p>
            <w:pPr>
              <w:pStyle w:val="Normal"/>
              <w:rPr/>
            </w:pPr>
            <w:r>
              <w:rPr/>
              <w:t xml:space="preserve">  </w:t>
            </w:r>
          </w:p>
          <w:p>
            <w:pPr>
              <w:pStyle w:val="Normal"/>
              <w:rPr/>
            </w:pPr>
            <w:r>
              <w:rPr/>
            </w:r>
          </w:p>
        </w:tc>
        <w:tc>
          <w:tcPr>
            <w:tcW w:w="2970" w:type="dxa"/>
            <w:tcBorders/>
            <w:shd w:fill="auto" w:val="clear"/>
            <w:tcMar>
              <w:start w:w="0" w:type="dxa"/>
              <w:end w:w="0" w:type="dxa"/>
            </w:tcMar>
          </w:tcPr>
          <w:p>
            <w:pPr>
              <w:pStyle w:val="Normal"/>
              <w:snapToGrid w:val="false"/>
              <w:rPr/>
            </w:pPr>
            <w:r>
              <w:rPr/>
            </w:r>
          </w:p>
        </w:tc>
      </w:tr>
    </w:tbl>
    <w:p>
      <w:pPr>
        <w:pStyle w:val="Normal"/>
        <w:ind w:firstLine="585"/>
        <w:jc w:val="both"/>
        <w:rPr/>
      </w:pPr>
      <w:r>
        <w:rPr/>
      </w:r>
    </w:p>
    <w:tbl>
      <w:tblPr>
        <w:tblW w:w="4080" w:type="dxa"/>
        <w:jc w:val="start"/>
        <w:tblInd w:w="165" w:type="dxa"/>
        <w:tblBorders/>
        <w:tblCellMar>
          <w:top w:w="0" w:type="dxa"/>
          <w:start w:w="15" w:type="dxa"/>
          <w:bottom w:w="0" w:type="dxa"/>
          <w:end w:w="15" w:type="dxa"/>
        </w:tblCellMar>
      </w:tblPr>
      <w:tblGrid>
        <w:gridCol w:w="2205"/>
        <w:gridCol w:w="1875"/>
      </w:tblGrid>
      <w:tr>
        <w:trPr/>
        <w:tc>
          <w:tcPr>
            <w:tcW w:w="2205" w:type="dxa"/>
            <w:tcBorders/>
            <w:shd w:fill="auto" w:val="clear"/>
          </w:tcPr>
          <w:p>
            <w:pPr>
              <w:pStyle w:val="Normal"/>
              <w:rPr/>
            </w:pPr>
            <w:r>
              <w:rPr>
                <w:vanish/>
              </w:rPr>
              <w:t>#G0</w:t>
            </w:r>
            <w:r>
              <w:rPr/>
              <w:t xml:space="preserve">  </w:t>
            </w:r>
          </w:p>
          <w:p>
            <w:pPr>
              <w:pStyle w:val="Normal"/>
              <w:rPr/>
            </w:pPr>
            <w:r>
              <w:rPr/>
              <w:drawing>
                <wp:inline distT="0" distB="0" distL="0" distR="0">
                  <wp:extent cx="1485900" cy="299720"/>
                  <wp:effectExtent l="0" t="0" r="0" b="0"/>
                  <wp:docPr id="248" name="Изображение2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Изображение248" descr="" title=""/>
                          <pic:cNvPicPr>
                            <a:picLocks noChangeAspect="1" noChangeArrowheads="1"/>
                          </pic:cNvPicPr>
                        </pic:nvPicPr>
                        <pic:blipFill>
                          <a:blip r:embed="rId249"/>
                          <a:stretch>
                            <a:fillRect/>
                          </a:stretch>
                        </pic:blipFill>
                        <pic:spPr bwMode="auto">
                          <a:xfrm>
                            <a:off x="0" y="0"/>
                            <a:ext cx="1485900" cy="299720"/>
                          </a:xfrm>
                          <a:prstGeom prst="rect">
                            <a:avLst/>
                          </a:prstGeom>
                        </pic:spPr>
                      </pic:pic>
                    </a:graphicData>
                  </a:graphic>
                </wp:inline>
              </w:drawing>
            </w:r>
          </w:p>
        </w:tc>
        <w:tc>
          <w:tcPr>
            <w:tcW w:w="1875" w:type="dxa"/>
            <w:tcBorders/>
            <w:shd w:fill="auto" w:val="clear"/>
          </w:tcPr>
          <w:p>
            <w:pPr>
              <w:pStyle w:val="Normal"/>
              <w:rPr/>
            </w:pPr>
            <w:r>
              <w:rPr/>
              <w:t xml:space="preserve">   </w:t>
            </w:r>
          </w:p>
          <w:p>
            <w:pPr>
              <w:pStyle w:val="Normal"/>
              <w:rPr/>
            </w:pPr>
            <w:r>
              <w:rPr/>
              <w:t xml:space="preserve">              </w:t>
            </w:r>
            <w:r>
              <w:rPr/>
              <w:t>(7)</w:t>
            </w:r>
          </w:p>
          <w:p>
            <w:pPr>
              <w:pStyle w:val="Normal"/>
              <w:rPr/>
            </w:pPr>
            <w:r>
              <w:rPr/>
            </w:r>
          </w:p>
        </w:tc>
      </w:tr>
    </w:tbl>
    <w:p>
      <w:pPr>
        <w:pStyle w:val="Normal"/>
        <w:ind w:firstLine="360"/>
        <w:jc w:val="both"/>
        <w:rPr/>
      </w:pPr>
      <w:r>
        <w:rPr/>
        <w:tab/>
        <w:tab/>
        <w:tab/>
      </w:r>
    </w:p>
    <w:p>
      <w:pPr>
        <w:pStyle w:val="Normal"/>
        <w:jc w:val="center"/>
        <w:rPr/>
      </w:pPr>
      <w:r>
        <w:rPr/>
      </w:r>
    </w:p>
    <w:p>
      <w:pPr>
        <w:pStyle w:val="Normal"/>
        <w:ind w:firstLine="225"/>
        <w:jc w:val="both"/>
        <w:rPr/>
      </w:pPr>
      <w:r>
        <w:rPr/>
        <w:t xml:space="preserve">Следует предусматривать возможность одновременно с введением щелочных реагентов дозировать гексаметафосфат или триполифосфат натрия дозой 0,5-1,5 мг/л (в расчете на     </w:t>
      </w:r>
    </w:p>
    <w:tbl>
      <w:tblPr>
        <w:tblW w:w="8715" w:type="dxa"/>
        <w:jc w:val="start"/>
        <w:tblInd w:w="15" w:type="dxa"/>
        <w:tblBorders/>
        <w:tblCellMar>
          <w:top w:w="0" w:type="dxa"/>
          <w:start w:w="15" w:type="dxa"/>
          <w:bottom w:w="0" w:type="dxa"/>
          <w:end w:w="15" w:type="dxa"/>
        </w:tblCellMar>
      </w:tblPr>
      <w:tblGrid>
        <w:gridCol w:w="1065"/>
        <w:gridCol w:w="7650"/>
      </w:tblGrid>
      <w:tr>
        <w:trPr/>
        <w:tc>
          <w:tcPr>
            <w:tcW w:w="1065" w:type="dxa"/>
            <w:tcBorders/>
            <w:shd w:fill="auto" w:val="clear"/>
          </w:tcPr>
          <w:p>
            <w:pPr>
              <w:pStyle w:val="Normal"/>
              <w:rPr/>
            </w:pPr>
            <w:r>
              <w:rPr>
                <w:vanish/>
              </w:rPr>
              <w:t>#G0</w:t>
            </w:r>
            <w:r>
              <w:rPr/>
              <w:t xml:space="preserve">  </w:t>
            </w:r>
          </w:p>
          <w:p>
            <w:pPr>
              <w:pStyle w:val="Normal"/>
              <w:rPr/>
            </w:pPr>
            <w:r>
              <w:rPr/>
              <w:drawing>
                <wp:inline distT="0" distB="0" distL="0" distR="0">
                  <wp:extent cx="368935" cy="184150"/>
                  <wp:effectExtent l="0" t="0" r="0" b="0"/>
                  <wp:docPr id="249" name="Изображение2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Изображение249" descr="" title=""/>
                          <pic:cNvPicPr>
                            <a:picLocks noChangeAspect="1" noChangeArrowheads="1"/>
                          </pic:cNvPicPr>
                        </pic:nvPicPr>
                        <pic:blipFill>
                          <a:blip r:embed="rId250"/>
                          <a:stretch>
                            <a:fillRect/>
                          </a:stretch>
                        </pic:blipFill>
                        <pic:spPr bwMode="auto">
                          <a:xfrm>
                            <a:off x="0" y="0"/>
                            <a:ext cx="368935" cy="184150"/>
                          </a:xfrm>
                          <a:prstGeom prst="rect">
                            <a:avLst/>
                          </a:prstGeom>
                        </pic:spPr>
                      </pic:pic>
                    </a:graphicData>
                  </a:graphic>
                </wp:inline>
              </w:drawing>
            </w:r>
          </w:p>
        </w:tc>
        <w:tc>
          <w:tcPr>
            <w:tcW w:w="7650" w:type="dxa"/>
            <w:tcBorders/>
            <w:shd w:fill="auto" w:val="clear"/>
          </w:tcPr>
          <w:p>
            <w:pPr>
              <w:pStyle w:val="Normal"/>
              <w:rPr/>
            </w:pPr>
            <w:r>
              <w:rPr/>
              <w:t xml:space="preserve">  </w:t>
            </w:r>
          </w:p>
          <w:p>
            <w:pPr>
              <w:pStyle w:val="Normal"/>
              <w:jc w:val="both"/>
              <w:rPr/>
            </w:pPr>
            <w:r>
              <w:rPr/>
              <w:t xml:space="preserve">для повышения степени равномерности распределения защитной карбонатной </w:t>
            </w:r>
          </w:p>
          <w:p>
            <w:pPr>
              <w:pStyle w:val="Normal"/>
              <w:jc w:val="both"/>
              <w:rPr/>
            </w:pPr>
            <w:r>
              <w:rPr/>
            </w:r>
          </w:p>
        </w:tc>
      </w:tr>
    </w:tbl>
    <w:p>
      <w:pPr>
        <w:pStyle w:val="Normal"/>
        <w:ind w:firstLine="225"/>
        <w:jc w:val="both"/>
        <w:rPr/>
      </w:pPr>
      <w:r>
        <w:rPr/>
        <w:t>пленки по длине трубопроводов.</w:t>
      </w:r>
    </w:p>
    <w:p>
      <w:pPr>
        <w:pStyle w:val="Normal"/>
        <w:ind w:firstLine="225"/>
        <w:jc w:val="both"/>
        <w:rPr/>
      </w:pPr>
      <w:r>
        <w:rPr/>
      </w:r>
    </w:p>
    <w:p>
      <w:pPr>
        <w:pStyle w:val="Normal"/>
        <w:ind w:firstLine="225"/>
        <w:jc w:val="both"/>
        <w:rPr/>
      </w:pPr>
      <w:r>
        <w:rPr/>
        <w:t xml:space="preserve">При проектировании систем обработки воды гексаметафосфатом натрия или триполифосфатом натрия (без щелочных реагентов) для борьбы с коррозией стальных и чугунных труб производственных водопроводов следует предусматривать дозы этих реагентов 5-10 мг/л (в расчете   </w:t>
      </w:r>
    </w:p>
    <w:tbl>
      <w:tblPr>
        <w:tblW w:w="8745" w:type="dxa"/>
        <w:jc w:val="start"/>
        <w:tblInd w:w="15" w:type="dxa"/>
        <w:tblBorders/>
        <w:tblCellMar>
          <w:top w:w="0" w:type="dxa"/>
          <w:start w:w="15" w:type="dxa"/>
          <w:bottom w:w="0" w:type="dxa"/>
          <w:end w:w="15" w:type="dxa"/>
        </w:tblCellMar>
      </w:tblPr>
      <w:tblGrid>
        <w:gridCol w:w="345"/>
        <w:gridCol w:w="1110"/>
        <w:gridCol w:w="1515"/>
        <w:gridCol w:w="1215"/>
        <w:gridCol w:w="4560"/>
      </w:tblGrid>
      <w:tr>
        <w:trPr/>
        <w:tc>
          <w:tcPr>
            <w:tcW w:w="345" w:type="dxa"/>
            <w:tcBorders/>
            <w:shd w:fill="auto" w:val="clear"/>
          </w:tcPr>
          <w:p>
            <w:pPr>
              <w:pStyle w:val="Normal"/>
              <w:rPr/>
            </w:pPr>
            <w:r>
              <w:rPr>
                <w:vanish/>
              </w:rPr>
              <w:t>#G0</w:t>
            </w:r>
            <w:r>
              <w:rPr/>
              <w:t xml:space="preserve">     на </w:t>
            </w:r>
          </w:p>
          <w:p>
            <w:pPr>
              <w:pStyle w:val="Normal"/>
              <w:rPr/>
            </w:pPr>
            <w:r>
              <w:rPr/>
            </w:r>
          </w:p>
        </w:tc>
        <w:tc>
          <w:tcPr>
            <w:tcW w:w="1110" w:type="dxa"/>
            <w:tcBorders/>
            <w:shd w:fill="auto" w:val="clear"/>
          </w:tcPr>
          <w:p>
            <w:pPr>
              <w:pStyle w:val="Normal"/>
              <w:rPr/>
            </w:pPr>
            <w:r>
              <w:rPr/>
              <w:t xml:space="preserve">  </w:t>
            </w:r>
          </w:p>
          <w:p>
            <w:pPr>
              <w:pStyle w:val="Normal"/>
              <w:rPr/>
            </w:pPr>
            <w:r>
              <w:rPr/>
              <w:drawing>
                <wp:inline distT="0" distB="0" distL="0" distR="0">
                  <wp:extent cx="391795" cy="184150"/>
                  <wp:effectExtent l="0" t="0" r="0" b="0"/>
                  <wp:docPr id="250" name="Изображение2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Изображение250" descr="" title=""/>
                          <pic:cNvPicPr>
                            <a:picLocks noChangeAspect="1" noChangeArrowheads="1"/>
                          </pic:cNvPicPr>
                        </pic:nvPicPr>
                        <pic:blipFill>
                          <a:blip r:embed="rId251"/>
                          <a:stretch>
                            <a:fillRect/>
                          </a:stretch>
                        </pic:blipFill>
                        <pic:spPr bwMode="auto">
                          <a:xfrm>
                            <a:off x="0" y="0"/>
                            <a:ext cx="391795" cy="184150"/>
                          </a:xfrm>
                          <a:prstGeom prst="rect">
                            <a:avLst/>
                          </a:prstGeom>
                        </pic:spPr>
                      </pic:pic>
                    </a:graphicData>
                  </a:graphic>
                </wp:inline>
              </w:drawing>
            </w:r>
          </w:p>
        </w:tc>
        <w:tc>
          <w:tcPr>
            <w:tcW w:w="7290" w:type="dxa"/>
            <w:gridSpan w:val="3"/>
            <w:tcBorders/>
            <w:shd w:fill="auto" w:val="clear"/>
          </w:tcPr>
          <w:p>
            <w:pPr>
              <w:pStyle w:val="Normal"/>
              <w:rPr/>
            </w:pPr>
            <w:r>
              <w:rPr/>
              <w:t xml:space="preserve">  </w:t>
            </w:r>
          </w:p>
          <w:p>
            <w:pPr>
              <w:pStyle w:val="Normal"/>
              <w:jc w:val="both"/>
              <w:rPr/>
            </w:pPr>
            <w:r>
              <w:rPr/>
              <w:t xml:space="preserve">Для хозяйственно-питьевых водопроводов дозы указанных реагентов не должны </w:t>
            </w:r>
          </w:p>
          <w:p>
            <w:pPr>
              <w:pStyle w:val="Normal"/>
              <w:jc w:val="both"/>
              <w:rPr/>
            </w:pPr>
            <w:r>
              <w:rPr/>
            </w:r>
          </w:p>
        </w:tc>
      </w:tr>
      <w:tr>
        <w:trPr/>
        <w:tc>
          <w:tcPr>
            <w:tcW w:w="1455" w:type="dxa"/>
            <w:gridSpan w:val="2"/>
            <w:tcBorders/>
            <w:shd w:fill="auto" w:val="clear"/>
          </w:tcPr>
          <w:p>
            <w:pPr>
              <w:pStyle w:val="Normal"/>
              <w:rPr/>
            </w:pPr>
            <w:r>
              <w:rPr/>
              <w:t xml:space="preserve">превышать 2,5  </w:t>
            </w:r>
          </w:p>
          <w:p>
            <w:pPr>
              <w:pStyle w:val="Normal"/>
              <w:rPr/>
            </w:pPr>
            <w:r>
              <w:rPr/>
            </w:r>
          </w:p>
        </w:tc>
        <w:tc>
          <w:tcPr>
            <w:tcW w:w="1515" w:type="dxa"/>
            <w:tcBorders/>
            <w:shd w:fill="auto" w:val="clear"/>
          </w:tcPr>
          <w:p>
            <w:pPr>
              <w:pStyle w:val="Normal"/>
              <w:rPr/>
            </w:pPr>
            <w:r>
              <w:rPr/>
              <w:t>мг/л в расчете на</w:t>
            </w:r>
          </w:p>
          <w:p>
            <w:pPr>
              <w:pStyle w:val="Normal"/>
              <w:rPr/>
            </w:pPr>
            <w:r>
              <w:rPr/>
              <w:t xml:space="preserve">          </w:t>
            </w:r>
          </w:p>
          <w:p>
            <w:pPr>
              <w:pStyle w:val="Normal"/>
              <w:rPr/>
            </w:pPr>
            <w:r>
              <w:rPr/>
            </w:r>
          </w:p>
        </w:tc>
        <w:tc>
          <w:tcPr>
            <w:tcW w:w="1215" w:type="dxa"/>
            <w:tcBorders/>
            <w:shd w:fill="auto" w:val="clear"/>
          </w:tcPr>
          <w:p>
            <w:pPr>
              <w:pStyle w:val="Normal"/>
              <w:rPr/>
            </w:pPr>
            <w:r>
              <w:rPr/>
              <w:drawing>
                <wp:inline distT="0" distB="0" distL="0" distR="0">
                  <wp:extent cx="345440" cy="184150"/>
                  <wp:effectExtent l="0" t="0" r="0" b="0"/>
                  <wp:docPr id="251" name="Изображение2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Изображение251" descr="" title=""/>
                          <pic:cNvPicPr>
                            <a:picLocks noChangeAspect="1" noChangeArrowheads="1"/>
                          </pic:cNvPicPr>
                        </pic:nvPicPr>
                        <pic:blipFill>
                          <a:blip r:embed="rId252"/>
                          <a:stretch>
                            <a:fillRect/>
                          </a:stretch>
                        </pic:blipFill>
                        <pic:spPr bwMode="auto">
                          <a:xfrm>
                            <a:off x="0" y="0"/>
                            <a:ext cx="345440" cy="184150"/>
                          </a:xfrm>
                          <a:prstGeom prst="rect">
                            <a:avLst/>
                          </a:prstGeom>
                        </pic:spPr>
                      </pic:pic>
                    </a:graphicData>
                  </a:graphic>
                </wp:inline>
              </w:drawing>
            </w:r>
          </w:p>
        </w:tc>
        <w:tc>
          <w:tcPr>
            <w:tcW w:w="4560" w:type="dxa"/>
            <w:tcBorders/>
            <w:shd w:fill="auto" w:val="clear"/>
            <w:tcMar>
              <w:start w:w="0" w:type="dxa"/>
              <w:end w:w="0" w:type="dxa"/>
            </w:tcMar>
          </w:tcPr>
          <w:p>
            <w:pPr>
              <w:pStyle w:val="Normal"/>
              <w:snapToGrid w:val="false"/>
              <w:rPr/>
            </w:pPr>
            <w:r>
              <w:rPr/>
            </w:r>
          </w:p>
        </w:tc>
      </w:tr>
      <w:tr>
        <w:trPr/>
        <w:tc>
          <w:tcPr>
            <w:tcW w:w="1455" w:type="dxa"/>
            <w:gridSpan w:val="2"/>
            <w:tcBorders/>
            <w:shd w:fill="auto" w:val="clear"/>
          </w:tcPr>
          <w:p>
            <w:pPr>
              <w:pStyle w:val="Normal"/>
              <w:snapToGrid w:val="false"/>
              <w:rPr/>
            </w:pPr>
            <w:r>
              <w:rPr/>
            </w:r>
          </w:p>
          <w:p>
            <w:pPr>
              <w:pStyle w:val="Normal"/>
              <w:rPr/>
            </w:pPr>
            <w:r>
              <w:rPr/>
            </w:r>
          </w:p>
        </w:tc>
        <w:tc>
          <w:tcPr>
            <w:tcW w:w="1515" w:type="dxa"/>
            <w:tcBorders/>
            <w:shd w:fill="auto" w:val="clear"/>
          </w:tcPr>
          <w:p>
            <w:pPr>
              <w:pStyle w:val="Normal"/>
              <w:rPr/>
            </w:pPr>
            <w:r>
              <w:rPr/>
              <w:t xml:space="preserve">  </w:t>
            </w:r>
          </w:p>
          <w:p>
            <w:pPr>
              <w:pStyle w:val="Normal"/>
              <w:rPr/>
            </w:pPr>
            <w:r>
              <w:rPr/>
            </w:r>
          </w:p>
        </w:tc>
        <w:tc>
          <w:tcPr>
            <w:tcW w:w="1215" w:type="dxa"/>
            <w:tcBorders/>
            <w:shd w:fill="auto" w:val="clear"/>
          </w:tcPr>
          <w:p>
            <w:pPr>
              <w:pStyle w:val="Normal"/>
              <w:rPr/>
            </w:pPr>
            <w:r>
              <w:rPr/>
              <w:t xml:space="preserve"> </w:t>
            </w:r>
          </w:p>
          <w:p>
            <w:pPr>
              <w:pStyle w:val="Normal"/>
              <w:rPr/>
            </w:pPr>
            <w:r>
              <w:rPr/>
            </w:r>
          </w:p>
        </w:tc>
        <w:tc>
          <w:tcPr>
            <w:tcW w:w="4560" w:type="dxa"/>
            <w:tcBorders/>
            <w:shd w:fill="auto" w:val="clear"/>
            <w:tcMar>
              <w:start w:w="0" w:type="dxa"/>
              <w:end w:w="0" w:type="dxa"/>
            </w:tcMar>
          </w:tcPr>
          <w:p>
            <w:pPr>
              <w:pStyle w:val="Normal"/>
              <w:snapToGrid w:val="false"/>
              <w:rPr/>
            </w:pPr>
            <w:r>
              <w:rPr/>
            </w:r>
          </w:p>
        </w:tc>
      </w:tr>
    </w:tbl>
    <w:p>
      <w:pPr>
        <w:pStyle w:val="Normal"/>
        <w:ind w:firstLine="225"/>
        <w:jc w:val="both"/>
        <w:rPr/>
      </w:pPr>
      <w:r>
        <w:rPr/>
        <w:t>В случаях обработки воды гексаметафосфатом или триполифосфатом натрия без щелочных реагентов при вводе в эксплуатацию участков новых трубопроводов для снижения интенсивности коррозии следует предусматривать заполнение их на 2-3 сут раствором гексаметафосфата или триполифосфата натрия концентрацией 100 мг/л (в расчете на Р2О5) с последующим сбросом этого раствора и промывкой трубопроводов водой с дозами указанных реагентов (в расчете на Р2О5): 5-10 мг/л - для производственных водопроводов и 2,5 мг/л - для хозяйственно-питьевых водопроводов.</w:t>
      </w:r>
    </w:p>
    <w:p>
      <w:pPr>
        <w:pStyle w:val="Normal"/>
        <w:ind w:firstLine="225"/>
        <w:jc w:val="both"/>
        <w:rPr/>
      </w:pPr>
      <w:r>
        <w:rPr/>
      </w:r>
    </w:p>
    <w:p>
      <w:pPr>
        <w:pStyle w:val="Normal"/>
        <w:ind w:firstLine="225"/>
        <w:jc w:val="both"/>
        <w:rPr/>
      </w:pPr>
      <w:r>
        <w:rPr/>
        <w:t>6. Приготовление растворов гексаметафосфата и триполифосфата натрия для обработки воды должно производиться в растворорасходных баках с антикоррозионной защитой. Концентрацию растворов надлежит принимать от 0,5 до 3 % в расчете на товарные продукты, при этом продолжительность растворения с применением механических мешалок или сжатого воздуха - 4 ч при температуре воды 20 град.С и 2 ч при температуре 50 град.С.</w:t>
      </w:r>
    </w:p>
    <w:p>
      <w:pPr>
        <w:pStyle w:val="Normal"/>
        <w:ind w:firstLine="225"/>
        <w:jc w:val="both"/>
        <w:rPr/>
      </w:pPr>
      <w:r>
        <w:rPr/>
      </w:r>
    </w:p>
    <w:p>
      <w:pPr>
        <w:pStyle w:val="Normal"/>
        <w:ind w:firstLine="225"/>
        <w:jc w:val="both"/>
        <w:rPr/>
      </w:pPr>
      <w:r>
        <w:rPr/>
        <w:t>7. При стабилизационной обработке воды следует предусматривать возможность введения щелочных реагентов в смеситель, перед фильтрами и в фильтрованную воду перед вторичным хлорированием.</w:t>
      </w:r>
    </w:p>
    <w:p>
      <w:pPr>
        <w:pStyle w:val="Normal"/>
        <w:ind w:firstLine="225"/>
        <w:jc w:val="both"/>
        <w:rPr/>
      </w:pPr>
      <w:r>
        <w:rPr/>
      </w:r>
    </w:p>
    <w:p>
      <w:pPr>
        <w:pStyle w:val="Normal"/>
        <w:ind w:firstLine="225"/>
        <w:jc w:val="both"/>
        <w:rPr/>
      </w:pPr>
      <w:r>
        <w:rPr/>
        <w:t>При введении реагента перед фильтрами и в фильтрованную воду должна быть обеспечена высокая степень очистки щелочных реагентов и их растворов. Приготовление известкового молока и раствора соды и их дозирование следует предусматривать согласно пп. 6.34-6.39.</w:t>
      </w:r>
    </w:p>
    <w:p>
      <w:pPr>
        <w:pStyle w:val="Normal"/>
        <w:ind w:firstLine="225"/>
        <w:jc w:val="both"/>
        <w:rPr/>
      </w:pPr>
      <w:r>
        <w:rPr/>
      </w:r>
    </w:p>
    <w:p>
      <w:pPr>
        <w:pStyle w:val="Normal"/>
        <w:ind w:firstLine="225"/>
        <w:jc w:val="both"/>
        <w:rPr/>
      </w:pPr>
      <w:r>
        <w:rPr/>
        <w:t>Введение щелочных реагентов перед смесителями и фильтрами допускается производить в тех случаях, когда это не ухудшает эффекта очистки воды (в частности, снижения цветности).</w:t>
      </w:r>
    </w:p>
    <w:p>
      <w:pPr>
        <w:pStyle w:val="Normal"/>
        <w:ind w:firstLine="225"/>
        <w:jc w:val="both"/>
        <w:rPr/>
      </w:pPr>
      <w:r>
        <w:rPr/>
      </w:r>
    </w:p>
    <w:p>
      <w:pPr>
        <w:pStyle w:val="Normal"/>
        <w:ind w:firstLine="225"/>
        <w:jc w:val="both"/>
        <w:rPr/>
      </w:pPr>
      <w:r>
        <w:rPr/>
        <w:t>8. Для формирования защитной пленки карбоната кальция на внутренней поверхности трубопровода в первый период его эксплуатации надлежит предусматривать возможность увеличения доз щелочных реагентов по сравнению с определяемыми по формулам (6) и (7) в два раза, а в дальнейшем длительно на 10-20 % больше определяемой по тем же формулам.</w:t>
      </w:r>
    </w:p>
    <w:p>
      <w:pPr>
        <w:pStyle w:val="Normal"/>
        <w:ind w:firstLine="225"/>
        <w:jc w:val="both"/>
        <w:rPr/>
      </w:pPr>
      <w:r>
        <w:rPr/>
      </w:r>
    </w:p>
    <w:p>
      <w:pPr>
        <w:pStyle w:val="Normal"/>
        <w:ind w:firstLine="225"/>
        <w:jc w:val="both"/>
        <w:rPr/>
      </w:pPr>
      <w:r>
        <w:rPr/>
        <w:t>9. Уточнение доз щелочных реагентов, а также продолжительности периода формирования защитной карбонатной пленки производится в процессе эксплуатации трубопровода на основе проведения технологических и химических анализов воды, а также наблюдений за индикаторами коррозии. Этими наблюдениями определяется также целесообразность поддержания небольшого пересыщения воды карбонатом кальция после начального периода формирования защитной карбонатной пленки на стенках труб.</w:t>
      </w:r>
    </w:p>
    <w:p>
      <w:pPr>
        <w:pStyle w:val="Normal"/>
        <w:ind w:firstLine="225"/>
        <w:jc w:val="both"/>
        <w:rPr/>
      </w:pPr>
      <w:r>
        <w:rPr/>
      </w:r>
    </w:p>
    <w:p>
      <w:pPr>
        <w:pStyle w:val="Normal"/>
        <w:ind w:firstLine="225"/>
        <w:jc w:val="both"/>
        <w:rPr/>
      </w:pPr>
      <w:r>
        <w:rPr/>
        <w:t>10. При формировании защитной карбонатной пленки в трубопроводах систем хозяйственно-питьевого водоснабжения значение рН обработанной щелочными реагентами воды не должно превышать величины, допускаемой ГОСТ 2874-82.</w:t>
      </w:r>
    </w:p>
    <w:p>
      <w:pPr>
        <w:pStyle w:val="Normal"/>
        <w:ind w:firstLine="225"/>
        <w:jc w:val="both"/>
        <w:rPr/>
      </w:pPr>
      <w:r>
        <w:rPr/>
      </w:r>
    </w:p>
    <w:p>
      <w:pPr>
        <w:pStyle w:val="Normal"/>
        <w:ind w:firstLine="225"/>
        <w:jc w:val="both"/>
        <w:rPr/>
      </w:pPr>
      <w:r>
        <w:rPr/>
        <w:t>11. Проектирование стабилизационной обработки маломинерализованных вод с содержанием кальция менее 20-30 мг/л и щелочностью 1-1,5 мг-экв/л следует производить только на основе предпроектных технологических изысканий. При необходимости повышения концентраций в воде кальция Са2+ и гидрокарбонатов (НСО3) следует предусматривать совместную обработку воды двуокисью углерода (СО2) и известью.</w:t>
      </w:r>
    </w:p>
    <w:p>
      <w:pPr>
        <w:pStyle w:val="Normal"/>
        <w:ind w:firstLine="225"/>
        <w:jc w:val="both"/>
        <w:rPr/>
      </w:pPr>
      <w:r>
        <w:rPr/>
      </w:r>
    </w:p>
    <w:p>
      <w:pPr>
        <w:pStyle w:val="Normal"/>
        <w:ind w:firstLine="225"/>
        <w:jc w:val="both"/>
        <w:rPr/>
      </w:pPr>
      <w:r>
        <w:rPr/>
      </w:r>
    </w:p>
    <w:p>
      <w:pPr>
        <w:pStyle w:val="Normal"/>
        <w:jc w:val="end"/>
        <w:rPr/>
      </w:pPr>
      <w:r>
        <w:rPr/>
        <w:t xml:space="preserve">Приложение 6 </w:t>
      </w:r>
    </w:p>
    <w:p>
      <w:pPr>
        <w:pStyle w:val="Normal"/>
        <w:jc w:val="end"/>
        <w:rPr/>
      </w:pPr>
      <w:r>
        <w:rPr/>
        <w:t xml:space="preserve">Рекомендуемое </w:t>
      </w:r>
    </w:p>
    <w:p>
      <w:pPr>
        <w:pStyle w:val="Normal"/>
        <w:ind w:firstLine="270"/>
        <w:jc w:val="both"/>
        <w:rPr/>
      </w:pPr>
      <w:r>
        <w:rPr/>
      </w:r>
    </w:p>
    <w:p>
      <w:pPr>
        <w:pStyle w:val="Normal"/>
        <w:ind w:firstLine="225"/>
        <w:jc w:val="both"/>
        <w:rPr/>
      </w:pPr>
      <w:r>
        <w:rPr/>
      </w:r>
    </w:p>
    <w:p>
      <w:pPr>
        <w:pStyle w:val="Heading"/>
        <w:jc w:val="center"/>
        <w:rPr/>
      </w:pPr>
      <w:r>
        <w:rPr/>
        <w:t xml:space="preserve">ФТОРИРОВАНИЕ ВОДЫ </w:t>
      </w:r>
    </w:p>
    <w:p>
      <w:pPr>
        <w:pStyle w:val="Normal"/>
        <w:ind w:firstLine="270"/>
        <w:jc w:val="both"/>
        <w:rPr/>
      </w:pPr>
      <w:r>
        <w:rPr/>
      </w:r>
    </w:p>
    <w:p>
      <w:pPr>
        <w:pStyle w:val="Normal"/>
        <w:ind w:firstLine="270"/>
        <w:jc w:val="both"/>
        <w:rPr/>
      </w:pPr>
      <w:r>
        <w:rPr/>
      </w:r>
    </w:p>
    <w:p>
      <w:pPr>
        <w:pStyle w:val="Normal"/>
        <w:ind w:firstLine="225"/>
        <w:jc w:val="both"/>
        <w:rPr/>
      </w:pPr>
      <w:r>
        <w:rPr/>
        <w:t>1. В качестве реагентов для фторирования воды следует применять кремнефтористый натрий, фтористый натрий, кремнефтористый аммоний, кремнефтористоводородную кислоту.</w:t>
      </w:r>
    </w:p>
    <w:p>
      <w:pPr>
        <w:pStyle w:val="Normal"/>
        <w:ind w:firstLine="225"/>
        <w:jc w:val="both"/>
        <w:rPr/>
      </w:pPr>
      <w:r>
        <w:rPr/>
      </w:r>
    </w:p>
    <w:p>
      <w:pPr>
        <w:pStyle w:val="Normal"/>
        <w:ind w:firstLine="225"/>
        <w:jc w:val="both"/>
        <w:rPr/>
      </w:pPr>
      <w:r>
        <w:rPr/>
      </w:r>
    </w:p>
    <w:p>
      <w:pPr>
        <w:pStyle w:val="Normal"/>
        <w:ind w:firstLine="225"/>
        <w:jc w:val="both"/>
        <w:rPr/>
      </w:pPr>
      <w:r>
        <w:rPr/>
        <w:t>Примечание. При обосновании допускается по согласованию с Главным санитарно-эпидемиологическим управлением Минздрава СССР применение других фторсодержащих реагентов.</w:t>
      </w:r>
    </w:p>
    <w:p>
      <w:pPr>
        <w:pStyle w:val="Normal"/>
        <w:ind w:firstLine="225"/>
        <w:jc w:val="both"/>
        <w:rPr/>
      </w:pPr>
      <w:r>
        <w:rPr/>
      </w:r>
    </w:p>
    <w:p>
      <w:pPr>
        <w:pStyle w:val="Normal"/>
        <w:ind w:firstLine="225"/>
        <w:jc w:val="both"/>
        <w:rPr/>
      </w:pPr>
      <w:r>
        <w:rPr/>
      </w:r>
    </w:p>
    <w:p>
      <w:pPr>
        <w:pStyle w:val="Normal"/>
        <w:ind w:firstLine="225"/>
        <w:jc w:val="both"/>
        <w:rPr/>
      </w:pPr>
      <w:r>
        <w:rPr/>
        <w:t>2. Дозу реагентов Д(ф), г/куб.м надлежит определять по формуле</w:t>
      </w:r>
    </w:p>
    <w:p>
      <w:pPr>
        <w:pStyle w:val="Normal"/>
        <w:ind w:firstLine="225"/>
        <w:jc w:val="both"/>
        <w:rPr/>
      </w:pPr>
      <w:r>
        <w:rPr/>
      </w:r>
    </w:p>
    <w:p>
      <w:pPr>
        <w:pStyle w:val="Normal"/>
        <w:ind w:firstLine="1395"/>
        <w:jc w:val="both"/>
        <w:rPr/>
      </w:pPr>
      <w:r>
        <w:rPr/>
      </w:r>
    </w:p>
    <w:tbl>
      <w:tblPr>
        <w:tblW w:w="3945" w:type="dxa"/>
        <w:jc w:val="start"/>
        <w:tblInd w:w="165" w:type="dxa"/>
        <w:tblBorders/>
        <w:tblCellMar>
          <w:top w:w="0" w:type="dxa"/>
          <w:start w:w="15" w:type="dxa"/>
          <w:bottom w:w="0" w:type="dxa"/>
          <w:end w:w="15" w:type="dxa"/>
        </w:tblCellMar>
      </w:tblPr>
      <w:tblGrid>
        <w:gridCol w:w="2400"/>
        <w:gridCol w:w="1545"/>
      </w:tblGrid>
      <w:tr>
        <w:trPr/>
        <w:tc>
          <w:tcPr>
            <w:tcW w:w="2400" w:type="dxa"/>
            <w:tcBorders/>
            <w:shd w:fill="auto" w:val="clear"/>
          </w:tcPr>
          <w:p>
            <w:pPr>
              <w:pStyle w:val="Normal"/>
              <w:rPr/>
            </w:pPr>
            <w:r>
              <w:rPr>
                <w:vanish/>
              </w:rPr>
              <w:t>#G0</w:t>
            </w:r>
            <w:r>
              <w:rPr/>
              <w:t xml:space="preserve">  </w:t>
            </w:r>
          </w:p>
          <w:p>
            <w:pPr>
              <w:pStyle w:val="Normal"/>
              <w:rPr/>
            </w:pPr>
            <w:r>
              <w:rPr/>
              <w:drawing>
                <wp:inline distT="0" distB="0" distL="0" distR="0">
                  <wp:extent cx="1981200" cy="311150"/>
                  <wp:effectExtent l="0" t="0" r="0" b="0"/>
                  <wp:docPr id="252" name="Изображение2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Изображение252" descr="" title=""/>
                          <pic:cNvPicPr>
                            <a:picLocks noChangeAspect="1" noChangeArrowheads="1"/>
                          </pic:cNvPicPr>
                        </pic:nvPicPr>
                        <pic:blipFill>
                          <a:blip r:embed="rId253"/>
                          <a:stretch>
                            <a:fillRect/>
                          </a:stretch>
                        </pic:blipFill>
                        <pic:spPr bwMode="auto">
                          <a:xfrm>
                            <a:off x="0" y="0"/>
                            <a:ext cx="1981200" cy="311150"/>
                          </a:xfrm>
                          <a:prstGeom prst="rect">
                            <a:avLst/>
                          </a:prstGeom>
                        </pic:spPr>
                      </pic:pic>
                    </a:graphicData>
                  </a:graphic>
                </wp:inline>
              </w:drawing>
            </w:r>
          </w:p>
        </w:tc>
        <w:tc>
          <w:tcPr>
            <w:tcW w:w="1545" w:type="dxa"/>
            <w:tcBorders/>
            <w:shd w:fill="auto" w:val="clear"/>
          </w:tcPr>
          <w:p>
            <w:pPr>
              <w:pStyle w:val="Normal"/>
              <w:snapToGrid w:val="false"/>
              <w:rPr/>
            </w:pPr>
            <w:r>
              <w:rPr/>
            </w:r>
          </w:p>
          <w:p>
            <w:pPr>
              <w:pStyle w:val="Normal"/>
              <w:rPr/>
            </w:pPr>
            <w:r>
              <w:rPr/>
              <w:t xml:space="preserve">             </w:t>
            </w:r>
            <w:r>
              <w:rPr/>
              <w:t>(1)</w:t>
            </w:r>
          </w:p>
          <w:p>
            <w:pPr>
              <w:pStyle w:val="Normal"/>
              <w:rPr/>
            </w:pPr>
            <w:r>
              <w:rPr/>
            </w:r>
          </w:p>
        </w:tc>
      </w:tr>
    </w:tbl>
    <w:p>
      <w:pPr>
        <w:pStyle w:val="Normal"/>
        <w:ind w:firstLine="270"/>
        <w:jc w:val="both"/>
        <w:rPr/>
      </w:pPr>
      <w:r>
        <w:rPr/>
        <w:tab/>
        <w:tab/>
      </w:r>
    </w:p>
    <w:p>
      <w:pPr>
        <w:pStyle w:val="Normal"/>
        <w:ind w:firstLine="270"/>
        <w:jc w:val="both"/>
        <w:rPr/>
      </w:pPr>
      <w:r>
        <w:rPr/>
      </w:r>
    </w:p>
    <w:p>
      <w:pPr>
        <w:pStyle w:val="Normal"/>
        <w:ind w:firstLine="270"/>
        <w:jc w:val="both"/>
        <w:rPr/>
      </w:pPr>
      <w:r>
        <w:rPr/>
        <w:t>где m(ф) - коэффициент, зависящий от места ввода реагента в обрабатываемую воду, принимаемый при вводе в чистую воду - 1, при вводе перед фильтрами при двухступенчатой очистке воды - 1,1;</w:t>
      </w:r>
    </w:p>
    <w:p>
      <w:pPr>
        <w:pStyle w:val="Normal"/>
        <w:ind w:firstLine="135"/>
        <w:jc w:val="both"/>
        <w:rPr/>
      </w:pPr>
      <w:r>
        <w:rPr/>
      </w:r>
    </w:p>
    <w:p>
      <w:pPr>
        <w:pStyle w:val="Normal"/>
        <w:ind w:firstLine="360"/>
        <w:jc w:val="both"/>
        <w:rPr/>
      </w:pPr>
      <w:r>
        <w:rPr/>
        <w:t xml:space="preserve">а(ф) -  необходимое содержание фтора в обрабатываемой воде в зависимости от климатического района расположения населенного пункта, устанавливаемое органами санитарно-эпидемиологической службы, г/куб.м; </w:t>
      </w:r>
    </w:p>
    <w:p>
      <w:pPr>
        <w:pStyle w:val="Normal"/>
        <w:ind w:firstLine="360"/>
        <w:jc w:val="both"/>
        <w:rPr/>
      </w:pPr>
      <w:r>
        <w:rPr/>
      </w:r>
    </w:p>
    <w:p>
      <w:pPr>
        <w:pStyle w:val="Normal"/>
        <w:ind w:firstLine="225"/>
        <w:jc w:val="both"/>
        <w:rPr/>
      </w:pPr>
      <w:r>
        <w:rPr/>
        <w:t>Ф - содержание фтора в исходной воде, г/куб.м.</w:t>
      </w:r>
    </w:p>
    <w:p>
      <w:pPr>
        <w:pStyle w:val="Normal"/>
        <w:ind w:firstLine="225"/>
        <w:jc w:val="both"/>
        <w:rPr/>
      </w:pPr>
      <w:r>
        <w:rPr/>
      </w:r>
    </w:p>
    <w:p>
      <w:pPr>
        <w:pStyle w:val="Normal"/>
        <w:ind w:firstLine="225"/>
        <w:jc w:val="both"/>
        <w:rPr/>
      </w:pPr>
      <w:r>
        <w:rPr/>
        <w:t xml:space="preserve">К(ф) - содержание фтора в чистом реагенте, %, принимаемое для натрия кремнефтористого - 61, для натрия фтористого - 45, для аммония кремнефтористого - 64, для кислоты кремнефтористоводородной - 79; </w:t>
      </w:r>
    </w:p>
    <w:p>
      <w:pPr>
        <w:pStyle w:val="Normal"/>
        <w:ind w:firstLine="225"/>
        <w:jc w:val="both"/>
        <w:rPr/>
      </w:pPr>
      <w:r>
        <w:rPr/>
      </w:r>
    </w:p>
    <w:p>
      <w:pPr>
        <w:pStyle w:val="Normal"/>
        <w:ind w:firstLine="225"/>
        <w:jc w:val="both"/>
        <w:rPr/>
      </w:pPr>
      <w:r>
        <w:rPr/>
        <w:t>С(ф)  содержание чистого реагента в товарном продукте, %.</w:t>
      </w:r>
    </w:p>
    <w:p>
      <w:pPr>
        <w:pStyle w:val="Normal"/>
        <w:ind w:firstLine="225"/>
        <w:jc w:val="both"/>
        <w:rPr/>
      </w:pPr>
      <w:r>
        <w:rPr/>
      </w:r>
    </w:p>
    <w:p>
      <w:pPr>
        <w:pStyle w:val="Normal"/>
        <w:ind w:firstLine="225"/>
        <w:jc w:val="both"/>
        <w:rPr/>
      </w:pPr>
      <w:r>
        <w:rPr/>
        <w:t>3. Ввод фторсодержащих реагентов надлежит предусматривать, как правило, в чистую воду перед ее обеззараживанием. Допускается введение фторсодержащих реагентов перед фильтрами при двухступенчатой очистке воды.</w:t>
      </w:r>
    </w:p>
    <w:p>
      <w:pPr>
        <w:pStyle w:val="Normal"/>
        <w:ind w:firstLine="225"/>
        <w:jc w:val="both"/>
        <w:rPr/>
      </w:pPr>
      <w:r>
        <w:rPr/>
      </w:r>
    </w:p>
    <w:p>
      <w:pPr>
        <w:pStyle w:val="Normal"/>
        <w:ind w:firstLine="225"/>
        <w:jc w:val="both"/>
        <w:rPr/>
      </w:pPr>
      <w:r>
        <w:rPr/>
        <w:t>4. При использовании кремнефтористого натрия следует принимать технологические схемы с приготовлением ненасыщенного раствора реагента в расходных баках или насыщенного раствора реагента в сатураторах одинарного насыщения.</w:t>
      </w:r>
    </w:p>
    <w:p>
      <w:pPr>
        <w:pStyle w:val="Normal"/>
        <w:ind w:firstLine="225"/>
        <w:jc w:val="both"/>
        <w:rPr/>
      </w:pPr>
      <w:r>
        <w:rPr/>
      </w:r>
    </w:p>
    <w:p>
      <w:pPr>
        <w:pStyle w:val="Normal"/>
        <w:ind w:firstLine="225"/>
        <w:jc w:val="both"/>
        <w:rPr/>
      </w:pPr>
      <w:r>
        <w:rPr/>
        <w:t>При применении фтористого натрия, кремнефтористого аммония и кремнефтористоводородной кислоты следует принимать технологические схемы с приготовлением ненасыщенного раствора в расходных баках.</w:t>
      </w:r>
    </w:p>
    <w:p>
      <w:pPr>
        <w:pStyle w:val="Normal"/>
        <w:ind w:firstLine="225"/>
        <w:jc w:val="both"/>
        <w:rPr/>
      </w:pPr>
      <w:r>
        <w:rPr/>
      </w:r>
    </w:p>
    <w:p>
      <w:pPr>
        <w:pStyle w:val="Normal"/>
        <w:ind w:firstLine="225"/>
        <w:jc w:val="both"/>
        <w:rPr/>
      </w:pPr>
      <w:r>
        <w:rPr/>
        <w:t>Для порошкообразных реагентов допускается применение схем с сухим дозированием реагентов.</w:t>
      </w:r>
    </w:p>
    <w:p>
      <w:pPr>
        <w:pStyle w:val="Normal"/>
        <w:ind w:firstLine="225"/>
        <w:jc w:val="both"/>
        <w:rPr/>
      </w:pPr>
      <w:r>
        <w:rPr/>
      </w:r>
    </w:p>
    <w:p>
      <w:pPr>
        <w:pStyle w:val="Normal"/>
        <w:ind w:firstLine="225"/>
        <w:jc w:val="both"/>
        <w:rPr/>
      </w:pPr>
      <w:r>
        <w:rPr/>
        <w:t>5. Производительность сатуратора q(с), л/ч (по насыщенному раствору реагента), следует определять по формуле</w:t>
      </w:r>
    </w:p>
    <w:p>
      <w:pPr>
        <w:pStyle w:val="Normal"/>
        <w:ind w:firstLine="225"/>
        <w:jc w:val="both"/>
        <w:rPr/>
      </w:pPr>
      <w:r>
        <w:rPr/>
      </w:r>
    </w:p>
    <w:p>
      <w:pPr>
        <w:pStyle w:val="Normal"/>
        <w:ind w:firstLine="225"/>
        <w:jc w:val="both"/>
        <w:rPr/>
      </w:pPr>
      <w:r>
        <w:rPr/>
      </w:r>
    </w:p>
    <w:tbl>
      <w:tblPr>
        <w:tblW w:w="4065" w:type="dxa"/>
        <w:jc w:val="start"/>
        <w:tblInd w:w="165" w:type="dxa"/>
        <w:tblBorders/>
        <w:tblCellMar>
          <w:top w:w="0" w:type="dxa"/>
          <w:start w:w="15" w:type="dxa"/>
          <w:bottom w:w="0" w:type="dxa"/>
          <w:end w:w="15" w:type="dxa"/>
        </w:tblCellMar>
      </w:tblPr>
      <w:tblGrid>
        <w:gridCol w:w="1635"/>
        <w:gridCol w:w="2430"/>
      </w:tblGrid>
      <w:tr>
        <w:trPr/>
        <w:tc>
          <w:tcPr>
            <w:tcW w:w="1635" w:type="dxa"/>
            <w:tcBorders/>
            <w:shd w:fill="auto" w:val="clear"/>
          </w:tcPr>
          <w:p>
            <w:pPr>
              <w:pStyle w:val="Normal"/>
              <w:rPr/>
            </w:pPr>
            <w:r>
              <w:rPr>
                <w:vanish/>
              </w:rPr>
              <w:t>#G0</w:t>
            </w:r>
            <w:r>
              <w:rPr/>
              <w:t xml:space="preserve">  </w:t>
            </w:r>
          </w:p>
          <w:p>
            <w:pPr>
              <w:pStyle w:val="Normal"/>
              <w:rPr/>
            </w:pPr>
            <w:r>
              <w:rPr/>
              <w:drawing>
                <wp:inline distT="0" distB="0" distL="0" distR="0">
                  <wp:extent cx="1174750" cy="288290"/>
                  <wp:effectExtent l="0" t="0" r="0" b="0"/>
                  <wp:docPr id="253" name="Изображение2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Изображение253" descr="" title=""/>
                          <pic:cNvPicPr>
                            <a:picLocks noChangeAspect="1" noChangeArrowheads="1"/>
                          </pic:cNvPicPr>
                        </pic:nvPicPr>
                        <pic:blipFill>
                          <a:blip r:embed="rId254"/>
                          <a:stretch>
                            <a:fillRect/>
                          </a:stretch>
                        </pic:blipFill>
                        <pic:spPr bwMode="auto">
                          <a:xfrm>
                            <a:off x="0" y="0"/>
                            <a:ext cx="1174750" cy="288290"/>
                          </a:xfrm>
                          <a:prstGeom prst="rect">
                            <a:avLst/>
                          </a:prstGeom>
                        </pic:spPr>
                      </pic:pic>
                    </a:graphicData>
                  </a:graphic>
                </wp:inline>
              </w:drawing>
            </w:r>
          </w:p>
        </w:tc>
        <w:tc>
          <w:tcPr>
            <w:tcW w:w="2430" w:type="dxa"/>
            <w:tcBorders/>
            <w:shd w:fill="auto" w:val="clear"/>
          </w:tcPr>
          <w:p>
            <w:pPr>
              <w:pStyle w:val="Normal"/>
              <w:snapToGrid w:val="false"/>
              <w:rPr/>
            </w:pPr>
            <w:r>
              <w:rPr/>
            </w:r>
          </w:p>
          <w:p>
            <w:pPr>
              <w:pStyle w:val="Normal"/>
              <w:rPr/>
            </w:pPr>
            <w:r>
              <w:rPr/>
              <w:t xml:space="preserve">                       </w:t>
            </w:r>
            <w:r>
              <w:rPr/>
              <w:t>(2)</w:t>
            </w:r>
          </w:p>
          <w:p>
            <w:pPr>
              <w:pStyle w:val="Normal"/>
              <w:rPr/>
            </w:pPr>
            <w:r>
              <w:rPr/>
            </w:r>
          </w:p>
        </w:tc>
      </w:tr>
    </w:tbl>
    <w:p>
      <w:pPr>
        <w:pStyle w:val="Normal"/>
        <w:ind w:firstLine="1395"/>
        <w:jc w:val="both"/>
        <w:rPr/>
      </w:pPr>
      <w:r>
        <w:rPr/>
      </w:r>
    </w:p>
    <w:p>
      <w:pPr>
        <w:pStyle w:val="Normal"/>
        <w:ind w:firstLine="540"/>
        <w:jc w:val="both"/>
        <w:rPr/>
      </w:pPr>
      <w:r>
        <w:rPr/>
        <w:tab/>
        <w:tab/>
      </w:r>
    </w:p>
    <w:p>
      <w:pPr>
        <w:pStyle w:val="Normal"/>
        <w:ind w:firstLine="270"/>
        <w:jc w:val="both"/>
        <w:rPr/>
      </w:pPr>
      <w:r>
        <w:rPr/>
      </w:r>
    </w:p>
    <w:p>
      <w:pPr>
        <w:pStyle w:val="Normal"/>
        <w:ind w:firstLine="270"/>
        <w:jc w:val="both"/>
        <w:rPr/>
      </w:pPr>
      <w:r>
        <w:rPr/>
        <w:t xml:space="preserve">где q(с) - расход обрабатываемой воды, куб.м/ч; </w:t>
      </w:r>
    </w:p>
    <w:p>
      <w:pPr>
        <w:pStyle w:val="Normal"/>
        <w:ind w:firstLine="180"/>
        <w:jc w:val="both"/>
        <w:rPr/>
      </w:pPr>
      <w:r>
        <w:rPr/>
      </w:r>
    </w:p>
    <w:p>
      <w:pPr>
        <w:pStyle w:val="Normal"/>
        <w:ind w:firstLine="315"/>
        <w:jc w:val="both"/>
        <w:rPr/>
      </w:pPr>
      <w:r>
        <w:rPr/>
        <w:t xml:space="preserve">n(с) -  количество сатураторов; </w:t>
      </w:r>
    </w:p>
    <w:p>
      <w:pPr>
        <w:pStyle w:val="Normal"/>
        <w:ind w:firstLine="315"/>
        <w:jc w:val="both"/>
        <w:rPr/>
      </w:pPr>
      <w:r>
        <w:rPr/>
      </w:r>
    </w:p>
    <w:p>
      <w:pPr>
        <w:pStyle w:val="Normal"/>
        <w:ind w:firstLine="270"/>
        <w:jc w:val="both"/>
        <w:rPr/>
      </w:pPr>
      <w:r>
        <w:rPr/>
        <w:t>Р(ф) -  растворимость кремнефтористого натрия, г/л, составляющая при температуре 0 град.С   - 4,3; 20 град.С  - 7,3; 40 град.С - 10,3.</w:t>
      </w:r>
    </w:p>
    <w:p>
      <w:pPr>
        <w:pStyle w:val="Normal"/>
        <w:ind w:firstLine="270"/>
        <w:jc w:val="both"/>
        <w:rPr/>
      </w:pPr>
      <w:r>
        <w:rPr/>
      </w:r>
    </w:p>
    <w:p>
      <w:pPr>
        <w:pStyle w:val="Normal"/>
        <w:ind w:firstLine="225"/>
        <w:jc w:val="both"/>
        <w:rPr/>
      </w:pPr>
      <w:r>
        <w:rPr/>
        <w:t>При определении объема сатураторов время пребывания в них раствора следует принимать не менее 5 ч, скорость восходящего потока воды в сатураторе - не более 0,1 м/с.</w:t>
      </w:r>
    </w:p>
    <w:p>
      <w:pPr>
        <w:pStyle w:val="Normal"/>
        <w:ind w:firstLine="225"/>
        <w:jc w:val="both"/>
        <w:rPr/>
      </w:pPr>
      <w:r>
        <w:rPr/>
      </w:r>
    </w:p>
    <w:p>
      <w:pPr>
        <w:pStyle w:val="Normal"/>
        <w:ind w:firstLine="225"/>
        <w:jc w:val="both"/>
        <w:rPr/>
      </w:pPr>
      <w:r>
        <w:rPr/>
        <w:t>6. Концентрацию раствора реагента при приготовлении ненасыщенных растворов в расходных баках следует принимать: для кремнефтористого натрия - 0,25 % при температуре раствора 0 град.С и до 0,5% при 25 град.С; фтористого натрия - 2,5 % при 0 град.С; кремнефтористого аммония - 7 % при 0 град.С; кремнефтористоводородной кислоты - 5 % при 0 град.С.</w:t>
      </w:r>
    </w:p>
    <w:p>
      <w:pPr>
        <w:pStyle w:val="Normal"/>
        <w:ind w:firstLine="225"/>
        <w:jc w:val="both"/>
        <w:rPr/>
      </w:pPr>
      <w:r>
        <w:rPr/>
      </w:r>
    </w:p>
    <w:p>
      <w:pPr>
        <w:pStyle w:val="Normal"/>
        <w:ind w:firstLine="225"/>
        <w:jc w:val="both"/>
        <w:rPr/>
      </w:pPr>
      <w:r>
        <w:rPr/>
        <w:t>Перемешивание раствора следует производить с помощью механических мешалок или воздуха.</w:t>
      </w:r>
    </w:p>
    <w:p>
      <w:pPr>
        <w:pStyle w:val="Normal"/>
        <w:ind w:firstLine="225"/>
        <w:jc w:val="both"/>
        <w:rPr/>
      </w:pPr>
      <w:r>
        <w:rPr/>
      </w:r>
    </w:p>
    <w:p>
      <w:pPr>
        <w:pStyle w:val="Normal"/>
        <w:ind w:firstLine="225"/>
        <w:jc w:val="both"/>
        <w:rPr/>
      </w:pPr>
      <w:r>
        <w:rPr/>
        <w:t>Интенсивность подачи воздуха надлежит принимать 8-10 л/(с·кв.м).</w:t>
      </w:r>
    </w:p>
    <w:p>
      <w:pPr>
        <w:pStyle w:val="Normal"/>
        <w:ind w:firstLine="225"/>
        <w:jc w:val="both"/>
        <w:rPr/>
      </w:pPr>
      <w:r>
        <w:rPr/>
      </w:r>
    </w:p>
    <w:p>
      <w:pPr>
        <w:pStyle w:val="Normal"/>
        <w:ind w:firstLine="225"/>
        <w:jc w:val="both"/>
        <w:rPr/>
      </w:pPr>
      <w:r>
        <w:rPr/>
        <w:t>7. Растворы фторсодержащих реагентов должны быть перед использованием отстоены в течение 2 ч.</w:t>
      </w:r>
    </w:p>
    <w:p>
      <w:pPr>
        <w:pStyle w:val="Normal"/>
        <w:ind w:firstLine="225"/>
        <w:jc w:val="both"/>
        <w:rPr/>
      </w:pPr>
      <w:r>
        <w:rPr/>
      </w:r>
    </w:p>
    <w:p>
      <w:pPr>
        <w:pStyle w:val="Normal"/>
        <w:ind w:firstLine="225"/>
        <w:jc w:val="both"/>
        <w:rPr/>
      </w:pPr>
      <w:r>
        <w:rPr/>
        <w:t>8. При применении схемы с использованием дозаторов сухого реагента необходимо предусматривать специальную камеру для смешения с водой и растворения отдозированного реагента.</w:t>
      </w:r>
    </w:p>
    <w:p>
      <w:pPr>
        <w:pStyle w:val="Normal"/>
        <w:ind w:firstLine="225"/>
        <w:jc w:val="both"/>
        <w:rPr/>
      </w:pPr>
      <w:r>
        <w:rPr/>
      </w:r>
    </w:p>
    <w:p>
      <w:pPr>
        <w:pStyle w:val="Normal"/>
        <w:ind w:firstLine="225"/>
        <w:jc w:val="both"/>
        <w:rPr/>
      </w:pPr>
      <w:r>
        <w:rPr/>
        <w:t>Перемешивание раствора в камере следует предусматривать с помощью гидравлических или механических устройств. При этом концентрацию раствора в камере рекомендуется принимать до 25 % растворимости реагента при данной температуре, а минимальное время пребывания раствора в камере 7 мин.</w:t>
      </w:r>
    </w:p>
    <w:p>
      <w:pPr>
        <w:pStyle w:val="Normal"/>
        <w:ind w:firstLine="225"/>
        <w:jc w:val="both"/>
        <w:rPr/>
      </w:pPr>
      <w:r>
        <w:rPr/>
      </w:r>
    </w:p>
    <w:p>
      <w:pPr>
        <w:pStyle w:val="Normal"/>
        <w:ind w:firstLine="225"/>
        <w:jc w:val="both"/>
        <w:rPr/>
      </w:pPr>
      <w:r>
        <w:rPr/>
        <w:t>9. При применении в качестве реагента кремнефтористого натрия, кремнефтористого аммония и кремнефтористоводородной кислоты следует предусматривать мероприятия против коррозии баков, трубопроводов и дозаторов.</w:t>
      </w:r>
    </w:p>
    <w:p>
      <w:pPr>
        <w:pStyle w:val="Normal"/>
        <w:ind w:firstLine="225"/>
        <w:jc w:val="both"/>
        <w:rPr/>
      </w:pPr>
      <w:r>
        <w:rPr/>
      </w:r>
    </w:p>
    <w:p>
      <w:pPr>
        <w:pStyle w:val="Normal"/>
        <w:ind w:firstLine="225"/>
        <w:jc w:val="both"/>
        <w:rPr/>
      </w:pPr>
      <w:r>
        <w:rPr/>
        <w:t>10. Фторсодержащие реагенты следует хранить на складе в заводской таре.</w:t>
      </w:r>
    </w:p>
    <w:p>
      <w:pPr>
        <w:pStyle w:val="Normal"/>
        <w:ind w:firstLine="225"/>
        <w:jc w:val="both"/>
        <w:rPr/>
      </w:pPr>
      <w:r>
        <w:rPr/>
      </w:r>
    </w:p>
    <w:p>
      <w:pPr>
        <w:pStyle w:val="Normal"/>
        <w:ind w:firstLine="225"/>
        <w:jc w:val="both"/>
        <w:rPr/>
      </w:pPr>
      <w:r>
        <w:rPr/>
        <w:t>Кремнефтористоводородную кислоту следует хранить в баках с выполнением мероприятий, предотвращающих ее замерзание.</w:t>
      </w:r>
    </w:p>
    <w:p>
      <w:pPr>
        <w:pStyle w:val="Normal"/>
        <w:ind w:firstLine="225"/>
        <w:jc w:val="both"/>
        <w:rPr/>
      </w:pPr>
      <w:r>
        <w:rPr/>
      </w:r>
    </w:p>
    <w:p>
      <w:pPr>
        <w:pStyle w:val="Normal"/>
        <w:ind w:firstLine="225"/>
        <w:jc w:val="both"/>
        <w:rPr/>
      </w:pPr>
      <w:r>
        <w:rPr/>
        <w:t>11. Помещение фтораторной установки и склада фторсодержащих реагентов должно быть изолировано от других производственных помещений.</w:t>
      </w:r>
    </w:p>
    <w:p>
      <w:pPr>
        <w:pStyle w:val="Normal"/>
        <w:ind w:firstLine="225"/>
        <w:jc w:val="both"/>
        <w:rPr/>
      </w:pPr>
      <w:r>
        <w:rPr/>
      </w:r>
    </w:p>
    <w:p>
      <w:pPr>
        <w:pStyle w:val="Normal"/>
        <w:ind w:firstLine="225"/>
        <w:jc w:val="both"/>
        <w:rPr/>
      </w:pPr>
      <w:r>
        <w:rPr/>
        <w:t>Места возможного выделения пыли должны быть оборудованы местными отсосами воздуха, а растаривание кремнефтористого натрия и фтористого натрия должно производиться под защитой шкафного укрытия.</w:t>
      </w:r>
    </w:p>
    <w:p>
      <w:pPr>
        <w:pStyle w:val="Normal"/>
        <w:ind w:firstLine="225"/>
        <w:jc w:val="both"/>
        <w:rPr/>
      </w:pPr>
      <w:r>
        <w:rPr/>
      </w:r>
    </w:p>
    <w:p>
      <w:pPr>
        <w:pStyle w:val="Normal"/>
        <w:ind w:firstLine="225"/>
        <w:jc w:val="both"/>
        <w:rPr/>
      </w:pPr>
      <w:r>
        <w:rPr/>
        <w:t>12. При применении фторсодержащих реагентов, учитывая их токсичность, необходимо предусматривать общие и индивидуальные мероприятия по защите обслуживающего персонала.</w:t>
      </w:r>
    </w:p>
    <w:p>
      <w:pPr>
        <w:pStyle w:val="Normal"/>
        <w:ind w:firstLine="225"/>
        <w:jc w:val="both"/>
        <w:rPr/>
      </w:pPr>
      <w:r>
        <w:rPr/>
      </w:r>
    </w:p>
    <w:p>
      <w:pPr>
        <w:pStyle w:val="Normal"/>
        <w:ind w:firstLine="225"/>
        <w:jc w:val="both"/>
        <w:rPr/>
      </w:pPr>
      <w:r>
        <w:rPr/>
      </w:r>
    </w:p>
    <w:p>
      <w:pPr>
        <w:pStyle w:val="Normal"/>
        <w:jc w:val="end"/>
        <w:rPr/>
      </w:pPr>
      <w:r>
        <w:rPr/>
        <w:t xml:space="preserve">Приложение 7 </w:t>
      </w:r>
    </w:p>
    <w:p>
      <w:pPr>
        <w:pStyle w:val="Normal"/>
        <w:jc w:val="end"/>
        <w:rPr/>
      </w:pPr>
      <w:r>
        <w:rPr/>
        <w:t xml:space="preserve">Рекомендуемое </w:t>
      </w:r>
    </w:p>
    <w:p>
      <w:pPr>
        <w:pStyle w:val="Normal"/>
        <w:ind w:firstLine="270"/>
        <w:jc w:val="both"/>
        <w:rPr/>
      </w:pPr>
      <w:r>
        <w:rPr/>
      </w:r>
    </w:p>
    <w:p>
      <w:pPr>
        <w:pStyle w:val="Normal"/>
        <w:ind w:firstLine="225"/>
        <w:jc w:val="both"/>
        <w:rPr/>
      </w:pPr>
      <w:r>
        <w:rPr/>
      </w:r>
    </w:p>
    <w:p>
      <w:pPr>
        <w:pStyle w:val="Heading"/>
        <w:jc w:val="center"/>
        <w:rPr/>
      </w:pPr>
      <w:r>
        <w:rPr/>
        <w:t xml:space="preserve">УМЯГЧЕНИЕ ВОДЫ </w:t>
      </w:r>
    </w:p>
    <w:p>
      <w:pPr>
        <w:pStyle w:val="Normal"/>
        <w:ind w:firstLine="270"/>
        <w:jc w:val="both"/>
        <w:rPr/>
      </w:pPr>
      <w:r>
        <w:rPr/>
      </w:r>
    </w:p>
    <w:p>
      <w:pPr>
        <w:pStyle w:val="Normal"/>
        <w:ind w:firstLine="270"/>
        <w:jc w:val="both"/>
        <w:rPr/>
      </w:pPr>
      <w:r>
        <w:rPr/>
      </w:r>
    </w:p>
    <w:p>
      <w:pPr>
        <w:pStyle w:val="Normal"/>
        <w:ind w:firstLine="225"/>
        <w:jc w:val="both"/>
        <w:rPr/>
      </w:pPr>
      <w:r>
        <w:rPr/>
        <w:t>1. Количество воды, подлежащей умягчению, q(у), выраженное в процентах общего количества воды, следует определять по формуле</w:t>
      </w:r>
    </w:p>
    <w:p>
      <w:pPr>
        <w:pStyle w:val="Normal"/>
        <w:ind w:firstLine="225"/>
        <w:jc w:val="both"/>
        <w:rPr/>
      </w:pPr>
      <w:r>
        <w:rPr/>
      </w:r>
    </w:p>
    <w:p>
      <w:pPr>
        <w:pStyle w:val="Normal"/>
        <w:ind w:firstLine="225"/>
        <w:jc w:val="both"/>
        <w:rPr/>
      </w:pPr>
      <w:r>
        <w:rPr/>
      </w:r>
    </w:p>
    <w:tbl>
      <w:tblPr>
        <w:tblW w:w="5145" w:type="dxa"/>
        <w:jc w:val="start"/>
        <w:tblInd w:w="165" w:type="dxa"/>
        <w:tblBorders/>
        <w:tblCellMar>
          <w:top w:w="0" w:type="dxa"/>
          <w:start w:w="15" w:type="dxa"/>
          <w:bottom w:w="0" w:type="dxa"/>
          <w:end w:w="15" w:type="dxa"/>
        </w:tblCellMar>
      </w:tblPr>
      <w:tblGrid>
        <w:gridCol w:w="3450"/>
        <w:gridCol w:w="1695"/>
      </w:tblGrid>
      <w:tr>
        <w:trPr/>
        <w:tc>
          <w:tcPr>
            <w:tcW w:w="3450" w:type="dxa"/>
            <w:tcBorders/>
            <w:shd w:fill="auto" w:val="clear"/>
          </w:tcPr>
          <w:p>
            <w:pPr>
              <w:pStyle w:val="Normal"/>
              <w:rPr/>
            </w:pPr>
            <w:r>
              <w:rPr>
                <w:vanish/>
              </w:rPr>
              <w:t>#G0</w:t>
            </w:r>
            <w:r>
              <w:rPr/>
              <w:t xml:space="preserve">  </w:t>
            </w:r>
          </w:p>
          <w:p>
            <w:pPr>
              <w:pStyle w:val="Normal"/>
              <w:rPr/>
            </w:pPr>
            <w:r>
              <w:rPr/>
              <w:drawing>
                <wp:inline distT="0" distB="0" distL="0" distR="0">
                  <wp:extent cx="2522855" cy="311150"/>
                  <wp:effectExtent l="0" t="0" r="0" b="0"/>
                  <wp:docPr id="254" name="Изображение2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Изображение254" descr="" title=""/>
                          <pic:cNvPicPr>
                            <a:picLocks noChangeAspect="1" noChangeArrowheads="1"/>
                          </pic:cNvPicPr>
                        </pic:nvPicPr>
                        <pic:blipFill>
                          <a:blip r:embed="rId255"/>
                          <a:stretch>
                            <a:fillRect/>
                          </a:stretch>
                        </pic:blipFill>
                        <pic:spPr bwMode="auto">
                          <a:xfrm>
                            <a:off x="0" y="0"/>
                            <a:ext cx="2522855" cy="311150"/>
                          </a:xfrm>
                          <a:prstGeom prst="rect">
                            <a:avLst/>
                          </a:prstGeom>
                        </pic:spPr>
                      </pic:pic>
                    </a:graphicData>
                  </a:graphic>
                </wp:inline>
              </w:drawing>
            </w:r>
          </w:p>
        </w:tc>
        <w:tc>
          <w:tcPr>
            <w:tcW w:w="1695" w:type="dxa"/>
            <w:tcBorders/>
            <w:shd w:fill="auto" w:val="clear"/>
          </w:tcPr>
          <w:p>
            <w:pPr>
              <w:pStyle w:val="Normal"/>
              <w:snapToGrid w:val="false"/>
              <w:rPr/>
            </w:pPr>
            <w:r>
              <w:rPr/>
            </w:r>
          </w:p>
          <w:p>
            <w:pPr>
              <w:pStyle w:val="Normal"/>
              <w:rPr/>
            </w:pPr>
            <w:r>
              <w:rPr/>
              <w:t xml:space="preserve">               </w:t>
            </w:r>
            <w:r>
              <w:rPr/>
              <w:t>(1)</w:t>
            </w:r>
          </w:p>
          <w:p>
            <w:pPr>
              <w:pStyle w:val="Normal"/>
              <w:rPr/>
            </w:pPr>
            <w:r>
              <w:rPr/>
            </w:r>
          </w:p>
        </w:tc>
      </w:tr>
    </w:tbl>
    <w:p>
      <w:pPr>
        <w:pStyle w:val="Normal"/>
        <w:ind w:firstLine="1395"/>
        <w:jc w:val="both"/>
        <w:rPr/>
      </w:pPr>
      <w:r>
        <w:rPr/>
      </w:r>
    </w:p>
    <w:p>
      <w:pPr>
        <w:pStyle w:val="Normal"/>
        <w:ind w:firstLine="45"/>
        <w:jc w:val="both"/>
        <w:rPr/>
      </w:pPr>
      <w:r>
        <w:rPr/>
        <w:tab/>
        <w:t xml:space="preserve">      </w:t>
      </w:r>
    </w:p>
    <w:p>
      <w:pPr>
        <w:pStyle w:val="Normal"/>
        <w:ind w:firstLine="45"/>
        <w:jc w:val="both"/>
        <w:rPr/>
      </w:pPr>
      <w:r>
        <w:rPr/>
        <w:t>где Ж(о.исх) -  общая жесткость исходной воды, мг-экв/л;</w:t>
      </w:r>
    </w:p>
    <w:p>
      <w:pPr>
        <w:pStyle w:val="Normal"/>
        <w:ind w:firstLine="45"/>
        <w:jc w:val="both"/>
        <w:rPr/>
      </w:pPr>
      <w:r>
        <w:rPr/>
      </w:r>
    </w:p>
    <w:p>
      <w:pPr>
        <w:pStyle w:val="Normal"/>
        <w:ind w:firstLine="315"/>
        <w:jc w:val="both"/>
        <w:rPr/>
      </w:pPr>
      <w:r>
        <w:rPr/>
        <w:t>Ж(ос)  - общая жесткость воды, подаваемой в сеть, мг-экв/л;</w:t>
      </w:r>
    </w:p>
    <w:p>
      <w:pPr>
        <w:pStyle w:val="Normal"/>
        <w:ind w:firstLine="315"/>
        <w:jc w:val="both"/>
        <w:rPr/>
      </w:pPr>
      <w:r>
        <w:rPr/>
      </w:r>
    </w:p>
    <w:p>
      <w:pPr>
        <w:pStyle w:val="Normal"/>
        <w:ind w:firstLine="270"/>
        <w:jc w:val="both"/>
        <w:rPr/>
      </w:pPr>
      <w:r>
        <w:rPr/>
        <w:t>Ж(у) -  жесткость умягченной воды, мг-экв/л.</w:t>
      </w:r>
    </w:p>
    <w:p>
      <w:pPr>
        <w:pStyle w:val="Normal"/>
        <w:ind w:firstLine="225"/>
        <w:jc w:val="both"/>
        <w:rPr/>
      </w:pPr>
      <w:r>
        <w:rPr/>
      </w:r>
    </w:p>
    <w:p>
      <w:pPr>
        <w:pStyle w:val="Normal"/>
        <w:ind w:firstLine="225"/>
        <w:jc w:val="both"/>
        <w:rPr/>
      </w:pPr>
      <w:r>
        <w:rPr/>
      </w:r>
    </w:p>
    <w:p>
      <w:pPr>
        <w:pStyle w:val="Heading"/>
        <w:jc w:val="center"/>
        <w:rPr/>
      </w:pPr>
      <w:r>
        <w:rPr/>
        <w:t>Реагентная декарбонизация воды</w:t>
      </w:r>
    </w:p>
    <w:p>
      <w:pPr>
        <w:pStyle w:val="Heading"/>
        <w:jc w:val="center"/>
        <w:rPr/>
      </w:pPr>
      <w:r>
        <w:rPr/>
        <w:t xml:space="preserve">и известково-содовое умягчение </w:t>
      </w:r>
    </w:p>
    <w:p>
      <w:pPr>
        <w:pStyle w:val="Normal"/>
        <w:ind w:firstLine="270"/>
        <w:jc w:val="both"/>
        <w:rPr/>
      </w:pPr>
      <w:r>
        <w:rPr/>
      </w:r>
    </w:p>
    <w:p>
      <w:pPr>
        <w:pStyle w:val="Normal"/>
        <w:ind w:firstLine="270"/>
        <w:jc w:val="both"/>
        <w:rPr/>
      </w:pPr>
      <w:r>
        <w:rPr/>
      </w:r>
    </w:p>
    <w:p>
      <w:pPr>
        <w:pStyle w:val="Normal"/>
        <w:ind w:firstLine="225"/>
        <w:jc w:val="both"/>
        <w:rPr/>
      </w:pPr>
      <w:r>
        <w:rPr/>
        <w:t>2. В составе установок для реагентной декарбонизации воды и известково-содового умягчения следует предусматривать: реагентное хозяйство, смесители, осветлители со взвешенным осадком, фильтры и устройства для стабилизационной обработки воды.</w:t>
      </w:r>
    </w:p>
    <w:p>
      <w:pPr>
        <w:pStyle w:val="Normal"/>
        <w:ind w:firstLine="225"/>
        <w:jc w:val="both"/>
        <w:rPr/>
      </w:pPr>
      <w:r>
        <w:rPr/>
      </w:r>
    </w:p>
    <w:p>
      <w:pPr>
        <w:pStyle w:val="Normal"/>
        <w:ind w:firstLine="225"/>
        <w:jc w:val="both"/>
        <w:rPr/>
      </w:pPr>
      <w:r>
        <w:rPr/>
        <w:t>В отдельных случаях (см. п. 8) вместо осветлителей со взвешенным осадком могут применяться вихревые реакторы.</w:t>
      </w:r>
    </w:p>
    <w:p>
      <w:pPr>
        <w:pStyle w:val="Normal"/>
        <w:ind w:firstLine="225"/>
        <w:jc w:val="both"/>
        <w:rPr/>
      </w:pPr>
      <w:r>
        <w:rPr/>
      </w:r>
    </w:p>
    <w:p>
      <w:pPr>
        <w:pStyle w:val="Normal"/>
        <w:ind w:firstLine="225"/>
        <w:jc w:val="both"/>
        <w:rPr/>
      </w:pPr>
      <w:r>
        <w:rPr/>
        <w:t>3. При декарбонизации остаточная жесткость умягченной воды может быть получена на 0,4-0,8 мг-экв/л больше некарбонатной жесткости, а щелочность 0,8-1,2 мг-экв/л; при известково-содовом умягчении - остаточная жесткость 0,5-1 мг-экв/л и щелочность 0,8-1,2 мг-экв/л. Нижние пределы могут быть получены при подогреве воды до 35-40 град.С.</w:t>
      </w:r>
    </w:p>
    <w:p>
      <w:pPr>
        <w:pStyle w:val="Normal"/>
        <w:ind w:firstLine="225"/>
        <w:jc w:val="both"/>
        <w:rPr/>
      </w:pPr>
      <w:r>
        <w:rPr/>
      </w:r>
    </w:p>
    <w:p>
      <w:pPr>
        <w:pStyle w:val="Normal"/>
        <w:ind w:firstLine="225"/>
        <w:jc w:val="both"/>
        <w:rPr/>
      </w:pPr>
      <w:r>
        <w:rPr/>
        <w:t>4. При декарбонизации и известково-содовом умягчении воды известь надлежит применять в виде известкового молока. При суточном расходе извести менее 0,25 т (в расчете на СаО) известь допускается вводить в умягчаемую воду в виде насыщенного известкового раствора, получаемого в сатураторах.</w:t>
      </w:r>
    </w:p>
    <w:p>
      <w:pPr>
        <w:pStyle w:val="Normal"/>
        <w:ind w:firstLine="225"/>
        <w:jc w:val="both"/>
        <w:rPr/>
      </w:pPr>
      <w:r>
        <w:rPr/>
      </w:r>
    </w:p>
    <w:p>
      <w:pPr>
        <w:pStyle w:val="Normal"/>
        <w:ind w:firstLine="225"/>
        <w:jc w:val="both"/>
        <w:rPr/>
      </w:pPr>
      <w:r>
        <w:rPr/>
        <w:t>5. Дозы извести Д(и), мг/л, для декарбонизации воды, считая по СаО, надлежит определять по формулам:</w:t>
      </w:r>
    </w:p>
    <w:p>
      <w:pPr>
        <w:pStyle w:val="Normal"/>
        <w:ind w:firstLine="225"/>
        <w:jc w:val="both"/>
        <w:rPr/>
      </w:pPr>
      <w:r>
        <w:rPr/>
      </w:r>
    </w:p>
    <w:p>
      <w:pPr>
        <w:pStyle w:val="Normal"/>
        <w:ind w:firstLine="225"/>
        <w:jc w:val="both"/>
        <w:rPr/>
      </w:pPr>
      <w:r>
        <w:rPr/>
        <w:t xml:space="preserve">а) при соотношении между концентрацией в воде кальция и карбонатной жесткостью </w:t>
      </w:r>
    </w:p>
    <w:p>
      <w:pPr>
        <w:pStyle w:val="Normal"/>
        <w:ind w:firstLine="990"/>
        <w:jc w:val="both"/>
        <w:rPr/>
      </w:pPr>
      <w:r>
        <w:rPr/>
        <w:drawing>
          <wp:inline distT="0" distB="0" distL="0" distR="0">
            <wp:extent cx="1002030" cy="207645"/>
            <wp:effectExtent l="0" t="0" r="0" b="0"/>
            <wp:docPr id="255" name="Изображение2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Изображение255" descr="" title=""/>
                    <pic:cNvPicPr>
                      <a:picLocks noChangeAspect="1" noChangeArrowheads="1"/>
                    </pic:cNvPicPr>
                  </pic:nvPicPr>
                  <pic:blipFill>
                    <a:blip r:embed="rId256"/>
                    <a:stretch>
                      <a:fillRect/>
                    </a:stretch>
                  </pic:blipFill>
                  <pic:spPr bwMode="auto">
                    <a:xfrm>
                      <a:off x="0" y="0"/>
                      <a:ext cx="1002030" cy="207645"/>
                    </a:xfrm>
                    <a:prstGeom prst="rect">
                      <a:avLst/>
                    </a:prstGeom>
                  </pic:spPr>
                </pic:pic>
              </a:graphicData>
            </a:graphic>
          </wp:inline>
        </w:drawing>
      </w:r>
    </w:p>
    <w:tbl>
      <w:tblPr>
        <w:tblW w:w="6645" w:type="dxa"/>
        <w:jc w:val="start"/>
        <w:tblInd w:w="165" w:type="dxa"/>
        <w:tblBorders/>
        <w:tblCellMar>
          <w:top w:w="0" w:type="dxa"/>
          <w:start w:w="15" w:type="dxa"/>
          <w:bottom w:w="0" w:type="dxa"/>
          <w:end w:w="15" w:type="dxa"/>
        </w:tblCellMar>
      </w:tblPr>
      <w:tblGrid>
        <w:gridCol w:w="3690"/>
        <w:gridCol w:w="2955"/>
      </w:tblGrid>
      <w:tr>
        <w:trPr/>
        <w:tc>
          <w:tcPr>
            <w:tcW w:w="3690" w:type="dxa"/>
            <w:tcBorders/>
            <w:shd w:fill="auto" w:val="clear"/>
          </w:tcPr>
          <w:p>
            <w:pPr>
              <w:pStyle w:val="Normal"/>
              <w:rPr/>
            </w:pPr>
            <w:r>
              <w:rPr>
                <w:vanish/>
              </w:rPr>
              <w:t>#G0</w:t>
            </w:r>
            <w:r>
              <w:rPr/>
              <w:t xml:space="preserve">  </w:t>
            </w:r>
          </w:p>
          <w:p>
            <w:pPr>
              <w:pStyle w:val="Normal"/>
              <w:rPr/>
            </w:pPr>
            <w:r>
              <w:rPr/>
              <w:drawing>
                <wp:inline distT="0" distB="0" distL="0" distR="0">
                  <wp:extent cx="2603500" cy="299720"/>
                  <wp:effectExtent l="0" t="0" r="0" b="0"/>
                  <wp:docPr id="256" name="Изображение2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Изображение256" descr="" title=""/>
                          <pic:cNvPicPr>
                            <a:picLocks noChangeAspect="1" noChangeArrowheads="1"/>
                          </pic:cNvPicPr>
                        </pic:nvPicPr>
                        <pic:blipFill>
                          <a:blip r:embed="rId257"/>
                          <a:stretch>
                            <a:fillRect/>
                          </a:stretch>
                        </pic:blipFill>
                        <pic:spPr bwMode="auto">
                          <a:xfrm>
                            <a:off x="0" y="0"/>
                            <a:ext cx="2603500" cy="299720"/>
                          </a:xfrm>
                          <a:prstGeom prst="rect">
                            <a:avLst/>
                          </a:prstGeom>
                        </pic:spPr>
                      </pic:pic>
                    </a:graphicData>
                  </a:graphic>
                </wp:inline>
              </w:drawing>
            </w:r>
          </w:p>
        </w:tc>
        <w:tc>
          <w:tcPr>
            <w:tcW w:w="2955" w:type="dxa"/>
            <w:tcBorders/>
            <w:shd w:fill="auto" w:val="clear"/>
          </w:tcPr>
          <w:p>
            <w:pPr>
              <w:pStyle w:val="Normal"/>
              <w:rPr/>
            </w:pPr>
            <w:r>
              <w:rPr/>
              <w:t xml:space="preserve"> </w:t>
            </w:r>
          </w:p>
          <w:p>
            <w:pPr>
              <w:pStyle w:val="Normal"/>
              <w:rPr/>
            </w:pPr>
            <w:r>
              <w:rPr/>
              <w:t xml:space="preserve">                                                  </w:t>
            </w:r>
            <w:r>
              <w:rPr/>
              <w:t>(2)</w:t>
            </w:r>
          </w:p>
          <w:p>
            <w:pPr>
              <w:pStyle w:val="Normal"/>
              <w:rPr/>
            </w:pPr>
            <w:r>
              <w:rPr/>
            </w:r>
          </w:p>
        </w:tc>
      </w:tr>
    </w:tbl>
    <w:p>
      <w:pPr>
        <w:pStyle w:val="Normal"/>
        <w:ind w:firstLine="315"/>
        <w:jc w:val="both"/>
        <w:rPr/>
      </w:pPr>
      <w:r>
        <w:rPr/>
      </w:r>
    </w:p>
    <w:p>
      <w:pPr>
        <w:pStyle w:val="Normal"/>
        <w:ind w:firstLine="45"/>
        <w:jc w:val="both"/>
        <w:rPr/>
      </w:pPr>
      <w:r>
        <w:rPr/>
        <w:tab/>
      </w:r>
    </w:p>
    <w:p>
      <w:pPr>
        <w:pStyle w:val="Normal"/>
        <w:ind w:firstLine="270"/>
        <w:jc w:val="both"/>
        <w:rPr/>
      </w:pPr>
      <w:r>
        <w:rPr/>
      </w:r>
    </w:p>
    <w:p>
      <w:pPr>
        <w:pStyle w:val="Normal"/>
        <w:ind w:firstLine="225"/>
        <w:jc w:val="both"/>
        <w:rPr/>
      </w:pPr>
      <w:r>
        <w:rPr/>
        <w:t xml:space="preserve">б) при соотношении между концентрацией в воде кальция и карбонатной жесткостью </w:t>
      </w:r>
    </w:p>
    <w:p>
      <w:pPr>
        <w:pStyle w:val="Normal"/>
        <w:ind w:firstLine="225"/>
        <w:jc w:val="both"/>
        <w:rPr/>
      </w:pPr>
      <w:r>
        <w:rPr/>
        <w:drawing>
          <wp:inline distT="0" distB="0" distL="0" distR="0">
            <wp:extent cx="1002030" cy="207645"/>
            <wp:effectExtent l="0" t="0" r="0" b="0"/>
            <wp:docPr id="257" name="Изображение2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Изображение257" descr="" title=""/>
                    <pic:cNvPicPr>
                      <a:picLocks noChangeAspect="1" noChangeArrowheads="1"/>
                    </pic:cNvPicPr>
                  </pic:nvPicPr>
                  <pic:blipFill>
                    <a:blip r:embed="rId258"/>
                    <a:stretch>
                      <a:fillRect/>
                    </a:stretch>
                  </pic:blipFill>
                  <pic:spPr bwMode="auto">
                    <a:xfrm>
                      <a:off x="0" y="0"/>
                      <a:ext cx="1002030" cy="207645"/>
                    </a:xfrm>
                    <a:prstGeom prst="rect">
                      <a:avLst/>
                    </a:prstGeom>
                  </pic:spPr>
                </pic:pic>
              </a:graphicData>
            </a:graphic>
          </wp:inline>
        </w:drawing>
      </w:r>
    </w:p>
    <w:tbl>
      <w:tblPr>
        <w:tblW w:w="5925" w:type="dxa"/>
        <w:jc w:val="start"/>
        <w:tblInd w:w="165" w:type="dxa"/>
        <w:tblBorders/>
        <w:tblCellMar>
          <w:top w:w="0" w:type="dxa"/>
          <w:start w:w="15" w:type="dxa"/>
          <w:bottom w:w="0" w:type="dxa"/>
          <w:end w:w="15" w:type="dxa"/>
        </w:tblCellMar>
      </w:tblPr>
      <w:tblGrid>
        <w:gridCol w:w="4575"/>
        <w:gridCol w:w="1350"/>
      </w:tblGrid>
      <w:tr>
        <w:trPr/>
        <w:tc>
          <w:tcPr>
            <w:tcW w:w="4575" w:type="dxa"/>
            <w:tcBorders/>
            <w:shd w:fill="auto" w:val="clear"/>
          </w:tcPr>
          <w:p>
            <w:pPr>
              <w:pStyle w:val="Normal"/>
              <w:rPr/>
            </w:pPr>
            <w:r>
              <w:rPr>
                <w:vanish/>
              </w:rPr>
              <w:t>#G0</w:t>
            </w:r>
            <w:r>
              <w:rPr/>
              <w:t xml:space="preserve">  </w:t>
            </w:r>
          </w:p>
          <w:p>
            <w:pPr>
              <w:pStyle w:val="Normal"/>
              <w:rPr/>
            </w:pPr>
            <w:r>
              <w:rPr/>
              <w:drawing>
                <wp:inline distT="0" distB="0" distL="0" distR="0">
                  <wp:extent cx="3490595" cy="299720"/>
                  <wp:effectExtent l="0" t="0" r="0" b="0"/>
                  <wp:docPr id="258" name="Изображение2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Изображение258" descr="" title=""/>
                          <pic:cNvPicPr>
                            <a:picLocks noChangeAspect="1" noChangeArrowheads="1"/>
                          </pic:cNvPicPr>
                        </pic:nvPicPr>
                        <pic:blipFill>
                          <a:blip r:embed="rId259"/>
                          <a:stretch>
                            <a:fillRect/>
                          </a:stretch>
                        </pic:blipFill>
                        <pic:spPr bwMode="auto">
                          <a:xfrm>
                            <a:off x="0" y="0"/>
                            <a:ext cx="3490595" cy="299720"/>
                          </a:xfrm>
                          <a:prstGeom prst="rect">
                            <a:avLst/>
                          </a:prstGeom>
                        </pic:spPr>
                      </pic:pic>
                    </a:graphicData>
                  </a:graphic>
                </wp:inline>
              </w:drawing>
            </w:r>
          </w:p>
        </w:tc>
        <w:tc>
          <w:tcPr>
            <w:tcW w:w="1350" w:type="dxa"/>
            <w:tcBorders/>
            <w:shd w:fill="auto" w:val="clear"/>
          </w:tcPr>
          <w:p>
            <w:pPr>
              <w:pStyle w:val="Normal"/>
              <w:snapToGrid w:val="false"/>
              <w:rPr/>
            </w:pPr>
            <w:r>
              <w:rPr/>
            </w:r>
          </w:p>
          <w:p>
            <w:pPr>
              <w:pStyle w:val="Normal"/>
              <w:rPr/>
            </w:pPr>
            <w:r>
              <w:rPr/>
              <w:t xml:space="preserve">             </w:t>
            </w:r>
            <w:r>
              <w:rPr/>
              <w:t>(3)</w:t>
            </w:r>
          </w:p>
          <w:p>
            <w:pPr>
              <w:pStyle w:val="Normal"/>
              <w:rPr/>
            </w:pPr>
            <w:r>
              <w:rPr/>
            </w:r>
          </w:p>
        </w:tc>
      </w:tr>
    </w:tbl>
    <w:p>
      <w:pPr>
        <w:pStyle w:val="Normal"/>
        <w:ind w:firstLine="45"/>
        <w:jc w:val="both"/>
        <w:rPr/>
      </w:pPr>
      <w:r>
        <w:rPr/>
        <w:tab/>
        <w:tab/>
      </w:r>
    </w:p>
    <w:tbl>
      <w:tblPr>
        <w:tblW w:w="8175" w:type="dxa"/>
        <w:jc w:val="start"/>
        <w:tblInd w:w="195" w:type="dxa"/>
        <w:tblBorders/>
        <w:tblCellMar>
          <w:top w:w="0" w:type="dxa"/>
          <w:start w:w="15" w:type="dxa"/>
          <w:bottom w:w="0" w:type="dxa"/>
          <w:end w:w="15" w:type="dxa"/>
        </w:tblCellMar>
      </w:tblPr>
      <w:tblGrid>
        <w:gridCol w:w="450"/>
        <w:gridCol w:w="1125"/>
        <w:gridCol w:w="6600"/>
      </w:tblGrid>
      <w:tr>
        <w:trPr/>
        <w:tc>
          <w:tcPr>
            <w:tcW w:w="450" w:type="dxa"/>
            <w:tcBorders/>
            <w:shd w:fill="auto" w:val="clear"/>
          </w:tcPr>
          <w:p>
            <w:pPr>
              <w:pStyle w:val="Normal"/>
              <w:rPr/>
            </w:pPr>
            <w:r>
              <w:rPr>
                <w:vanish/>
              </w:rPr>
              <w:t>#G0</w:t>
            </w:r>
            <w:r>
              <w:rPr/>
              <w:t xml:space="preserve">     где </w:t>
            </w:r>
          </w:p>
          <w:p>
            <w:pPr>
              <w:pStyle w:val="Normal"/>
              <w:rPr/>
            </w:pPr>
            <w:r>
              <w:rPr/>
            </w:r>
          </w:p>
        </w:tc>
        <w:tc>
          <w:tcPr>
            <w:tcW w:w="1125" w:type="dxa"/>
            <w:tcBorders/>
            <w:shd w:fill="auto" w:val="clear"/>
          </w:tcPr>
          <w:p>
            <w:pPr>
              <w:pStyle w:val="Normal"/>
              <w:rPr/>
            </w:pPr>
            <w:r>
              <w:rPr/>
              <w:t xml:space="preserve">  </w:t>
            </w:r>
          </w:p>
          <w:p>
            <w:pPr>
              <w:pStyle w:val="Normal"/>
              <w:rPr/>
            </w:pPr>
            <w:r>
              <w:rPr/>
              <w:drawing>
                <wp:inline distT="0" distB="0" distL="0" distR="0">
                  <wp:extent cx="391795" cy="184150"/>
                  <wp:effectExtent l="0" t="0" r="0" b="0"/>
                  <wp:docPr id="259" name="Изображение2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Изображение259" descr="" title=""/>
                          <pic:cNvPicPr>
                            <a:picLocks noChangeAspect="1" noChangeArrowheads="1"/>
                          </pic:cNvPicPr>
                        </pic:nvPicPr>
                        <pic:blipFill>
                          <a:blip r:embed="rId260"/>
                          <a:stretch>
                            <a:fillRect/>
                          </a:stretch>
                        </pic:blipFill>
                        <pic:spPr bwMode="auto">
                          <a:xfrm>
                            <a:off x="0" y="0"/>
                            <a:ext cx="391795" cy="184150"/>
                          </a:xfrm>
                          <a:prstGeom prst="rect">
                            <a:avLst/>
                          </a:prstGeom>
                        </pic:spPr>
                      </pic:pic>
                    </a:graphicData>
                  </a:graphic>
                </wp:inline>
              </w:drawing>
            </w:r>
          </w:p>
        </w:tc>
        <w:tc>
          <w:tcPr>
            <w:tcW w:w="6600" w:type="dxa"/>
            <w:tcBorders/>
            <w:shd w:fill="auto" w:val="clear"/>
          </w:tcPr>
          <w:p>
            <w:pPr>
              <w:pStyle w:val="Normal"/>
              <w:snapToGrid w:val="false"/>
              <w:rPr/>
            </w:pPr>
            <w:r>
              <w:rPr/>
            </w:r>
          </w:p>
          <w:p>
            <w:pPr>
              <w:pStyle w:val="Normal"/>
              <w:rPr/>
            </w:pPr>
            <w:r>
              <w:rPr/>
              <w:t xml:space="preserve">     </w:t>
            </w:r>
            <w:r>
              <w:rPr/>
              <w:t>- концентрация в воде свободной двуокиси углерода, мг/л;</w:t>
            </w:r>
          </w:p>
          <w:p>
            <w:pPr>
              <w:pStyle w:val="Normal"/>
              <w:rPr/>
            </w:pPr>
            <w:r>
              <w:rPr/>
            </w:r>
          </w:p>
        </w:tc>
      </w:tr>
      <w:tr>
        <w:trPr/>
        <w:tc>
          <w:tcPr>
            <w:tcW w:w="450" w:type="dxa"/>
            <w:tcBorders/>
            <w:shd w:fill="auto" w:val="clear"/>
          </w:tcPr>
          <w:p>
            <w:pPr>
              <w:pStyle w:val="Normal"/>
              <w:rPr/>
            </w:pPr>
            <w:r>
              <w:rPr/>
              <w:t xml:space="preserve">  </w:t>
            </w:r>
          </w:p>
          <w:p>
            <w:pPr>
              <w:pStyle w:val="Normal"/>
              <w:rPr/>
            </w:pPr>
            <w:r>
              <w:rPr/>
            </w:r>
          </w:p>
        </w:tc>
        <w:tc>
          <w:tcPr>
            <w:tcW w:w="1125" w:type="dxa"/>
            <w:tcBorders/>
            <w:shd w:fill="auto" w:val="clear"/>
          </w:tcPr>
          <w:p>
            <w:pPr>
              <w:pStyle w:val="Normal"/>
              <w:rPr/>
            </w:pPr>
            <w:r>
              <w:rPr/>
              <w:t xml:space="preserve"> </w:t>
            </w:r>
          </w:p>
          <w:p>
            <w:pPr>
              <w:pStyle w:val="Normal"/>
              <w:rPr/>
            </w:pPr>
            <w:r>
              <w:rPr/>
              <w:drawing>
                <wp:inline distT="0" distB="0" distL="0" distR="0">
                  <wp:extent cx="426085" cy="207645"/>
                  <wp:effectExtent l="0" t="0" r="0" b="0"/>
                  <wp:docPr id="260" name="Изображение2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Изображение260" descr="" title=""/>
                          <pic:cNvPicPr>
                            <a:picLocks noChangeAspect="1" noChangeArrowheads="1"/>
                          </pic:cNvPicPr>
                        </pic:nvPicPr>
                        <pic:blipFill>
                          <a:blip r:embed="rId261"/>
                          <a:stretch>
                            <a:fillRect/>
                          </a:stretch>
                        </pic:blipFill>
                        <pic:spPr bwMode="auto">
                          <a:xfrm>
                            <a:off x="0" y="0"/>
                            <a:ext cx="426085" cy="207645"/>
                          </a:xfrm>
                          <a:prstGeom prst="rect">
                            <a:avLst/>
                          </a:prstGeom>
                        </pic:spPr>
                      </pic:pic>
                    </a:graphicData>
                  </a:graphic>
                </wp:inline>
              </w:drawing>
            </w:r>
            <w:r>
              <w:rPr/>
              <w:t xml:space="preserve"> </w:t>
            </w:r>
          </w:p>
          <w:p>
            <w:pPr>
              <w:pStyle w:val="Normal"/>
              <w:rPr/>
            </w:pPr>
            <w:r>
              <w:rPr/>
            </w:r>
          </w:p>
        </w:tc>
        <w:tc>
          <w:tcPr>
            <w:tcW w:w="6600" w:type="dxa"/>
            <w:tcBorders/>
            <w:shd w:fill="auto" w:val="clear"/>
          </w:tcPr>
          <w:p>
            <w:pPr>
              <w:pStyle w:val="Normal"/>
              <w:rPr/>
            </w:pPr>
            <w:r>
              <w:rPr/>
              <w:t xml:space="preserve">  </w:t>
            </w:r>
          </w:p>
          <w:p>
            <w:pPr>
              <w:pStyle w:val="Normal"/>
              <w:rPr/>
            </w:pPr>
            <w:r>
              <w:rPr/>
              <w:t xml:space="preserve">  </w:t>
            </w:r>
            <w:r>
              <w:rPr/>
              <w:t>-содержание в воде кальция, мг/л;</w:t>
            </w:r>
          </w:p>
          <w:p>
            <w:pPr>
              <w:pStyle w:val="Normal"/>
              <w:rPr/>
            </w:pPr>
            <w:r>
              <w:rPr/>
            </w:r>
          </w:p>
        </w:tc>
      </w:tr>
    </w:tbl>
    <w:p>
      <w:pPr>
        <w:pStyle w:val="Normal"/>
        <w:ind w:firstLine="720"/>
        <w:jc w:val="both"/>
        <w:rPr/>
      </w:pPr>
      <w:r>
        <w:rPr/>
        <w:t>Д(к)             - доза коагулянта FeCl3 или FeSO4 (в расчете на безводные продукты), мг/л;</w:t>
      </w:r>
    </w:p>
    <w:p>
      <w:pPr>
        <w:pStyle w:val="Normal"/>
        <w:ind w:firstLine="720"/>
        <w:jc w:val="both"/>
        <w:rPr/>
      </w:pPr>
      <w:r>
        <w:rPr/>
      </w:r>
    </w:p>
    <w:p>
      <w:pPr>
        <w:pStyle w:val="Normal"/>
        <w:ind w:firstLine="720"/>
        <w:jc w:val="both"/>
        <w:rPr/>
      </w:pPr>
      <w:r>
        <w:rPr/>
        <w:t xml:space="preserve">е(к)             - эквивалентная масса активного вещества коагулянта, мг/мг-экв </w:t>
      </w:r>
    </w:p>
    <w:p>
      <w:pPr>
        <w:pStyle w:val="Normal"/>
        <w:ind w:firstLine="720"/>
        <w:jc w:val="both"/>
        <w:rPr/>
      </w:pPr>
      <w:r>
        <w:rPr/>
        <w:drawing>
          <wp:inline distT="0" distB="0" distL="0" distR="0">
            <wp:extent cx="2085340" cy="184150"/>
            <wp:effectExtent l="0" t="0" r="0" b="0"/>
            <wp:docPr id="261" name="Изображение2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Изображение261" descr="" title=""/>
                    <pic:cNvPicPr>
                      <a:picLocks noChangeAspect="1" noChangeArrowheads="1"/>
                    </pic:cNvPicPr>
                  </pic:nvPicPr>
                  <pic:blipFill>
                    <a:blip r:embed="rId262"/>
                    <a:stretch>
                      <a:fillRect/>
                    </a:stretch>
                  </pic:blipFill>
                  <pic:spPr bwMode="auto">
                    <a:xfrm>
                      <a:off x="0" y="0"/>
                      <a:ext cx="2085340" cy="184150"/>
                    </a:xfrm>
                    <a:prstGeom prst="rect">
                      <a:avLst/>
                    </a:prstGeom>
                  </pic:spPr>
                </pic:pic>
              </a:graphicData>
            </a:graphic>
          </wp:inline>
        </w:drawing>
      </w:r>
    </w:p>
    <w:p>
      <w:pPr>
        <w:pStyle w:val="Normal"/>
        <w:ind w:firstLine="225"/>
        <w:jc w:val="both"/>
        <w:rPr/>
      </w:pPr>
      <w:r>
        <w:rPr/>
        <w:t xml:space="preserve">6. Дозы извести и соды при известково-содовом умягчении воды следует определять по формулам: </w:t>
      </w:r>
    </w:p>
    <w:p>
      <w:pPr>
        <w:pStyle w:val="Normal"/>
        <w:ind w:firstLine="225"/>
        <w:jc w:val="both"/>
        <w:rPr/>
      </w:pPr>
      <w:r>
        <w:rPr/>
      </w:r>
    </w:p>
    <w:p>
      <w:pPr>
        <w:pStyle w:val="Normal"/>
        <w:ind w:firstLine="225"/>
        <w:jc w:val="both"/>
        <w:rPr/>
      </w:pPr>
      <w:r>
        <w:rPr/>
        <w:t>доза извести Д(и), мг/л, в расчете на СаО</w:t>
      </w:r>
    </w:p>
    <w:p>
      <w:pPr>
        <w:pStyle w:val="Normal"/>
        <w:ind w:firstLine="225"/>
        <w:jc w:val="both"/>
        <w:rPr/>
      </w:pPr>
      <w:r>
        <w:rPr/>
      </w:r>
    </w:p>
    <w:p>
      <w:pPr>
        <w:pStyle w:val="Normal"/>
        <w:ind w:firstLine="225"/>
        <w:jc w:val="both"/>
        <w:rPr/>
      </w:pPr>
      <w:r>
        <w:rPr/>
      </w:r>
    </w:p>
    <w:tbl>
      <w:tblPr>
        <w:tblW w:w="7140" w:type="dxa"/>
        <w:jc w:val="start"/>
        <w:tblInd w:w="165" w:type="dxa"/>
        <w:tblBorders/>
        <w:tblCellMar>
          <w:top w:w="0" w:type="dxa"/>
          <w:start w:w="15" w:type="dxa"/>
          <w:bottom w:w="0" w:type="dxa"/>
          <w:end w:w="15" w:type="dxa"/>
        </w:tblCellMar>
      </w:tblPr>
      <w:tblGrid>
        <w:gridCol w:w="5340"/>
        <w:gridCol w:w="1800"/>
      </w:tblGrid>
      <w:tr>
        <w:trPr/>
        <w:tc>
          <w:tcPr>
            <w:tcW w:w="5340" w:type="dxa"/>
            <w:tcBorders/>
            <w:shd w:fill="auto" w:val="clear"/>
          </w:tcPr>
          <w:p>
            <w:pPr>
              <w:pStyle w:val="Normal"/>
              <w:rPr/>
            </w:pPr>
            <w:r>
              <w:rPr>
                <w:vanish/>
              </w:rPr>
              <w:t>#G0</w:t>
            </w:r>
            <w:r>
              <w:rPr/>
              <w:t xml:space="preserve">  </w:t>
            </w:r>
          </w:p>
          <w:p>
            <w:pPr>
              <w:pStyle w:val="Normal"/>
              <w:rPr/>
            </w:pPr>
            <w:r>
              <w:rPr/>
              <w:drawing>
                <wp:inline distT="0" distB="0" distL="0" distR="0">
                  <wp:extent cx="3479165" cy="345440"/>
                  <wp:effectExtent l="0" t="0" r="0" b="0"/>
                  <wp:docPr id="262" name="Изображение2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Изображение262" descr="" title=""/>
                          <pic:cNvPicPr>
                            <a:picLocks noChangeAspect="1" noChangeArrowheads="1"/>
                          </pic:cNvPicPr>
                        </pic:nvPicPr>
                        <pic:blipFill>
                          <a:blip r:embed="rId263"/>
                          <a:stretch>
                            <a:fillRect/>
                          </a:stretch>
                        </pic:blipFill>
                        <pic:spPr bwMode="auto">
                          <a:xfrm>
                            <a:off x="0" y="0"/>
                            <a:ext cx="3479165" cy="345440"/>
                          </a:xfrm>
                          <a:prstGeom prst="rect">
                            <a:avLst/>
                          </a:prstGeom>
                        </pic:spPr>
                      </pic:pic>
                    </a:graphicData>
                  </a:graphic>
                </wp:inline>
              </w:drawing>
            </w:r>
          </w:p>
        </w:tc>
        <w:tc>
          <w:tcPr>
            <w:tcW w:w="1800" w:type="dxa"/>
            <w:tcBorders/>
            <w:shd w:fill="auto" w:val="clear"/>
          </w:tcPr>
          <w:p>
            <w:pPr>
              <w:pStyle w:val="Normal"/>
              <w:snapToGrid w:val="false"/>
              <w:rPr/>
            </w:pPr>
            <w:r>
              <w:rPr/>
            </w:r>
          </w:p>
          <w:p>
            <w:pPr>
              <w:pStyle w:val="Normal"/>
              <w:rPr/>
            </w:pPr>
            <w:r>
              <w:rPr/>
              <w:t xml:space="preserve">             </w:t>
            </w:r>
            <w:r>
              <w:rPr/>
              <w:t>(4)</w:t>
            </w:r>
          </w:p>
          <w:p>
            <w:pPr>
              <w:pStyle w:val="Normal"/>
              <w:rPr/>
            </w:pPr>
            <w:r>
              <w:rPr/>
            </w:r>
          </w:p>
        </w:tc>
      </w:tr>
    </w:tbl>
    <w:p>
      <w:pPr>
        <w:pStyle w:val="Normal"/>
        <w:ind w:firstLine="45"/>
        <w:jc w:val="both"/>
        <w:rPr/>
      </w:pPr>
      <w:r>
        <w:rPr/>
        <w:tab/>
        <w:tab/>
      </w:r>
    </w:p>
    <w:p>
      <w:pPr>
        <w:pStyle w:val="Normal"/>
        <w:ind w:firstLine="45"/>
        <w:jc w:val="both"/>
        <w:rPr/>
      </w:pPr>
      <w:r>
        <w:rPr/>
      </w:r>
    </w:p>
    <w:p>
      <w:pPr>
        <w:pStyle w:val="Normal"/>
        <w:ind w:firstLine="45"/>
        <w:jc w:val="both"/>
        <w:rPr/>
      </w:pPr>
      <w:r>
        <w:rPr/>
      </w:r>
    </w:p>
    <w:tbl>
      <w:tblPr>
        <w:tblW w:w="5520" w:type="dxa"/>
        <w:jc w:val="start"/>
        <w:tblInd w:w="165" w:type="dxa"/>
        <w:tblBorders/>
        <w:tblCellMar>
          <w:top w:w="0" w:type="dxa"/>
          <w:start w:w="15" w:type="dxa"/>
          <w:bottom w:w="0" w:type="dxa"/>
          <w:end w:w="15" w:type="dxa"/>
        </w:tblCellMar>
      </w:tblPr>
      <w:tblGrid>
        <w:gridCol w:w="3735"/>
        <w:gridCol w:w="1785"/>
      </w:tblGrid>
      <w:tr>
        <w:trPr/>
        <w:tc>
          <w:tcPr>
            <w:tcW w:w="3735" w:type="dxa"/>
            <w:tcBorders/>
            <w:shd w:fill="auto" w:val="clear"/>
          </w:tcPr>
          <w:p>
            <w:pPr>
              <w:pStyle w:val="Normal"/>
              <w:rPr/>
            </w:pPr>
            <w:r>
              <w:rPr>
                <w:vanish/>
              </w:rPr>
              <w:t>#G0</w:t>
            </w:r>
            <w:r>
              <w:rPr/>
              <w:t xml:space="preserve">       доза соды Д(с), мг/л, в расчете на </w:t>
            </w:r>
          </w:p>
          <w:p>
            <w:pPr>
              <w:pStyle w:val="Normal"/>
              <w:rPr/>
            </w:pPr>
            <w:r>
              <w:rPr/>
            </w:r>
          </w:p>
        </w:tc>
        <w:tc>
          <w:tcPr>
            <w:tcW w:w="1785" w:type="dxa"/>
            <w:tcBorders/>
            <w:shd w:fill="auto" w:val="clear"/>
          </w:tcPr>
          <w:p>
            <w:pPr>
              <w:pStyle w:val="Normal"/>
              <w:rPr/>
            </w:pPr>
            <w:r>
              <w:rPr/>
              <w:drawing>
                <wp:inline distT="0" distB="0" distL="0" distR="0">
                  <wp:extent cx="495300" cy="184150"/>
                  <wp:effectExtent l="0" t="0" r="0" b="0"/>
                  <wp:docPr id="263" name="Изображение2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Изображение263" descr="" title=""/>
                          <pic:cNvPicPr>
                            <a:picLocks noChangeAspect="1" noChangeArrowheads="1"/>
                          </pic:cNvPicPr>
                        </pic:nvPicPr>
                        <pic:blipFill>
                          <a:blip r:embed="rId264"/>
                          <a:stretch>
                            <a:fillRect/>
                          </a:stretch>
                        </pic:blipFill>
                        <pic:spPr bwMode="auto">
                          <a:xfrm>
                            <a:off x="0" y="0"/>
                            <a:ext cx="495300" cy="184150"/>
                          </a:xfrm>
                          <a:prstGeom prst="rect">
                            <a:avLst/>
                          </a:prstGeom>
                        </pic:spPr>
                      </pic:pic>
                    </a:graphicData>
                  </a:graphic>
                </wp:inline>
              </w:drawing>
            </w:r>
            <w:r>
              <w:rPr/>
              <w:t xml:space="preserve">  </w:t>
            </w:r>
          </w:p>
          <w:p>
            <w:pPr>
              <w:pStyle w:val="Normal"/>
              <w:rPr/>
            </w:pPr>
            <w:r>
              <w:rPr/>
            </w:r>
          </w:p>
        </w:tc>
      </w:tr>
    </w:tbl>
    <w:p>
      <w:pPr>
        <w:pStyle w:val="Normal"/>
        <w:jc w:val="both"/>
        <w:rPr/>
      </w:pPr>
      <w:r>
        <w:rPr/>
      </w:r>
    </w:p>
    <w:p>
      <w:pPr>
        <w:pStyle w:val="Normal"/>
        <w:ind w:firstLine="1305"/>
        <w:jc w:val="both"/>
        <w:rPr/>
      </w:pPr>
      <w:r>
        <w:rPr/>
      </w:r>
    </w:p>
    <w:tbl>
      <w:tblPr>
        <w:tblW w:w="4860" w:type="dxa"/>
        <w:jc w:val="start"/>
        <w:tblInd w:w="165" w:type="dxa"/>
        <w:tblBorders/>
        <w:tblCellMar>
          <w:top w:w="0" w:type="dxa"/>
          <w:start w:w="15" w:type="dxa"/>
          <w:bottom w:w="0" w:type="dxa"/>
          <w:end w:w="15" w:type="dxa"/>
        </w:tblCellMar>
      </w:tblPr>
      <w:tblGrid>
        <w:gridCol w:w="2925"/>
        <w:gridCol w:w="1935"/>
      </w:tblGrid>
      <w:tr>
        <w:trPr/>
        <w:tc>
          <w:tcPr>
            <w:tcW w:w="2925" w:type="dxa"/>
            <w:tcBorders/>
            <w:shd w:fill="auto" w:val="clear"/>
          </w:tcPr>
          <w:p>
            <w:pPr>
              <w:pStyle w:val="Normal"/>
              <w:rPr/>
            </w:pPr>
            <w:r>
              <w:rPr>
                <w:vanish/>
              </w:rPr>
              <w:t>#G0</w:t>
            </w:r>
            <w:r>
              <w:rPr/>
              <w:t xml:space="preserve">  </w:t>
            </w:r>
          </w:p>
          <w:p>
            <w:pPr>
              <w:pStyle w:val="Normal"/>
              <w:rPr/>
            </w:pPr>
            <w:r>
              <w:rPr/>
              <w:drawing>
                <wp:inline distT="0" distB="0" distL="0" distR="0">
                  <wp:extent cx="1762760" cy="299720"/>
                  <wp:effectExtent l="0" t="0" r="0" b="0"/>
                  <wp:docPr id="264" name="Изображение2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Изображение264" descr="" title=""/>
                          <pic:cNvPicPr>
                            <a:picLocks noChangeAspect="1" noChangeArrowheads="1"/>
                          </pic:cNvPicPr>
                        </pic:nvPicPr>
                        <pic:blipFill>
                          <a:blip r:embed="rId265"/>
                          <a:stretch>
                            <a:fillRect/>
                          </a:stretch>
                        </pic:blipFill>
                        <pic:spPr bwMode="auto">
                          <a:xfrm>
                            <a:off x="0" y="0"/>
                            <a:ext cx="1762760" cy="299720"/>
                          </a:xfrm>
                          <a:prstGeom prst="rect">
                            <a:avLst/>
                          </a:prstGeom>
                        </pic:spPr>
                      </pic:pic>
                    </a:graphicData>
                  </a:graphic>
                </wp:inline>
              </w:drawing>
            </w:r>
          </w:p>
        </w:tc>
        <w:tc>
          <w:tcPr>
            <w:tcW w:w="1935" w:type="dxa"/>
            <w:tcBorders/>
            <w:shd w:fill="auto" w:val="clear"/>
          </w:tcPr>
          <w:p>
            <w:pPr>
              <w:pStyle w:val="Normal"/>
              <w:snapToGrid w:val="false"/>
              <w:rPr/>
            </w:pPr>
            <w:r>
              <w:rPr/>
            </w:r>
          </w:p>
          <w:p>
            <w:pPr>
              <w:pStyle w:val="Normal"/>
              <w:rPr/>
            </w:pPr>
            <w:r>
              <w:rPr/>
              <w:t xml:space="preserve">               </w:t>
            </w:r>
            <w:r>
              <w:rPr/>
              <w:t>(5)</w:t>
            </w:r>
          </w:p>
          <w:p>
            <w:pPr>
              <w:pStyle w:val="Normal"/>
              <w:rPr/>
            </w:pPr>
            <w:r>
              <w:rPr/>
            </w:r>
          </w:p>
        </w:tc>
      </w:tr>
    </w:tbl>
    <w:p>
      <w:pPr>
        <w:pStyle w:val="Normal"/>
        <w:ind w:firstLine="270"/>
        <w:jc w:val="both"/>
        <w:rPr/>
      </w:pPr>
      <w:r>
        <w:rPr/>
        <w:tab/>
        <w:tab/>
        <w:tab/>
      </w:r>
    </w:p>
    <w:p>
      <w:pPr>
        <w:pStyle w:val="Normal"/>
        <w:ind w:firstLine="270"/>
        <w:jc w:val="both"/>
        <w:rPr/>
      </w:pPr>
      <w:r>
        <w:rPr/>
      </w:r>
    </w:p>
    <w:tbl>
      <w:tblPr>
        <w:tblW w:w="5670" w:type="dxa"/>
        <w:jc w:val="start"/>
        <w:tblInd w:w="165" w:type="dxa"/>
        <w:tblBorders/>
        <w:tblCellMar>
          <w:top w:w="0" w:type="dxa"/>
          <w:start w:w="15" w:type="dxa"/>
          <w:bottom w:w="0" w:type="dxa"/>
          <w:end w:w="15" w:type="dxa"/>
        </w:tblCellMar>
      </w:tblPr>
      <w:tblGrid>
        <w:gridCol w:w="450"/>
        <w:gridCol w:w="1140"/>
        <w:gridCol w:w="4080"/>
      </w:tblGrid>
      <w:tr>
        <w:trPr/>
        <w:tc>
          <w:tcPr>
            <w:tcW w:w="450" w:type="dxa"/>
            <w:tcBorders/>
            <w:shd w:fill="auto" w:val="clear"/>
          </w:tcPr>
          <w:p>
            <w:pPr>
              <w:pStyle w:val="Normal"/>
              <w:rPr/>
            </w:pPr>
            <w:r>
              <w:rPr>
                <w:vanish/>
              </w:rPr>
              <w:t>#G0</w:t>
            </w:r>
            <w:r>
              <w:rPr/>
              <w:t xml:space="preserve">       где </w:t>
            </w:r>
          </w:p>
          <w:p>
            <w:pPr>
              <w:pStyle w:val="Normal"/>
              <w:rPr/>
            </w:pPr>
            <w:r>
              <w:rPr/>
            </w:r>
          </w:p>
        </w:tc>
        <w:tc>
          <w:tcPr>
            <w:tcW w:w="1140" w:type="dxa"/>
            <w:tcBorders/>
            <w:shd w:fill="auto" w:val="clear"/>
          </w:tcPr>
          <w:p>
            <w:pPr>
              <w:pStyle w:val="Normal"/>
              <w:rPr/>
            </w:pPr>
            <w:r>
              <w:rPr/>
              <w:t xml:space="preserve">  </w:t>
            </w:r>
          </w:p>
          <w:p>
            <w:pPr>
              <w:pStyle w:val="Normal"/>
              <w:rPr/>
            </w:pPr>
            <w:r>
              <w:rPr/>
              <w:drawing>
                <wp:inline distT="0" distB="0" distL="0" distR="0">
                  <wp:extent cx="472440" cy="207645"/>
                  <wp:effectExtent l="0" t="0" r="0" b="0"/>
                  <wp:docPr id="265" name="Изображение2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Изображение265" descr="" title=""/>
                          <pic:cNvPicPr>
                            <a:picLocks noChangeAspect="1" noChangeArrowheads="1"/>
                          </pic:cNvPicPr>
                        </pic:nvPicPr>
                        <pic:blipFill>
                          <a:blip r:embed="rId266"/>
                          <a:stretch>
                            <a:fillRect/>
                          </a:stretch>
                        </pic:blipFill>
                        <pic:spPr bwMode="auto">
                          <a:xfrm>
                            <a:off x="0" y="0"/>
                            <a:ext cx="472440" cy="207645"/>
                          </a:xfrm>
                          <a:prstGeom prst="rect">
                            <a:avLst/>
                          </a:prstGeom>
                        </pic:spPr>
                      </pic:pic>
                    </a:graphicData>
                  </a:graphic>
                </wp:inline>
              </w:drawing>
            </w:r>
          </w:p>
        </w:tc>
        <w:tc>
          <w:tcPr>
            <w:tcW w:w="4080" w:type="dxa"/>
            <w:tcBorders/>
            <w:shd w:fill="auto" w:val="clear"/>
          </w:tcPr>
          <w:p>
            <w:pPr>
              <w:pStyle w:val="Normal"/>
              <w:rPr/>
            </w:pPr>
            <w:r>
              <w:rPr/>
              <w:t xml:space="preserve">  </w:t>
            </w:r>
          </w:p>
          <w:p>
            <w:pPr>
              <w:pStyle w:val="Normal"/>
              <w:ind w:firstLine="45"/>
              <w:jc w:val="both"/>
              <w:rPr/>
            </w:pPr>
            <w:r>
              <w:rPr/>
              <w:t xml:space="preserve">- содержание в воде магния, мг/л; </w:t>
            </w:r>
          </w:p>
          <w:p>
            <w:pPr>
              <w:pStyle w:val="Normal"/>
              <w:ind w:firstLine="45"/>
              <w:jc w:val="both"/>
              <w:rPr/>
            </w:pPr>
            <w:r>
              <w:rPr/>
            </w:r>
          </w:p>
          <w:p>
            <w:pPr>
              <w:pStyle w:val="Normal"/>
              <w:ind w:firstLine="45"/>
              <w:jc w:val="both"/>
              <w:rPr/>
            </w:pPr>
            <w:r>
              <w:rPr/>
            </w:r>
          </w:p>
        </w:tc>
      </w:tr>
    </w:tbl>
    <w:p>
      <w:pPr>
        <w:pStyle w:val="Normal"/>
        <w:ind w:firstLine="270"/>
        <w:jc w:val="both"/>
        <w:rPr/>
      </w:pPr>
      <w:r>
        <w:rPr/>
      </w:r>
    </w:p>
    <w:p>
      <w:pPr>
        <w:pStyle w:val="Normal"/>
        <w:ind w:firstLine="675"/>
        <w:jc w:val="both"/>
        <w:rPr/>
      </w:pPr>
      <w:r>
        <w:rPr/>
        <w:t>Ж(н.к )         -   некарбонатная жесткость воды, мг-экв/л.</w:t>
      </w:r>
    </w:p>
    <w:p>
      <w:pPr>
        <w:pStyle w:val="Normal"/>
        <w:ind w:firstLine="675"/>
        <w:jc w:val="both"/>
        <w:rPr/>
      </w:pPr>
      <w:r>
        <w:rPr/>
      </w:r>
    </w:p>
    <w:p>
      <w:pPr>
        <w:pStyle w:val="Normal"/>
        <w:ind w:firstLine="225"/>
        <w:jc w:val="both"/>
        <w:rPr/>
      </w:pPr>
      <w:r>
        <w:rPr/>
        <w:t xml:space="preserve">7. В качестве коагулянтов при умягчении воды известью или известью и содой следует применять хлорное железо или железный купорос.    </w:t>
      </w:r>
    </w:p>
    <w:tbl>
      <w:tblPr>
        <w:tblW w:w="8025" w:type="dxa"/>
        <w:jc w:val="start"/>
        <w:tblInd w:w="165" w:type="dxa"/>
        <w:tblBorders/>
        <w:tblCellMar>
          <w:top w:w="0" w:type="dxa"/>
          <w:start w:w="15" w:type="dxa"/>
          <w:bottom w:w="0" w:type="dxa"/>
          <w:end w:w="15" w:type="dxa"/>
        </w:tblCellMar>
      </w:tblPr>
      <w:tblGrid>
        <w:gridCol w:w="4620"/>
        <w:gridCol w:w="2040"/>
        <w:gridCol w:w="1365"/>
      </w:tblGrid>
      <w:tr>
        <w:trPr/>
        <w:tc>
          <w:tcPr>
            <w:tcW w:w="4620" w:type="dxa"/>
            <w:tcBorders/>
            <w:shd w:fill="auto" w:val="clear"/>
          </w:tcPr>
          <w:p>
            <w:pPr>
              <w:pStyle w:val="Normal"/>
              <w:rPr/>
            </w:pPr>
            <w:r>
              <w:rPr>
                <w:vanish/>
              </w:rPr>
              <w:t>#G0</w:t>
            </w:r>
            <w:r>
              <w:rPr/>
              <w:t xml:space="preserve">  </w:t>
            </w:r>
          </w:p>
          <w:p>
            <w:pPr>
              <w:pStyle w:val="Normal"/>
              <w:ind w:firstLine="45"/>
              <w:jc w:val="both"/>
              <w:rPr/>
            </w:pPr>
            <w:r>
              <w:rPr/>
              <w:t xml:space="preserve">Дозы коагулянта в расчете на безводные продукты </w:t>
            </w:r>
          </w:p>
          <w:p>
            <w:pPr>
              <w:pStyle w:val="Normal"/>
              <w:ind w:firstLine="45"/>
              <w:jc w:val="both"/>
              <w:rPr/>
            </w:pPr>
            <w:r>
              <w:rPr/>
            </w:r>
          </w:p>
        </w:tc>
        <w:tc>
          <w:tcPr>
            <w:tcW w:w="2040" w:type="dxa"/>
            <w:tcBorders/>
            <w:shd w:fill="auto" w:val="clear"/>
          </w:tcPr>
          <w:p>
            <w:pPr>
              <w:pStyle w:val="Normal"/>
              <w:rPr/>
            </w:pPr>
            <w:r>
              <w:rPr/>
              <w:t xml:space="preserve">  </w:t>
            </w:r>
          </w:p>
          <w:p>
            <w:pPr>
              <w:pStyle w:val="Normal"/>
              <w:rPr/>
            </w:pPr>
            <w:r>
              <w:rPr/>
              <w:drawing>
                <wp:inline distT="0" distB="0" distL="0" distR="0">
                  <wp:extent cx="1059815" cy="184150"/>
                  <wp:effectExtent l="0" t="0" r="0" b="0"/>
                  <wp:docPr id="266" name="Изображение2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Изображение266" descr="" title=""/>
                          <pic:cNvPicPr>
                            <a:picLocks noChangeAspect="1" noChangeArrowheads="1"/>
                          </pic:cNvPicPr>
                        </pic:nvPicPr>
                        <pic:blipFill>
                          <a:blip r:embed="rId267"/>
                          <a:stretch>
                            <a:fillRect/>
                          </a:stretch>
                        </pic:blipFill>
                        <pic:spPr bwMode="auto">
                          <a:xfrm>
                            <a:off x="0" y="0"/>
                            <a:ext cx="1059815" cy="184150"/>
                          </a:xfrm>
                          <a:prstGeom prst="rect">
                            <a:avLst/>
                          </a:prstGeom>
                        </pic:spPr>
                      </pic:pic>
                    </a:graphicData>
                  </a:graphic>
                </wp:inline>
              </w:drawing>
            </w:r>
          </w:p>
        </w:tc>
        <w:tc>
          <w:tcPr>
            <w:tcW w:w="1365" w:type="dxa"/>
            <w:tcBorders/>
            <w:shd w:fill="auto" w:val="clear"/>
          </w:tcPr>
          <w:p>
            <w:pPr>
              <w:pStyle w:val="Normal"/>
              <w:rPr/>
            </w:pPr>
            <w:r>
              <w:rPr/>
              <w:t xml:space="preserve"> </w:t>
            </w:r>
          </w:p>
          <w:p>
            <w:pPr>
              <w:pStyle w:val="Normal"/>
              <w:rPr/>
            </w:pPr>
            <w:r>
              <w:rPr/>
              <w:t xml:space="preserve">      </w:t>
            </w:r>
            <w:r>
              <w:rPr/>
              <w:t xml:space="preserve">надлежит </w:t>
            </w:r>
          </w:p>
          <w:p>
            <w:pPr>
              <w:pStyle w:val="Normal"/>
              <w:rPr/>
            </w:pPr>
            <w:r>
              <w:rPr/>
            </w:r>
          </w:p>
        </w:tc>
      </w:tr>
    </w:tbl>
    <w:p>
      <w:pPr>
        <w:pStyle w:val="Normal"/>
        <w:ind w:firstLine="45"/>
        <w:jc w:val="both"/>
        <w:rPr/>
      </w:pPr>
      <w:r>
        <w:rPr/>
        <w:t>принимать 25  - 35 мг/л с последующим уточнением в процессе эксплуатации водоумягчительной установки.</w:t>
      </w:r>
    </w:p>
    <w:p>
      <w:pPr>
        <w:pStyle w:val="Normal"/>
        <w:ind w:firstLine="45"/>
        <w:jc w:val="both"/>
        <w:rPr/>
      </w:pPr>
      <w:r>
        <w:rPr/>
      </w:r>
    </w:p>
    <w:p>
      <w:pPr>
        <w:pStyle w:val="Normal"/>
        <w:ind w:firstLine="225"/>
        <w:jc w:val="both"/>
        <w:rPr/>
      </w:pPr>
      <w:r>
        <w:rPr/>
        <w:t>8. При обосновании допускается производить декарбонизацию или известково-содовое умягчение воды в вихревых реакторах с получением крупки карбоната кальция и ее обжигом в целях утилизации в качестве извести-реагента.</w:t>
      </w:r>
    </w:p>
    <w:p>
      <w:pPr>
        <w:pStyle w:val="Normal"/>
        <w:ind w:firstLine="225"/>
        <w:jc w:val="both"/>
        <w:rPr/>
      </w:pPr>
      <w:r>
        <w:rPr/>
      </w:r>
    </w:p>
    <w:p>
      <w:pPr>
        <w:pStyle w:val="Normal"/>
        <w:ind w:firstLine="225"/>
        <w:jc w:val="both"/>
        <w:rPr/>
      </w:pPr>
      <w:r>
        <w:rPr/>
        <w:t xml:space="preserve">Умягчение воды в вихревых реакторах следует принимать при соотношении </w:t>
      </w:r>
    </w:p>
    <w:tbl>
      <w:tblPr>
        <w:tblW w:w="8220" w:type="dxa"/>
        <w:jc w:val="start"/>
        <w:tblInd w:w="165" w:type="dxa"/>
        <w:tblBorders/>
        <w:tblCellMar>
          <w:top w:w="0" w:type="dxa"/>
          <w:start w:w="15" w:type="dxa"/>
          <w:bottom w:w="0" w:type="dxa"/>
          <w:end w:w="15" w:type="dxa"/>
        </w:tblCellMar>
      </w:tblPr>
      <w:tblGrid>
        <w:gridCol w:w="3600"/>
        <w:gridCol w:w="4620"/>
      </w:tblGrid>
      <w:tr>
        <w:trPr/>
        <w:tc>
          <w:tcPr>
            <w:tcW w:w="3600" w:type="dxa"/>
            <w:tcBorders/>
            <w:shd w:fill="auto" w:val="clear"/>
          </w:tcPr>
          <w:p>
            <w:pPr>
              <w:pStyle w:val="Normal"/>
              <w:rPr/>
            </w:pPr>
            <w:r>
              <w:rPr>
                <w:vanish/>
              </w:rPr>
              <w:t>#G0</w:t>
            </w:r>
            <w:r>
              <w:rPr/>
              <w:t xml:space="preserve">  </w:t>
            </w:r>
          </w:p>
          <w:p>
            <w:pPr>
              <w:pStyle w:val="Normal"/>
              <w:rPr/>
            </w:pPr>
            <w:r>
              <w:rPr/>
              <w:drawing>
                <wp:inline distT="0" distB="0" distL="0" distR="0">
                  <wp:extent cx="1370965" cy="207645"/>
                  <wp:effectExtent l="0" t="0" r="0" b="0"/>
                  <wp:docPr id="267" name="Изображение2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Изображение267" descr="" title=""/>
                          <pic:cNvPicPr>
                            <a:picLocks noChangeAspect="1" noChangeArrowheads="1"/>
                          </pic:cNvPicPr>
                        </pic:nvPicPr>
                        <pic:blipFill>
                          <a:blip r:embed="rId268"/>
                          <a:stretch>
                            <a:fillRect/>
                          </a:stretch>
                        </pic:blipFill>
                        <pic:spPr bwMode="auto">
                          <a:xfrm>
                            <a:off x="0" y="0"/>
                            <a:ext cx="1370965" cy="207645"/>
                          </a:xfrm>
                          <a:prstGeom prst="rect">
                            <a:avLst/>
                          </a:prstGeom>
                        </pic:spPr>
                      </pic:pic>
                    </a:graphicData>
                  </a:graphic>
                </wp:inline>
              </w:drawing>
            </w:r>
          </w:p>
        </w:tc>
        <w:tc>
          <w:tcPr>
            <w:tcW w:w="4620" w:type="dxa"/>
            <w:tcBorders/>
            <w:shd w:fill="auto" w:val="clear"/>
          </w:tcPr>
          <w:p>
            <w:pPr>
              <w:pStyle w:val="Normal"/>
              <w:rPr/>
            </w:pPr>
            <w:r>
              <w:rPr/>
              <w:t xml:space="preserve">  </w:t>
            </w:r>
          </w:p>
          <w:p>
            <w:pPr>
              <w:pStyle w:val="Normal"/>
              <w:jc w:val="both"/>
              <w:rPr/>
            </w:pPr>
            <w:r>
              <w:rPr/>
              <w:t xml:space="preserve">содержании магния в исходной воде не более </w:t>
            </w:r>
          </w:p>
          <w:p>
            <w:pPr>
              <w:pStyle w:val="Normal"/>
              <w:jc w:val="both"/>
              <w:rPr/>
            </w:pPr>
            <w:r>
              <w:rPr/>
            </w:r>
          </w:p>
        </w:tc>
      </w:tr>
    </w:tbl>
    <w:p>
      <w:pPr>
        <w:pStyle w:val="Normal"/>
        <w:ind w:firstLine="45"/>
        <w:jc w:val="both"/>
        <w:rPr/>
      </w:pPr>
      <w:r>
        <w:rPr/>
        <w:t>15 мг/л и перманганатной окисляемости не более 10 мг О/л.</w:t>
      </w:r>
    </w:p>
    <w:p>
      <w:pPr>
        <w:pStyle w:val="Normal"/>
        <w:ind w:firstLine="45"/>
        <w:jc w:val="both"/>
        <w:rPr/>
      </w:pPr>
      <w:r>
        <w:rPr/>
      </w:r>
    </w:p>
    <w:p>
      <w:pPr>
        <w:pStyle w:val="Normal"/>
        <w:ind w:firstLine="225"/>
        <w:jc w:val="both"/>
        <w:rPr/>
      </w:pPr>
      <w:r>
        <w:rPr/>
        <w:t>Окончательное осветление воды после вихревых реакторов следует производить на фильтрах.</w:t>
      </w:r>
    </w:p>
    <w:p>
      <w:pPr>
        <w:pStyle w:val="Normal"/>
        <w:ind w:firstLine="225"/>
        <w:jc w:val="both"/>
        <w:rPr/>
      </w:pPr>
      <w:r>
        <w:rPr/>
      </w:r>
    </w:p>
    <w:p>
      <w:pPr>
        <w:pStyle w:val="Normal"/>
        <w:ind w:firstLine="225"/>
        <w:jc w:val="both"/>
        <w:rPr/>
      </w:pPr>
      <w:r>
        <w:rPr/>
        <w:t xml:space="preserve">9. Для расчета вихревых реакторов следует принимать: скорость входа в реактор 0,8-1 м/с; угол конусности 15-20 град.; скорость восходящего движения воды на уровне водоотводящих устройств 4-6 мм/с. </w:t>
      </w:r>
    </w:p>
    <w:p>
      <w:pPr>
        <w:pStyle w:val="Normal"/>
        <w:ind w:firstLine="225"/>
        <w:jc w:val="both"/>
        <w:rPr/>
      </w:pPr>
      <w:r>
        <w:rPr/>
      </w:r>
    </w:p>
    <w:p>
      <w:pPr>
        <w:pStyle w:val="Normal"/>
        <w:ind w:firstLine="225"/>
        <w:jc w:val="both"/>
        <w:rPr/>
      </w:pPr>
      <w:r>
        <w:rPr/>
        <w:t>В качестве контактной массы для загрузки вихревых реакторов следует применять молотый известняк, размолотую крупку карбоната кальция, образовавшуюся в вихревых реакторах, или мраморную крошку.</w:t>
      </w:r>
    </w:p>
    <w:p>
      <w:pPr>
        <w:pStyle w:val="Normal"/>
        <w:ind w:firstLine="225"/>
        <w:jc w:val="both"/>
        <w:rPr/>
      </w:pPr>
      <w:r>
        <w:rPr/>
      </w:r>
    </w:p>
    <w:p>
      <w:pPr>
        <w:pStyle w:val="Normal"/>
        <w:ind w:firstLine="225"/>
        <w:jc w:val="both"/>
        <w:rPr/>
      </w:pPr>
      <w:r>
        <w:rPr/>
        <w:t>Крупность зерен контактной массы должна быть 0,2-0,3 мм, количество ее - 10 кг на 1 куб.м объема вихревого реактора. Контактную массу надлежит догружать при каждом выпуске крупки из вихревого реактора.</w:t>
      </w:r>
    </w:p>
    <w:p>
      <w:pPr>
        <w:pStyle w:val="Normal"/>
        <w:ind w:firstLine="225"/>
        <w:jc w:val="both"/>
        <w:rPr/>
      </w:pPr>
      <w:r>
        <w:rPr/>
      </w:r>
    </w:p>
    <w:p>
      <w:pPr>
        <w:pStyle w:val="Normal"/>
        <w:ind w:firstLine="225"/>
        <w:jc w:val="both"/>
        <w:rPr/>
      </w:pPr>
      <w:r>
        <w:rPr/>
        <w:t>Известь следует вводить в нижнюю часть реактора в виде известкового раствора или молока. При обработке воды в вихревых реакторах коагулянт добавлять не следует.</w:t>
      </w:r>
    </w:p>
    <w:tbl>
      <w:tblPr>
        <w:tblW w:w="8055" w:type="dxa"/>
        <w:jc w:val="start"/>
        <w:tblInd w:w="165" w:type="dxa"/>
        <w:tblBorders/>
        <w:tblCellMar>
          <w:top w:w="0" w:type="dxa"/>
          <w:start w:w="15" w:type="dxa"/>
          <w:bottom w:w="0" w:type="dxa"/>
          <w:end w:w="15" w:type="dxa"/>
        </w:tblCellMar>
      </w:tblPr>
      <w:tblGrid>
        <w:gridCol w:w="1650"/>
        <w:gridCol w:w="3420"/>
        <w:gridCol w:w="2985"/>
      </w:tblGrid>
      <w:tr>
        <w:trPr/>
        <w:tc>
          <w:tcPr>
            <w:tcW w:w="1650" w:type="dxa"/>
            <w:tcBorders/>
            <w:shd w:fill="auto" w:val="clear"/>
          </w:tcPr>
          <w:p>
            <w:pPr>
              <w:pStyle w:val="Normal"/>
              <w:rPr>
                <w:vanish/>
              </w:rPr>
            </w:pPr>
            <w:r>
              <w:rPr>
                <w:vanish/>
              </w:rPr>
              <w:t>#G0</w:t>
            </w:r>
          </w:p>
          <w:p>
            <w:pPr>
              <w:pStyle w:val="Normal"/>
              <w:rPr/>
            </w:pPr>
            <w:r>
              <w:rPr/>
              <w:t xml:space="preserve"> </w:t>
            </w:r>
            <w:r>
              <w:rPr/>
              <w:t xml:space="preserve">Примечание. При </w:t>
            </w:r>
          </w:p>
          <w:p>
            <w:pPr>
              <w:pStyle w:val="Normal"/>
              <w:rPr/>
            </w:pPr>
            <w:r>
              <w:rPr/>
              <w:t xml:space="preserve">     </w:t>
            </w:r>
          </w:p>
          <w:p>
            <w:pPr>
              <w:pStyle w:val="Normal"/>
              <w:rPr/>
            </w:pPr>
            <w:r>
              <w:rPr/>
            </w:r>
          </w:p>
        </w:tc>
        <w:tc>
          <w:tcPr>
            <w:tcW w:w="3420" w:type="dxa"/>
            <w:tcBorders/>
            <w:shd w:fill="auto" w:val="clear"/>
          </w:tcPr>
          <w:p>
            <w:pPr>
              <w:pStyle w:val="Normal"/>
              <w:rPr/>
            </w:pPr>
            <w:r>
              <w:rPr/>
              <w:t xml:space="preserve">  </w:t>
            </w:r>
          </w:p>
          <w:p>
            <w:pPr>
              <w:pStyle w:val="Normal"/>
              <w:rPr/>
            </w:pPr>
            <w:r>
              <w:rPr/>
              <w:drawing>
                <wp:inline distT="0" distB="0" distL="0" distR="0">
                  <wp:extent cx="1370965" cy="207645"/>
                  <wp:effectExtent l="0" t="0" r="0" b="0"/>
                  <wp:docPr id="268" name="Изображение2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Изображение268" descr="" title=""/>
                          <pic:cNvPicPr>
                            <a:picLocks noChangeAspect="1" noChangeArrowheads="1"/>
                          </pic:cNvPicPr>
                        </pic:nvPicPr>
                        <pic:blipFill>
                          <a:blip r:embed="rId269"/>
                          <a:stretch>
                            <a:fillRect/>
                          </a:stretch>
                        </pic:blipFill>
                        <pic:spPr bwMode="auto">
                          <a:xfrm>
                            <a:off x="0" y="0"/>
                            <a:ext cx="1370965" cy="207645"/>
                          </a:xfrm>
                          <a:prstGeom prst="rect">
                            <a:avLst/>
                          </a:prstGeom>
                        </pic:spPr>
                      </pic:pic>
                    </a:graphicData>
                  </a:graphic>
                </wp:inline>
              </w:drawing>
            </w:r>
          </w:p>
        </w:tc>
        <w:tc>
          <w:tcPr>
            <w:tcW w:w="2985" w:type="dxa"/>
            <w:tcBorders/>
            <w:shd w:fill="auto" w:val="clear"/>
          </w:tcPr>
          <w:p>
            <w:pPr>
              <w:pStyle w:val="Normal"/>
              <w:rPr/>
            </w:pPr>
            <w:r>
              <w:rPr/>
              <w:t xml:space="preserve">    </w:t>
            </w:r>
          </w:p>
          <w:p>
            <w:pPr>
              <w:pStyle w:val="Normal"/>
              <w:rPr/>
            </w:pPr>
            <w:r>
              <w:rPr/>
              <w:t xml:space="preserve"> </w:t>
            </w:r>
            <w:r>
              <w:rPr/>
              <w:t xml:space="preserve">декарбонизацию воды следует </w:t>
            </w:r>
          </w:p>
          <w:p>
            <w:pPr>
              <w:pStyle w:val="Normal"/>
              <w:rPr/>
            </w:pPr>
            <w:r>
              <w:rPr/>
            </w:r>
          </w:p>
        </w:tc>
      </w:tr>
    </w:tbl>
    <w:p>
      <w:pPr>
        <w:pStyle w:val="Normal"/>
        <w:ind w:firstLine="45"/>
        <w:jc w:val="both"/>
        <w:rPr/>
      </w:pPr>
      <w:r>
        <w:rPr/>
        <w:t>производить в осветлителях с доосветлением воды на фильтрах.</w:t>
      </w:r>
    </w:p>
    <w:p>
      <w:pPr>
        <w:pStyle w:val="Normal"/>
        <w:ind w:firstLine="45"/>
        <w:jc w:val="both"/>
        <w:rPr/>
      </w:pPr>
      <w:r>
        <w:rPr/>
      </w:r>
    </w:p>
    <w:p>
      <w:pPr>
        <w:pStyle w:val="Normal"/>
        <w:ind w:firstLine="225"/>
        <w:jc w:val="both"/>
        <w:rPr/>
      </w:pPr>
      <w:r>
        <w:rPr/>
        <w:t>10. Для выделения взвеси, образующейся при умягчении воды известью, а также известью и содой, следует применять осветлители со взвешенным осадком (специальной конструкции).</w:t>
      </w:r>
    </w:p>
    <w:p>
      <w:pPr>
        <w:pStyle w:val="Normal"/>
        <w:ind w:firstLine="225"/>
        <w:jc w:val="both"/>
        <w:rPr/>
      </w:pPr>
      <w:r>
        <w:rPr/>
      </w:r>
    </w:p>
    <w:p>
      <w:pPr>
        <w:pStyle w:val="Normal"/>
        <w:ind w:firstLine="225"/>
        <w:jc w:val="both"/>
        <w:rPr/>
      </w:pPr>
      <w:r>
        <w:rPr/>
        <w:t>Скорость движения воды в слое взвешенного осадка следует принимать 1,3-1,6 мм/с, вода после осветлителя должна содержать взвешенных веществ не более 15 мг/л.</w:t>
      </w:r>
    </w:p>
    <w:p>
      <w:pPr>
        <w:pStyle w:val="Normal"/>
        <w:ind w:firstLine="225"/>
        <w:jc w:val="both"/>
        <w:rPr/>
      </w:pPr>
      <w:r>
        <w:rPr/>
      </w:r>
    </w:p>
    <w:p>
      <w:pPr>
        <w:pStyle w:val="Normal"/>
        <w:ind w:firstLine="225"/>
        <w:jc w:val="both"/>
        <w:rPr/>
      </w:pPr>
      <w:r>
        <w:rPr/>
        <w:t>11. Фильтры для осветления воды, прошедшей через вихревые реакторы или осветлители, следует загружать песком или дробленым антрацитом с крупностью зерен 0,5-1,25 мм и коэффициентом неоднородности 2-2,2. Высота слоя загрузки 0,8-1 м, скорость фильтрования - до 6 м/ч.</w:t>
      </w:r>
    </w:p>
    <w:p>
      <w:pPr>
        <w:pStyle w:val="Normal"/>
        <w:ind w:firstLine="225"/>
        <w:jc w:val="both"/>
        <w:rPr/>
      </w:pPr>
      <w:r>
        <w:rPr/>
      </w:r>
    </w:p>
    <w:p>
      <w:pPr>
        <w:pStyle w:val="Normal"/>
        <w:ind w:firstLine="225"/>
        <w:jc w:val="both"/>
        <w:rPr/>
      </w:pPr>
      <w:r>
        <w:rPr/>
        <w:t>Допускается применение двухслойных фильтров.</w:t>
      </w:r>
    </w:p>
    <w:p>
      <w:pPr>
        <w:pStyle w:val="Normal"/>
        <w:ind w:firstLine="225"/>
        <w:jc w:val="both"/>
        <w:rPr/>
      </w:pPr>
      <w:r>
        <w:rPr/>
      </w:r>
    </w:p>
    <w:p>
      <w:pPr>
        <w:pStyle w:val="Normal"/>
        <w:ind w:firstLine="225"/>
        <w:jc w:val="both"/>
        <w:rPr/>
      </w:pPr>
      <w:r>
        <w:rPr/>
        <w:t>Фильтры надлежит оборудовать устройствами для верхней промывки.</w:t>
      </w:r>
    </w:p>
    <w:p>
      <w:pPr>
        <w:pStyle w:val="Normal"/>
        <w:ind w:firstLine="225"/>
        <w:jc w:val="both"/>
        <w:rPr/>
      </w:pPr>
      <w:r>
        <w:rPr/>
      </w:r>
    </w:p>
    <w:p>
      <w:pPr>
        <w:pStyle w:val="Heading"/>
        <w:jc w:val="center"/>
        <w:rPr/>
      </w:pPr>
      <w:r>
        <w:rPr/>
      </w:r>
    </w:p>
    <w:p>
      <w:pPr>
        <w:pStyle w:val="Heading"/>
        <w:jc w:val="center"/>
        <w:rPr/>
      </w:pPr>
      <w:r>
        <w:rPr/>
        <w:t>Натрий-катионитный метод</w:t>
      </w:r>
    </w:p>
    <w:p>
      <w:pPr>
        <w:pStyle w:val="Heading"/>
        <w:jc w:val="center"/>
        <w:rPr/>
      </w:pPr>
      <w:r>
        <w:rPr/>
        <w:t xml:space="preserve">умягчения воды </w:t>
      </w:r>
    </w:p>
    <w:p>
      <w:pPr>
        <w:pStyle w:val="Normal"/>
        <w:ind w:firstLine="360"/>
        <w:jc w:val="both"/>
        <w:rPr>
          <w:b/>
          <w:b/>
          <w:sz w:val="22"/>
        </w:rPr>
      </w:pPr>
      <w:r>
        <w:rPr>
          <w:b/>
          <w:sz w:val="22"/>
        </w:rPr>
      </w:r>
    </w:p>
    <w:p>
      <w:pPr>
        <w:pStyle w:val="Normal"/>
        <w:jc w:val="both"/>
        <w:rPr>
          <w:b/>
          <w:b/>
          <w:sz w:val="22"/>
        </w:rPr>
      </w:pPr>
      <w:r>
        <w:rPr>
          <w:b/>
          <w:sz w:val="22"/>
        </w:rPr>
      </w:r>
    </w:p>
    <w:p>
      <w:pPr>
        <w:pStyle w:val="Normal"/>
        <w:ind w:firstLine="225"/>
        <w:jc w:val="both"/>
        <w:rPr/>
      </w:pPr>
      <w:r>
        <w:rPr/>
        <w:t>12. Натрий-катионитный метод следует применять для умягчения подземных вод и вод поверхностных источников с мутностью не более 5-8 мг/л и цветностью не более 30 град. При натрий-катионировании щелочность воды не изменяется.</w:t>
      </w:r>
    </w:p>
    <w:p>
      <w:pPr>
        <w:pStyle w:val="Normal"/>
        <w:ind w:firstLine="225"/>
        <w:jc w:val="both"/>
        <w:rPr/>
      </w:pPr>
      <w:r>
        <w:rPr/>
      </w:r>
    </w:p>
    <w:p>
      <w:pPr>
        <w:pStyle w:val="Normal"/>
        <w:ind w:firstLine="225"/>
        <w:jc w:val="both"/>
        <w:rPr/>
      </w:pPr>
      <w:r>
        <w:rPr/>
        <w:t>13. При одноступенчатом натрий-катионировании общая жесткость воды может быть снижена до 0,05-0,1 г-экв/куб.м, при двухступенчатом - до 0,01 г-экв/куб.м.</w:t>
      </w:r>
    </w:p>
    <w:p>
      <w:pPr>
        <w:pStyle w:val="Normal"/>
        <w:ind w:firstLine="225"/>
        <w:jc w:val="both"/>
        <w:rPr/>
      </w:pPr>
      <w:r>
        <w:rPr/>
      </w:r>
    </w:p>
    <w:p>
      <w:pPr>
        <w:pStyle w:val="Normal"/>
        <w:ind w:firstLine="225"/>
        <w:jc w:val="both"/>
        <w:rPr/>
      </w:pPr>
      <w:r>
        <w:rPr/>
        <w:t>14. Объем катионита W(к), куб.м, в фильтрах первой ступени следует определять по формуле</w:t>
      </w:r>
    </w:p>
    <w:p>
      <w:pPr>
        <w:pStyle w:val="Normal"/>
        <w:ind w:firstLine="225"/>
        <w:jc w:val="both"/>
        <w:rPr/>
      </w:pPr>
      <w:r>
        <w:rPr/>
      </w:r>
    </w:p>
    <w:p>
      <w:pPr>
        <w:pStyle w:val="Normal"/>
        <w:ind w:firstLine="1395"/>
        <w:jc w:val="both"/>
        <w:rPr/>
      </w:pPr>
      <w:r>
        <w:rPr/>
      </w:r>
    </w:p>
    <w:tbl>
      <w:tblPr>
        <w:tblW w:w="4530" w:type="dxa"/>
        <w:jc w:val="start"/>
        <w:tblInd w:w="165" w:type="dxa"/>
        <w:tblBorders/>
        <w:tblCellMar>
          <w:top w:w="0" w:type="dxa"/>
          <w:start w:w="15" w:type="dxa"/>
          <w:bottom w:w="0" w:type="dxa"/>
          <w:end w:w="15" w:type="dxa"/>
        </w:tblCellMar>
      </w:tblPr>
      <w:tblGrid>
        <w:gridCol w:w="2610"/>
        <w:gridCol w:w="1920"/>
      </w:tblGrid>
      <w:tr>
        <w:trPr/>
        <w:tc>
          <w:tcPr>
            <w:tcW w:w="2610" w:type="dxa"/>
            <w:tcBorders/>
            <w:shd w:fill="auto" w:val="clear"/>
          </w:tcPr>
          <w:p>
            <w:pPr>
              <w:pStyle w:val="Normal"/>
              <w:rPr/>
            </w:pPr>
            <w:r>
              <w:rPr>
                <w:vanish/>
              </w:rPr>
              <w:t>#G0</w:t>
            </w:r>
            <w:r>
              <w:rPr/>
              <w:t xml:space="preserve"> </w:t>
            </w:r>
          </w:p>
          <w:p>
            <w:pPr>
              <w:pStyle w:val="Normal"/>
              <w:rPr/>
            </w:pPr>
            <w:r>
              <w:rPr/>
              <w:drawing>
                <wp:inline distT="0" distB="0" distL="0" distR="0">
                  <wp:extent cx="1751330" cy="288290"/>
                  <wp:effectExtent l="0" t="0" r="0" b="0"/>
                  <wp:docPr id="269" name="Изображение2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Изображение269" descr="" title=""/>
                          <pic:cNvPicPr>
                            <a:picLocks noChangeAspect="1" noChangeArrowheads="1"/>
                          </pic:cNvPicPr>
                        </pic:nvPicPr>
                        <pic:blipFill>
                          <a:blip r:embed="rId270"/>
                          <a:stretch>
                            <a:fillRect/>
                          </a:stretch>
                        </pic:blipFill>
                        <pic:spPr bwMode="auto">
                          <a:xfrm>
                            <a:off x="0" y="0"/>
                            <a:ext cx="1751330" cy="288290"/>
                          </a:xfrm>
                          <a:prstGeom prst="rect">
                            <a:avLst/>
                          </a:prstGeom>
                        </pic:spPr>
                      </pic:pic>
                    </a:graphicData>
                  </a:graphic>
                </wp:inline>
              </w:drawing>
            </w:r>
            <w:r>
              <w:rPr/>
              <w:t xml:space="preserve"> </w:t>
            </w:r>
          </w:p>
          <w:p>
            <w:pPr>
              <w:pStyle w:val="Normal"/>
              <w:rPr/>
            </w:pPr>
            <w:r>
              <w:rPr/>
            </w:r>
          </w:p>
        </w:tc>
        <w:tc>
          <w:tcPr>
            <w:tcW w:w="1920" w:type="dxa"/>
            <w:tcBorders/>
            <w:shd w:fill="auto" w:val="clear"/>
          </w:tcPr>
          <w:p>
            <w:pPr>
              <w:pStyle w:val="Normal"/>
              <w:snapToGrid w:val="false"/>
              <w:rPr/>
            </w:pPr>
            <w:r>
              <w:rPr/>
            </w:r>
          </w:p>
          <w:p>
            <w:pPr>
              <w:pStyle w:val="Normal"/>
              <w:rPr/>
            </w:pPr>
            <w:r>
              <w:rPr/>
              <w:t xml:space="preserve">                  </w:t>
            </w:r>
            <w:r>
              <w:rPr/>
              <w:t>(6)</w:t>
            </w:r>
          </w:p>
          <w:p>
            <w:pPr>
              <w:pStyle w:val="Normal"/>
              <w:rPr/>
            </w:pPr>
            <w:r>
              <w:rPr/>
            </w:r>
          </w:p>
        </w:tc>
      </w:tr>
    </w:tbl>
    <w:p>
      <w:pPr>
        <w:pStyle w:val="Normal"/>
        <w:ind w:firstLine="315"/>
        <w:jc w:val="both"/>
        <w:rPr/>
      </w:pPr>
      <w:r>
        <w:rPr/>
        <w:tab/>
        <w:tab/>
      </w:r>
    </w:p>
    <w:p>
      <w:pPr>
        <w:pStyle w:val="Normal"/>
        <w:ind w:firstLine="270"/>
        <w:jc w:val="both"/>
        <w:rPr/>
      </w:pPr>
      <w:r>
        <w:rPr/>
      </w:r>
    </w:p>
    <w:p>
      <w:pPr>
        <w:pStyle w:val="Normal"/>
        <w:ind w:firstLine="270"/>
        <w:jc w:val="both"/>
        <w:rPr/>
      </w:pPr>
      <w:r>
        <w:rPr/>
        <w:t xml:space="preserve">где q(у) -  расход умягченной воды, куб.м/ч; </w:t>
      </w:r>
    </w:p>
    <w:p>
      <w:pPr>
        <w:pStyle w:val="Normal"/>
        <w:ind w:firstLine="45"/>
        <w:jc w:val="both"/>
        <w:rPr/>
      </w:pPr>
      <w:r>
        <w:rPr/>
      </w:r>
    </w:p>
    <w:p>
      <w:pPr>
        <w:pStyle w:val="Normal"/>
        <w:ind w:firstLine="360"/>
        <w:jc w:val="both"/>
        <w:rPr/>
      </w:pPr>
      <w:r>
        <w:rPr/>
        <w:t xml:space="preserve">Ж(о.исх) - общая жесткость исходной воды, г-экв/куб.м;     </w:t>
      </w:r>
    </w:p>
    <w:tbl>
      <w:tblPr>
        <w:tblW w:w="8250" w:type="dxa"/>
        <w:jc w:val="start"/>
        <w:tblInd w:w="165" w:type="dxa"/>
        <w:tblBorders/>
        <w:tblCellMar>
          <w:top w:w="0" w:type="dxa"/>
          <w:start w:w="15" w:type="dxa"/>
          <w:bottom w:w="0" w:type="dxa"/>
          <w:end w:w="15" w:type="dxa"/>
        </w:tblCellMar>
      </w:tblPr>
      <w:tblGrid>
        <w:gridCol w:w="450"/>
        <w:gridCol w:w="7800"/>
      </w:tblGrid>
      <w:tr>
        <w:trPr/>
        <w:tc>
          <w:tcPr>
            <w:tcW w:w="450" w:type="dxa"/>
            <w:tcBorders/>
            <w:shd w:fill="auto" w:val="clear"/>
          </w:tcPr>
          <w:p>
            <w:pPr>
              <w:pStyle w:val="Normal"/>
              <w:rPr/>
            </w:pPr>
            <w:r>
              <w:rPr>
                <w:vanish/>
              </w:rPr>
              <w:t>#G0</w:t>
            </w:r>
            <w:r>
              <w:rPr/>
              <w:t xml:space="preserve">  </w:t>
            </w:r>
          </w:p>
          <w:p>
            <w:pPr>
              <w:pStyle w:val="Normal"/>
              <w:rPr/>
            </w:pPr>
            <w:r>
              <w:rPr/>
              <w:drawing>
                <wp:inline distT="0" distB="0" distL="0" distR="0">
                  <wp:extent cx="334010" cy="264795"/>
                  <wp:effectExtent l="0" t="0" r="0" b="0"/>
                  <wp:docPr id="270" name="Изображение2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Изображение270" descr="" title=""/>
                          <pic:cNvPicPr>
                            <a:picLocks noChangeAspect="1" noChangeArrowheads="1"/>
                          </pic:cNvPicPr>
                        </pic:nvPicPr>
                        <pic:blipFill>
                          <a:blip r:embed="rId271"/>
                          <a:stretch>
                            <a:fillRect/>
                          </a:stretch>
                        </pic:blipFill>
                        <pic:spPr bwMode="auto">
                          <a:xfrm>
                            <a:off x="0" y="0"/>
                            <a:ext cx="334010" cy="264795"/>
                          </a:xfrm>
                          <a:prstGeom prst="rect">
                            <a:avLst/>
                          </a:prstGeom>
                        </pic:spPr>
                      </pic:pic>
                    </a:graphicData>
                  </a:graphic>
                </wp:inline>
              </w:drawing>
            </w:r>
          </w:p>
        </w:tc>
        <w:tc>
          <w:tcPr>
            <w:tcW w:w="7800" w:type="dxa"/>
            <w:tcBorders/>
            <w:shd w:fill="auto" w:val="clear"/>
          </w:tcPr>
          <w:p>
            <w:pPr>
              <w:pStyle w:val="Normal"/>
              <w:rPr/>
            </w:pPr>
            <w:r>
              <w:rPr/>
              <w:t xml:space="preserve">  </w:t>
            </w:r>
          </w:p>
          <w:p>
            <w:pPr>
              <w:pStyle w:val="Normal"/>
              <w:ind w:firstLine="90"/>
              <w:jc w:val="both"/>
              <w:rPr/>
            </w:pPr>
            <w:r>
              <w:rPr/>
              <w:t>- рабочая обменная емкость катионита при натрий-катионировании; г-экв/куб.м;</w:t>
            </w:r>
          </w:p>
          <w:p>
            <w:pPr>
              <w:pStyle w:val="Normal"/>
              <w:ind w:firstLine="90"/>
              <w:jc w:val="both"/>
              <w:rPr/>
            </w:pPr>
            <w:r>
              <w:rPr/>
            </w:r>
          </w:p>
        </w:tc>
      </w:tr>
    </w:tbl>
    <w:p>
      <w:pPr>
        <w:pStyle w:val="Normal"/>
        <w:ind w:firstLine="135"/>
        <w:jc w:val="both"/>
        <w:rPr/>
      </w:pPr>
      <w:r>
        <w:rPr/>
        <w:t>n(р)   - число регенераций каждого фильтра в сутки, принимаемое в пределах от одной до трех.</w:t>
      </w:r>
    </w:p>
    <w:p>
      <w:pPr>
        <w:pStyle w:val="Normal"/>
        <w:ind w:firstLine="225"/>
        <w:jc w:val="both"/>
        <w:rPr/>
      </w:pPr>
      <w:r>
        <w:rPr/>
      </w:r>
    </w:p>
    <w:tbl>
      <w:tblPr>
        <w:tblW w:w="8730" w:type="dxa"/>
        <w:jc w:val="start"/>
        <w:tblInd w:w="15" w:type="dxa"/>
        <w:tblBorders/>
        <w:tblCellMar>
          <w:top w:w="0" w:type="dxa"/>
          <w:start w:w="15" w:type="dxa"/>
          <w:bottom w:w="0" w:type="dxa"/>
          <w:end w:w="15" w:type="dxa"/>
        </w:tblCellMar>
      </w:tblPr>
      <w:tblGrid>
        <w:gridCol w:w="6705"/>
        <w:gridCol w:w="495"/>
        <w:gridCol w:w="1530"/>
      </w:tblGrid>
      <w:tr>
        <w:trPr/>
        <w:tc>
          <w:tcPr>
            <w:tcW w:w="6705" w:type="dxa"/>
            <w:tcBorders/>
            <w:shd w:fill="auto" w:val="clear"/>
          </w:tcPr>
          <w:p>
            <w:pPr>
              <w:pStyle w:val="Normal"/>
              <w:rPr/>
            </w:pPr>
            <w:r>
              <w:rPr>
                <w:vanish/>
              </w:rPr>
              <w:t>#G0</w:t>
            </w:r>
            <w:r>
              <w:rPr/>
              <w:t xml:space="preserve">  </w:t>
            </w:r>
          </w:p>
          <w:p>
            <w:pPr>
              <w:pStyle w:val="Normal"/>
              <w:ind w:firstLine="135"/>
              <w:jc w:val="both"/>
              <w:rPr/>
            </w:pPr>
            <w:r>
              <w:rPr/>
              <w:t xml:space="preserve">15. Рабочую обменную емкость катионита при натрий-катионировании      </w:t>
            </w:r>
          </w:p>
          <w:p>
            <w:pPr>
              <w:pStyle w:val="Normal"/>
              <w:ind w:firstLine="135"/>
              <w:jc w:val="both"/>
              <w:rPr/>
            </w:pPr>
            <w:r>
              <w:rPr/>
            </w:r>
          </w:p>
        </w:tc>
        <w:tc>
          <w:tcPr>
            <w:tcW w:w="495" w:type="dxa"/>
            <w:tcBorders/>
            <w:shd w:fill="auto" w:val="clear"/>
          </w:tcPr>
          <w:p>
            <w:pPr>
              <w:pStyle w:val="Normal"/>
              <w:rPr/>
            </w:pPr>
            <w:r>
              <w:rPr/>
              <w:t xml:space="preserve">  </w:t>
            </w:r>
          </w:p>
          <w:p>
            <w:pPr>
              <w:pStyle w:val="Normal"/>
              <w:rPr/>
            </w:pPr>
            <w:r>
              <w:rPr/>
              <w:drawing>
                <wp:inline distT="0" distB="0" distL="0" distR="0">
                  <wp:extent cx="334010" cy="264795"/>
                  <wp:effectExtent l="0" t="0" r="0" b="0"/>
                  <wp:docPr id="271" name="Изображение2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Изображение271" descr="" title=""/>
                          <pic:cNvPicPr>
                            <a:picLocks noChangeAspect="1" noChangeArrowheads="1"/>
                          </pic:cNvPicPr>
                        </pic:nvPicPr>
                        <pic:blipFill>
                          <a:blip r:embed="rId272"/>
                          <a:stretch>
                            <a:fillRect/>
                          </a:stretch>
                        </pic:blipFill>
                        <pic:spPr bwMode="auto">
                          <a:xfrm>
                            <a:off x="0" y="0"/>
                            <a:ext cx="334010" cy="264795"/>
                          </a:xfrm>
                          <a:prstGeom prst="rect">
                            <a:avLst/>
                          </a:prstGeom>
                        </pic:spPr>
                      </pic:pic>
                    </a:graphicData>
                  </a:graphic>
                </wp:inline>
              </w:drawing>
            </w:r>
          </w:p>
        </w:tc>
        <w:tc>
          <w:tcPr>
            <w:tcW w:w="1530" w:type="dxa"/>
            <w:tcBorders/>
            <w:shd w:fill="auto" w:val="clear"/>
          </w:tcPr>
          <w:p>
            <w:pPr>
              <w:pStyle w:val="Normal"/>
              <w:rPr/>
            </w:pPr>
            <w:r>
              <w:rPr/>
              <w:t xml:space="preserve">  </w:t>
            </w:r>
          </w:p>
          <w:p>
            <w:pPr>
              <w:pStyle w:val="Normal"/>
              <w:jc w:val="both"/>
              <w:rPr/>
            </w:pPr>
            <w:r>
              <w:rPr/>
              <w:t xml:space="preserve">, г-экв/куб.м, </w:t>
            </w:r>
          </w:p>
          <w:p>
            <w:pPr>
              <w:pStyle w:val="Normal"/>
              <w:jc w:val="both"/>
              <w:rPr/>
            </w:pPr>
            <w:r>
              <w:rPr/>
            </w:r>
          </w:p>
          <w:p>
            <w:pPr>
              <w:pStyle w:val="Normal"/>
              <w:jc w:val="both"/>
              <w:rPr/>
            </w:pPr>
            <w:r>
              <w:rPr/>
            </w:r>
          </w:p>
        </w:tc>
      </w:tr>
    </w:tbl>
    <w:p>
      <w:pPr>
        <w:pStyle w:val="Normal"/>
        <w:ind w:firstLine="225"/>
        <w:jc w:val="both"/>
        <w:rPr/>
      </w:pPr>
      <w:r>
        <w:rPr/>
        <w:t>следует определять по формуле</w:t>
      </w:r>
    </w:p>
    <w:p>
      <w:pPr>
        <w:pStyle w:val="Normal"/>
        <w:ind w:firstLine="1260"/>
        <w:jc w:val="both"/>
        <w:rPr/>
      </w:pPr>
      <w:r>
        <w:rPr/>
      </w:r>
    </w:p>
    <w:p>
      <w:pPr>
        <w:pStyle w:val="Normal"/>
        <w:ind w:firstLine="225"/>
        <w:jc w:val="both"/>
        <w:rPr/>
      </w:pPr>
      <w:r>
        <w:rPr/>
      </w:r>
    </w:p>
    <w:tbl>
      <w:tblPr>
        <w:tblW w:w="4995" w:type="dxa"/>
        <w:jc w:val="start"/>
        <w:tblInd w:w="165" w:type="dxa"/>
        <w:tblBorders/>
        <w:tblCellMar>
          <w:top w:w="0" w:type="dxa"/>
          <w:start w:w="15" w:type="dxa"/>
          <w:bottom w:w="0" w:type="dxa"/>
          <w:end w:w="15" w:type="dxa"/>
        </w:tblCellMar>
      </w:tblPr>
      <w:tblGrid>
        <w:gridCol w:w="3360"/>
        <w:gridCol w:w="1635"/>
      </w:tblGrid>
      <w:tr>
        <w:trPr/>
        <w:tc>
          <w:tcPr>
            <w:tcW w:w="3360" w:type="dxa"/>
            <w:tcBorders/>
            <w:shd w:fill="auto" w:val="clear"/>
          </w:tcPr>
          <w:p>
            <w:pPr>
              <w:pStyle w:val="Normal"/>
              <w:rPr/>
            </w:pPr>
            <w:r>
              <w:rPr>
                <w:vanish/>
              </w:rPr>
              <w:t>#G0</w:t>
            </w:r>
            <w:r>
              <w:rPr/>
              <w:t xml:space="preserve">  </w:t>
            </w:r>
          </w:p>
          <w:p>
            <w:pPr>
              <w:pStyle w:val="Normal"/>
              <w:rPr/>
            </w:pPr>
            <w:r>
              <w:rPr/>
              <w:drawing>
                <wp:inline distT="0" distB="0" distL="0" distR="0">
                  <wp:extent cx="2280920" cy="288290"/>
                  <wp:effectExtent l="0" t="0" r="0" b="0"/>
                  <wp:docPr id="272" name="Изображение2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Изображение272" descr="" title=""/>
                          <pic:cNvPicPr>
                            <a:picLocks noChangeAspect="1" noChangeArrowheads="1"/>
                          </pic:cNvPicPr>
                        </pic:nvPicPr>
                        <pic:blipFill>
                          <a:blip r:embed="rId273"/>
                          <a:stretch>
                            <a:fillRect/>
                          </a:stretch>
                        </pic:blipFill>
                        <pic:spPr bwMode="auto">
                          <a:xfrm>
                            <a:off x="0" y="0"/>
                            <a:ext cx="2280920" cy="288290"/>
                          </a:xfrm>
                          <a:prstGeom prst="rect">
                            <a:avLst/>
                          </a:prstGeom>
                        </pic:spPr>
                      </pic:pic>
                    </a:graphicData>
                  </a:graphic>
                </wp:inline>
              </w:drawing>
            </w:r>
          </w:p>
        </w:tc>
        <w:tc>
          <w:tcPr>
            <w:tcW w:w="1635" w:type="dxa"/>
            <w:tcBorders/>
            <w:shd w:fill="auto" w:val="clear"/>
          </w:tcPr>
          <w:p>
            <w:pPr>
              <w:pStyle w:val="Normal"/>
              <w:snapToGrid w:val="false"/>
              <w:rPr/>
            </w:pPr>
            <w:r>
              <w:rPr/>
            </w:r>
          </w:p>
          <w:p>
            <w:pPr>
              <w:pStyle w:val="Normal"/>
              <w:rPr/>
            </w:pPr>
            <w:r>
              <w:rPr/>
              <w:t xml:space="preserve">              </w:t>
            </w:r>
            <w:r>
              <w:rPr/>
              <w:t>(7)</w:t>
            </w:r>
          </w:p>
          <w:p>
            <w:pPr>
              <w:pStyle w:val="Normal"/>
              <w:rPr/>
            </w:pPr>
            <w:r>
              <w:rPr/>
            </w:r>
          </w:p>
        </w:tc>
      </w:tr>
    </w:tbl>
    <w:p>
      <w:pPr>
        <w:pStyle w:val="Normal"/>
        <w:ind w:firstLine="360"/>
        <w:jc w:val="both"/>
        <w:rPr/>
      </w:pPr>
      <w:r>
        <w:rPr/>
      </w:r>
    </w:p>
    <w:p>
      <w:pPr>
        <w:pStyle w:val="Normal"/>
        <w:ind w:firstLine="135"/>
        <w:jc w:val="both"/>
        <w:rPr/>
      </w:pPr>
      <w:r>
        <w:rPr/>
        <w:tab/>
        <w:tab/>
      </w:r>
    </w:p>
    <w:p>
      <w:pPr>
        <w:pStyle w:val="Normal"/>
        <w:ind w:firstLine="270"/>
        <w:jc w:val="both"/>
        <w:rPr/>
      </w:pPr>
      <w:r>
        <w:rPr/>
      </w:r>
    </w:p>
    <w:tbl>
      <w:tblPr>
        <w:tblW w:w="8715" w:type="dxa"/>
        <w:jc w:val="start"/>
        <w:tblInd w:w="165" w:type="dxa"/>
        <w:tblBorders/>
        <w:tblCellMar>
          <w:top w:w="0" w:type="dxa"/>
          <w:start w:w="15" w:type="dxa"/>
          <w:bottom w:w="0" w:type="dxa"/>
          <w:end w:w="15" w:type="dxa"/>
        </w:tblCellMar>
      </w:tblPr>
      <w:tblGrid>
        <w:gridCol w:w="420"/>
        <w:gridCol w:w="765"/>
        <w:gridCol w:w="675"/>
        <w:gridCol w:w="1230"/>
        <w:gridCol w:w="2505"/>
        <w:gridCol w:w="600"/>
        <w:gridCol w:w="735"/>
        <w:gridCol w:w="525"/>
        <w:gridCol w:w="45"/>
        <w:gridCol w:w="1185"/>
        <w:gridCol w:w="30"/>
      </w:tblGrid>
      <w:tr>
        <w:trPr/>
        <w:tc>
          <w:tcPr>
            <w:tcW w:w="420" w:type="dxa"/>
            <w:tcBorders/>
            <w:shd w:fill="auto" w:val="clear"/>
          </w:tcPr>
          <w:p>
            <w:pPr>
              <w:pStyle w:val="Normal"/>
              <w:rPr/>
            </w:pPr>
            <w:r>
              <w:rPr>
                <w:vanish/>
              </w:rPr>
              <w:t>#G0</w:t>
            </w:r>
            <w:r>
              <w:rPr/>
              <w:t xml:space="preserve">      где </w:t>
            </w:r>
          </w:p>
          <w:p>
            <w:pPr>
              <w:pStyle w:val="Normal"/>
              <w:rPr/>
            </w:pPr>
            <w:r>
              <w:rPr/>
            </w:r>
          </w:p>
        </w:tc>
        <w:tc>
          <w:tcPr>
            <w:tcW w:w="765" w:type="dxa"/>
            <w:tcBorders/>
            <w:shd w:fill="auto" w:val="clear"/>
          </w:tcPr>
          <w:p>
            <w:pPr>
              <w:pStyle w:val="Normal"/>
              <w:rPr/>
            </w:pPr>
            <w:r>
              <w:rPr/>
              <w:t xml:space="preserve">  </w:t>
            </w:r>
          </w:p>
          <w:p>
            <w:pPr>
              <w:pStyle w:val="Normal"/>
              <w:rPr/>
            </w:pPr>
            <w:r>
              <w:rPr/>
              <w:drawing>
                <wp:inline distT="0" distB="0" distL="0" distR="0">
                  <wp:extent cx="230505" cy="184150"/>
                  <wp:effectExtent l="0" t="0" r="0" b="0"/>
                  <wp:docPr id="273" name="Изображение2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Изображение273" descr="" title=""/>
                          <pic:cNvPicPr>
                            <a:picLocks noChangeAspect="1" noChangeArrowheads="1"/>
                          </pic:cNvPicPr>
                        </pic:nvPicPr>
                        <pic:blipFill>
                          <a:blip r:embed="rId274"/>
                          <a:stretch>
                            <a:fillRect/>
                          </a:stretch>
                        </pic:blipFill>
                        <pic:spPr bwMode="auto">
                          <a:xfrm>
                            <a:off x="0" y="0"/>
                            <a:ext cx="230505" cy="184150"/>
                          </a:xfrm>
                          <a:prstGeom prst="rect">
                            <a:avLst/>
                          </a:prstGeom>
                        </pic:spPr>
                      </pic:pic>
                    </a:graphicData>
                  </a:graphic>
                </wp:inline>
              </w:drawing>
            </w:r>
          </w:p>
        </w:tc>
        <w:tc>
          <w:tcPr>
            <w:tcW w:w="7530" w:type="dxa"/>
            <w:gridSpan w:val="9"/>
            <w:tcBorders/>
            <w:shd w:fill="auto" w:val="clear"/>
          </w:tcPr>
          <w:p>
            <w:pPr>
              <w:pStyle w:val="Normal"/>
              <w:rPr/>
            </w:pPr>
            <w:r>
              <w:rPr/>
              <w:t xml:space="preserve"> </w:t>
            </w:r>
          </w:p>
          <w:p>
            <w:pPr>
              <w:pStyle w:val="Normal"/>
              <w:rPr/>
            </w:pPr>
            <w:r>
              <w:rPr/>
              <w:t xml:space="preserve"> </w:t>
            </w:r>
            <w:r>
              <w:rPr/>
              <w:t xml:space="preserve">- коэффициент эффективности регенерации натрий-катионита, учитывающий неполноту регенерации катионита, принимаемый по табл. 1;  </w:t>
            </w:r>
          </w:p>
          <w:p>
            <w:pPr>
              <w:pStyle w:val="Normal"/>
              <w:rPr/>
            </w:pPr>
            <w:r>
              <w:rPr/>
            </w:r>
          </w:p>
        </w:tc>
      </w:tr>
      <w:tr>
        <w:trPr/>
        <w:tc>
          <w:tcPr>
            <w:tcW w:w="420" w:type="dxa"/>
            <w:tcBorders/>
            <w:shd w:fill="auto" w:val="clear"/>
          </w:tcPr>
          <w:p>
            <w:pPr>
              <w:pStyle w:val="Normal"/>
              <w:rPr/>
            </w:pPr>
            <w:r>
              <w:rPr/>
              <w:t xml:space="preserve">  </w:t>
            </w:r>
          </w:p>
          <w:p>
            <w:pPr>
              <w:pStyle w:val="Normal"/>
              <w:rPr/>
            </w:pPr>
            <w:r>
              <w:rPr/>
            </w:r>
          </w:p>
        </w:tc>
        <w:tc>
          <w:tcPr>
            <w:tcW w:w="765" w:type="dxa"/>
            <w:tcBorders/>
            <w:shd w:fill="auto" w:val="clear"/>
          </w:tcPr>
          <w:p>
            <w:pPr>
              <w:pStyle w:val="Normal"/>
              <w:rPr/>
            </w:pPr>
            <w:r>
              <w:rPr/>
              <w:t xml:space="preserve"> </w:t>
            </w:r>
          </w:p>
          <w:p>
            <w:pPr>
              <w:pStyle w:val="Normal"/>
              <w:rPr/>
            </w:pPr>
            <w:r>
              <w:rPr/>
              <w:drawing>
                <wp:inline distT="0" distB="0" distL="0" distR="0">
                  <wp:extent cx="219075" cy="184150"/>
                  <wp:effectExtent l="0" t="0" r="0" b="0"/>
                  <wp:docPr id="274" name="Изображение2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Изображение274" descr="" title=""/>
                          <pic:cNvPicPr>
                            <a:picLocks noChangeAspect="1" noChangeArrowheads="1"/>
                          </pic:cNvPicPr>
                        </pic:nvPicPr>
                        <pic:blipFill>
                          <a:blip r:embed="rId275"/>
                          <a:stretch>
                            <a:fillRect/>
                          </a:stretch>
                        </pic:blipFill>
                        <pic:spPr bwMode="auto">
                          <a:xfrm>
                            <a:off x="0" y="0"/>
                            <a:ext cx="219075" cy="184150"/>
                          </a:xfrm>
                          <a:prstGeom prst="rect">
                            <a:avLst/>
                          </a:prstGeom>
                        </pic:spPr>
                      </pic:pic>
                    </a:graphicData>
                  </a:graphic>
                </wp:inline>
              </w:drawing>
            </w:r>
            <w:r>
              <w:rPr/>
              <w:t xml:space="preserve"> </w:t>
            </w:r>
          </w:p>
          <w:p>
            <w:pPr>
              <w:pStyle w:val="Normal"/>
              <w:rPr/>
            </w:pPr>
            <w:r>
              <w:rPr/>
            </w:r>
          </w:p>
        </w:tc>
        <w:tc>
          <w:tcPr>
            <w:tcW w:w="7530" w:type="dxa"/>
            <w:gridSpan w:val="9"/>
            <w:tcBorders/>
            <w:shd w:fill="auto" w:val="clear"/>
          </w:tcPr>
          <w:p>
            <w:pPr>
              <w:pStyle w:val="Normal"/>
              <w:rPr/>
            </w:pPr>
            <w:r>
              <w:rPr/>
              <w:t xml:space="preserve">  </w:t>
            </w:r>
          </w:p>
          <w:p>
            <w:pPr>
              <w:pStyle w:val="Normal"/>
              <w:rPr/>
            </w:pPr>
            <w:r>
              <w:rPr/>
              <w:t>-  коэффициент, учитывающий снижение обменной емкости катионита по</w:t>
            </w:r>
          </w:p>
          <w:p>
            <w:pPr>
              <w:pStyle w:val="Normal"/>
              <w:rPr/>
            </w:pPr>
            <w:r>
              <w:rPr/>
              <w:t xml:space="preserve">     </w:t>
            </w:r>
          </w:p>
          <w:p>
            <w:pPr>
              <w:pStyle w:val="Normal"/>
              <w:rPr/>
            </w:pPr>
            <w:r>
              <w:rPr/>
            </w:r>
          </w:p>
        </w:tc>
      </w:tr>
      <w:tr>
        <w:trPr/>
        <w:tc>
          <w:tcPr>
            <w:tcW w:w="420" w:type="dxa"/>
            <w:tcBorders/>
            <w:shd w:fill="auto" w:val="clear"/>
          </w:tcPr>
          <w:p>
            <w:pPr>
              <w:pStyle w:val="Normal"/>
              <w:rPr/>
            </w:pPr>
            <w:r>
              <w:rPr/>
              <w:t xml:space="preserve">  </w:t>
            </w:r>
          </w:p>
          <w:p>
            <w:pPr>
              <w:pStyle w:val="Normal"/>
              <w:rPr/>
            </w:pPr>
            <w:r>
              <w:rPr/>
            </w:r>
          </w:p>
        </w:tc>
        <w:tc>
          <w:tcPr>
            <w:tcW w:w="765" w:type="dxa"/>
            <w:tcBorders/>
            <w:shd w:fill="auto" w:val="clear"/>
          </w:tcPr>
          <w:p>
            <w:pPr>
              <w:pStyle w:val="Normal"/>
              <w:rPr/>
            </w:pPr>
            <w:r>
              <w:rPr/>
              <w:t xml:space="preserve">  </w:t>
            </w:r>
          </w:p>
          <w:p>
            <w:pPr>
              <w:pStyle w:val="Normal"/>
              <w:rPr/>
            </w:pPr>
            <w:r>
              <w:rPr/>
            </w:r>
          </w:p>
        </w:tc>
        <w:tc>
          <w:tcPr>
            <w:tcW w:w="1905" w:type="dxa"/>
            <w:gridSpan w:val="2"/>
            <w:tcBorders/>
            <w:shd w:fill="auto" w:val="clear"/>
          </w:tcPr>
          <w:p>
            <w:pPr>
              <w:pStyle w:val="Normal"/>
              <w:rPr/>
            </w:pPr>
            <w:r>
              <w:rPr/>
              <w:drawing>
                <wp:inline distT="0" distB="0" distL="0" distR="0">
                  <wp:extent cx="760095" cy="207645"/>
                  <wp:effectExtent l="0" t="0" r="0" b="0"/>
                  <wp:docPr id="275" name="Изображение2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Изображение275" descr="" title=""/>
                          <pic:cNvPicPr>
                            <a:picLocks noChangeAspect="1" noChangeArrowheads="1"/>
                          </pic:cNvPicPr>
                        </pic:nvPicPr>
                        <pic:blipFill>
                          <a:blip r:embed="rId276"/>
                          <a:stretch>
                            <a:fillRect/>
                          </a:stretch>
                        </pic:blipFill>
                        <pic:spPr bwMode="auto">
                          <a:xfrm>
                            <a:off x="0" y="0"/>
                            <a:ext cx="760095" cy="207645"/>
                          </a:xfrm>
                          <a:prstGeom prst="rect">
                            <a:avLst/>
                          </a:prstGeom>
                        </pic:spPr>
                      </pic:pic>
                    </a:graphicData>
                  </a:graphic>
                </wp:inline>
              </w:drawing>
            </w:r>
            <w:r>
              <w:rPr/>
              <w:t xml:space="preserve">  </w:t>
            </w:r>
          </w:p>
          <w:p>
            <w:pPr>
              <w:pStyle w:val="Normal"/>
              <w:rPr/>
            </w:pPr>
            <w:r>
              <w:rPr/>
            </w:r>
          </w:p>
        </w:tc>
        <w:tc>
          <w:tcPr>
            <w:tcW w:w="4410" w:type="dxa"/>
            <w:gridSpan w:val="5"/>
            <w:tcBorders/>
            <w:shd w:fill="auto" w:val="clear"/>
          </w:tcPr>
          <w:p>
            <w:pPr>
              <w:pStyle w:val="Normal"/>
              <w:rPr/>
            </w:pPr>
            <w:r>
              <w:rPr/>
              <w:t xml:space="preserve">  </w:t>
            </w:r>
            <w:r>
              <w:rPr/>
              <w:t xml:space="preserve">вследствие частичного задержания катионитов </w:t>
            </w:r>
          </w:p>
          <w:p>
            <w:pPr>
              <w:pStyle w:val="Normal"/>
              <w:rPr/>
            </w:pPr>
            <w:r>
              <w:rPr/>
            </w:r>
          </w:p>
        </w:tc>
        <w:tc>
          <w:tcPr>
            <w:tcW w:w="1215" w:type="dxa"/>
            <w:gridSpan w:val="2"/>
            <w:tcBorders/>
            <w:shd w:fill="auto" w:val="clear"/>
            <w:tcMar>
              <w:start w:w="0" w:type="dxa"/>
              <w:end w:w="0" w:type="dxa"/>
            </w:tcMar>
          </w:tcPr>
          <w:p>
            <w:pPr>
              <w:pStyle w:val="Normal"/>
              <w:snapToGrid w:val="false"/>
              <w:rPr/>
            </w:pPr>
            <w:r>
              <w:rPr/>
            </w:r>
          </w:p>
        </w:tc>
      </w:tr>
      <w:tr>
        <w:trPr/>
        <w:tc>
          <w:tcPr>
            <w:tcW w:w="420" w:type="dxa"/>
            <w:tcBorders/>
            <w:shd w:fill="auto" w:val="clear"/>
          </w:tcPr>
          <w:p>
            <w:pPr>
              <w:pStyle w:val="Normal"/>
              <w:rPr/>
            </w:pPr>
            <w:r>
              <w:rPr/>
              <w:t xml:space="preserve">  </w:t>
            </w:r>
          </w:p>
          <w:p>
            <w:pPr>
              <w:pStyle w:val="Normal"/>
              <w:rPr/>
            </w:pPr>
            <w:r>
              <w:rPr/>
            </w:r>
          </w:p>
        </w:tc>
        <w:tc>
          <w:tcPr>
            <w:tcW w:w="765" w:type="dxa"/>
            <w:tcBorders/>
            <w:shd w:fill="auto" w:val="clear"/>
          </w:tcPr>
          <w:p>
            <w:pPr>
              <w:pStyle w:val="Normal"/>
              <w:rPr/>
            </w:pPr>
            <w:r>
              <w:rPr/>
              <w:t xml:space="preserve">  </w:t>
            </w:r>
          </w:p>
          <w:p>
            <w:pPr>
              <w:pStyle w:val="Normal"/>
              <w:rPr/>
            </w:pPr>
            <w:r>
              <w:rPr/>
            </w:r>
          </w:p>
        </w:tc>
        <w:tc>
          <w:tcPr>
            <w:tcW w:w="675" w:type="dxa"/>
            <w:tcBorders/>
            <w:shd w:fill="auto" w:val="clear"/>
          </w:tcPr>
          <w:p>
            <w:pPr>
              <w:pStyle w:val="Normal"/>
              <w:snapToGrid w:val="false"/>
              <w:ind w:firstLine="135"/>
              <w:jc w:val="both"/>
              <w:rPr/>
            </w:pPr>
            <w:r>
              <w:rPr/>
            </w:r>
          </w:p>
          <w:p>
            <w:pPr>
              <w:pStyle w:val="Normal"/>
              <w:ind w:firstLine="135"/>
              <w:jc w:val="both"/>
              <w:rPr/>
            </w:pPr>
            <w:r>
              <w:rPr/>
              <w:drawing>
                <wp:inline distT="0" distB="0" distL="0" distR="0">
                  <wp:extent cx="322580" cy="138430"/>
                  <wp:effectExtent l="0" t="0" r="0" b="0"/>
                  <wp:docPr id="276" name="Изображение2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Изображение276" descr="" title=""/>
                          <pic:cNvPicPr>
                            <a:picLocks noChangeAspect="1" noChangeArrowheads="1"/>
                          </pic:cNvPicPr>
                        </pic:nvPicPr>
                        <pic:blipFill>
                          <a:blip r:embed="rId277"/>
                          <a:stretch>
                            <a:fillRect/>
                          </a:stretch>
                        </pic:blipFill>
                        <pic:spPr bwMode="auto">
                          <a:xfrm>
                            <a:off x="0" y="0"/>
                            <a:ext cx="322580" cy="138430"/>
                          </a:xfrm>
                          <a:prstGeom prst="rect">
                            <a:avLst/>
                          </a:prstGeom>
                        </pic:spPr>
                      </pic:pic>
                    </a:graphicData>
                  </a:graphic>
                </wp:inline>
              </w:drawing>
            </w:r>
          </w:p>
        </w:tc>
        <w:tc>
          <w:tcPr>
            <w:tcW w:w="3735" w:type="dxa"/>
            <w:gridSpan w:val="2"/>
            <w:tcBorders/>
            <w:shd w:fill="auto" w:val="clear"/>
          </w:tcPr>
          <w:p>
            <w:pPr>
              <w:pStyle w:val="Normal"/>
              <w:snapToGrid w:val="false"/>
              <w:rPr/>
            </w:pPr>
            <w:r>
              <w:rPr/>
            </w:r>
          </w:p>
          <w:p>
            <w:pPr>
              <w:pStyle w:val="Normal"/>
              <w:rPr/>
            </w:pPr>
            <w:r>
              <w:rPr/>
              <w:t xml:space="preserve">, принимаемый по табл. 2, в которой </w:t>
            </w:r>
          </w:p>
          <w:p>
            <w:pPr>
              <w:pStyle w:val="Normal"/>
              <w:rPr/>
            </w:pPr>
            <w:r>
              <w:rPr/>
            </w:r>
          </w:p>
        </w:tc>
        <w:tc>
          <w:tcPr>
            <w:tcW w:w="1335" w:type="dxa"/>
            <w:gridSpan w:val="2"/>
            <w:tcBorders/>
            <w:shd w:fill="auto" w:val="clear"/>
          </w:tcPr>
          <w:p>
            <w:pPr>
              <w:pStyle w:val="Normal"/>
              <w:rPr/>
            </w:pPr>
            <w:r>
              <w:rPr/>
              <w:t xml:space="preserve">  </w:t>
            </w:r>
          </w:p>
          <w:p>
            <w:pPr>
              <w:pStyle w:val="Normal"/>
              <w:rPr/>
            </w:pPr>
            <w:r>
              <w:rPr/>
              <w:drawing>
                <wp:inline distT="0" distB="0" distL="0" distR="0">
                  <wp:extent cx="241935" cy="184150"/>
                  <wp:effectExtent l="0" t="0" r="0" b="0"/>
                  <wp:docPr id="277" name="Изображение2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Изображение277" descr="" title=""/>
                          <pic:cNvPicPr>
                            <a:picLocks noChangeAspect="1" noChangeArrowheads="1"/>
                          </pic:cNvPicPr>
                        </pic:nvPicPr>
                        <pic:blipFill>
                          <a:blip r:embed="rId278"/>
                          <a:stretch>
                            <a:fillRect/>
                          </a:stretch>
                        </pic:blipFill>
                        <pic:spPr bwMode="auto">
                          <a:xfrm>
                            <a:off x="0" y="0"/>
                            <a:ext cx="241935" cy="184150"/>
                          </a:xfrm>
                          <a:prstGeom prst="rect">
                            <a:avLst/>
                          </a:prstGeom>
                        </pic:spPr>
                      </pic:pic>
                    </a:graphicData>
                  </a:graphic>
                </wp:inline>
              </w:drawing>
            </w:r>
          </w:p>
        </w:tc>
        <w:tc>
          <w:tcPr>
            <w:tcW w:w="1785" w:type="dxa"/>
            <w:gridSpan w:val="4"/>
            <w:tcBorders/>
            <w:shd w:fill="auto" w:val="clear"/>
            <w:tcMar>
              <w:start w:w="0" w:type="dxa"/>
              <w:end w:w="0" w:type="dxa"/>
            </w:tcMar>
          </w:tcPr>
          <w:p>
            <w:pPr>
              <w:pStyle w:val="Normal"/>
              <w:snapToGrid w:val="false"/>
              <w:rPr/>
            </w:pPr>
            <w:r>
              <w:rPr/>
            </w:r>
          </w:p>
        </w:tc>
      </w:tr>
      <w:tr>
        <w:trPr/>
        <w:tc>
          <w:tcPr>
            <w:tcW w:w="420" w:type="dxa"/>
            <w:tcBorders/>
            <w:shd w:fill="auto" w:val="clear"/>
          </w:tcPr>
          <w:p>
            <w:pPr>
              <w:pStyle w:val="Normal"/>
              <w:rPr/>
            </w:pPr>
            <w:r>
              <w:rPr/>
              <w:t xml:space="preserve">  </w:t>
            </w:r>
          </w:p>
          <w:p>
            <w:pPr>
              <w:pStyle w:val="Normal"/>
              <w:rPr/>
            </w:pPr>
            <w:r>
              <w:rPr/>
            </w:r>
          </w:p>
        </w:tc>
        <w:tc>
          <w:tcPr>
            <w:tcW w:w="765" w:type="dxa"/>
            <w:tcBorders/>
            <w:shd w:fill="auto" w:val="clear"/>
          </w:tcPr>
          <w:p>
            <w:pPr>
              <w:pStyle w:val="Normal"/>
              <w:rPr/>
            </w:pPr>
            <w:r>
              <w:rPr/>
              <w:t xml:space="preserve">  </w:t>
            </w:r>
          </w:p>
          <w:p>
            <w:pPr>
              <w:pStyle w:val="Normal"/>
              <w:rPr/>
            </w:pPr>
            <w:r>
              <w:rPr/>
            </w:r>
          </w:p>
        </w:tc>
        <w:tc>
          <w:tcPr>
            <w:tcW w:w="5010" w:type="dxa"/>
            <w:gridSpan w:val="4"/>
            <w:tcBorders/>
            <w:shd w:fill="auto" w:val="clear"/>
          </w:tcPr>
          <w:p>
            <w:pPr>
              <w:pStyle w:val="Normal"/>
              <w:snapToGrid w:val="false"/>
              <w:jc w:val="both"/>
              <w:rPr/>
            </w:pPr>
            <w:r>
              <w:rPr/>
            </w:r>
          </w:p>
          <w:p>
            <w:pPr>
              <w:pStyle w:val="Normal"/>
              <w:jc w:val="both"/>
              <w:rPr/>
            </w:pPr>
            <w:r>
              <w:rPr/>
              <w:t xml:space="preserve">- концентрация натрия в исходной воде, г-экв/куб.м </w:t>
            </w:r>
          </w:p>
          <w:p>
            <w:pPr>
              <w:pStyle w:val="Normal"/>
              <w:rPr/>
            </w:pPr>
            <w:r>
              <w:rPr/>
              <w:t xml:space="preserve">  </w:t>
            </w:r>
          </w:p>
          <w:p>
            <w:pPr>
              <w:pStyle w:val="Normal"/>
              <w:rPr/>
            </w:pPr>
            <w:r>
              <w:rPr/>
            </w:r>
          </w:p>
        </w:tc>
        <w:tc>
          <w:tcPr>
            <w:tcW w:w="2490" w:type="dxa"/>
            <w:gridSpan w:val="4"/>
            <w:tcBorders/>
            <w:shd w:fill="auto" w:val="clear"/>
          </w:tcPr>
          <w:p>
            <w:pPr>
              <w:pStyle w:val="Normal"/>
              <w:rPr/>
            </w:pPr>
            <w:r>
              <w:rPr/>
              <w:t xml:space="preserve">  </w:t>
            </w:r>
          </w:p>
          <w:p>
            <w:pPr>
              <w:pStyle w:val="Normal"/>
              <w:rPr/>
            </w:pPr>
            <w:r>
              <w:rPr/>
              <w:drawing>
                <wp:inline distT="0" distB="0" distL="0" distR="0">
                  <wp:extent cx="1082675" cy="184150"/>
                  <wp:effectExtent l="0" t="0" r="0" b="0"/>
                  <wp:docPr id="278" name="Изображение2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Изображение278" descr="" title=""/>
                          <pic:cNvPicPr>
                            <a:picLocks noChangeAspect="1" noChangeArrowheads="1"/>
                          </pic:cNvPicPr>
                        </pic:nvPicPr>
                        <pic:blipFill>
                          <a:blip r:embed="rId279"/>
                          <a:stretch>
                            <a:fillRect/>
                          </a:stretch>
                        </pic:blipFill>
                        <pic:spPr bwMode="auto">
                          <a:xfrm>
                            <a:off x="0" y="0"/>
                            <a:ext cx="1082675" cy="184150"/>
                          </a:xfrm>
                          <a:prstGeom prst="rect">
                            <a:avLst/>
                          </a:prstGeom>
                        </pic:spPr>
                      </pic:pic>
                    </a:graphicData>
                  </a:graphic>
                </wp:inline>
              </w:drawing>
            </w:r>
          </w:p>
        </w:tc>
        <w:tc>
          <w:tcPr>
            <w:tcW w:w="30" w:type="dxa"/>
            <w:tcBorders/>
            <w:shd w:fill="auto" w:val="clear"/>
            <w:tcMar>
              <w:start w:w="0" w:type="dxa"/>
              <w:end w:w="0" w:type="dxa"/>
            </w:tcMar>
          </w:tcPr>
          <w:p>
            <w:pPr>
              <w:pStyle w:val="Normal"/>
              <w:snapToGrid w:val="false"/>
              <w:rPr/>
            </w:pPr>
            <w:r>
              <w:rPr/>
            </w:r>
          </w:p>
        </w:tc>
      </w:tr>
      <w:tr>
        <w:trPr/>
        <w:tc>
          <w:tcPr>
            <w:tcW w:w="420" w:type="dxa"/>
            <w:tcBorders/>
            <w:shd w:fill="auto" w:val="clear"/>
          </w:tcPr>
          <w:p>
            <w:pPr>
              <w:pStyle w:val="Normal"/>
              <w:rPr/>
            </w:pPr>
            <w:r>
              <w:rPr/>
              <w:t xml:space="preserve">  </w:t>
            </w:r>
          </w:p>
          <w:p>
            <w:pPr>
              <w:pStyle w:val="Normal"/>
              <w:rPr/>
            </w:pPr>
            <w:r>
              <w:rPr/>
            </w:r>
          </w:p>
        </w:tc>
        <w:tc>
          <w:tcPr>
            <w:tcW w:w="765" w:type="dxa"/>
            <w:tcBorders/>
            <w:shd w:fill="auto" w:val="clear"/>
          </w:tcPr>
          <w:p>
            <w:pPr>
              <w:pStyle w:val="Normal"/>
              <w:rPr/>
            </w:pPr>
            <w:r>
              <w:rPr/>
              <w:t xml:space="preserve">  </w:t>
            </w:r>
          </w:p>
          <w:p>
            <w:pPr>
              <w:pStyle w:val="Normal"/>
              <w:rPr/>
            </w:pPr>
            <w:r>
              <w:rPr/>
            </w:r>
          </w:p>
        </w:tc>
        <w:tc>
          <w:tcPr>
            <w:tcW w:w="6270" w:type="dxa"/>
            <w:gridSpan w:val="6"/>
            <w:tcBorders/>
            <w:shd w:fill="auto" w:val="clear"/>
          </w:tcPr>
          <w:p>
            <w:pPr>
              <w:pStyle w:val="Normal"/>
              <w:rPr/>
            </w:pPr>
            <w:r>
              <w:rPr/>
              <w:t xml:space="preserve">  </w:t>
            </w:r>
          </w:p>
          <w:p>
            <w:pPr>
              <w:pStyle w:val="Normal"/>
              <w:rPr/>
            </w:pPr>
            <w:r>
              <w:rPr/>
            </w:r>
          </w:p>
        </w:tc>
        <w:tc>
          <w:tcPr>
            <w:tcW w:w="1260" w:type="dxa"/>
            <w:gridSpan w:val="3"/>
            <w:tcBorders/>
            <w:shd w:fill="auto" w:val="clear"/>
            <w:tcMar>
              <w:start w:w="0" w:type="dxa"/>
              <w:end w:w="0" w:type="dxa"/>
            </w:tcMar>
          </w:tcPr>
          <w:p>
            <w:pPr>
              <w:pStyle w:val="Normal"/>
              <w:snapToGrid w:val="false"/>
              <w:rPr/>
            </w:pPr>
            <w:r>
              <w:rPr/>
            </w:r>
          </w:p>
        </w:tc>
      </w:tr>
    </w:tbl>
    <w:p>
      <w:pPr>
        <w:pStyle w:val="Normal"/>
        <w:jc w:val="both"/>
        <w:rPr/>
      </w:pPr>
      <w:r>
        <w:rPr/>
      </w:r>
    </w:p>
    <w:p>
      <w:pPr>
        <w:pStyle w:val="Normal"/>
        <w:ind w:firstLine="405"/>
        <w:jc w:val="both"/>
        <w:rPr/>
      </w:pPr>
      <w:r>
        <w:rPr/>
      </w:r>
    </w:p>
    <w:p>
      <w:pPr>
        <w:pStyle w:val="Normal"/>
        <w:ind w:firstLine="405"/>
        <w:jc w:val="both"/>
        <w:rPr/>
      </w:pPr>
      <w:r>
        <w:rPr/>
      </w:r>
    </w:p>
    <w:p>
      <w:pPr>
        <w:pStyle w:val="Normal"/>
        <w:jc w:val="end"/>
        <w:rPr/>
      </w:pPr>
      <w:r>
        <w:rPr/>
        <w:t xml:space="preserve">Таблица 1      </w:t>
      </w:r>
    </w:p>
    <w:p>
      <w:pPr>
        <w:pStyle w:val="Normal"/>
        <w:jc w:val="end"/>
        <w:rPr/>
      </w:pPr>
      <w:r>
        <w:rPr/>
      </w:r>
    </w:p>
    <w:tbl>
      <w:tblPr>
        <w:tblW w:w="6350" w:type="dxa"/>
        <w:jc w:val="start"/>
        <w:tblInd w:w="105" w:type="dxa"/>
        <w:tblBorders>
          <w:top w:val="single" w:sz="2" w:space="0" w:color="000000"/>
          <w:start w:val="single" w:sz="2" w:space="0" w:color="000000"/>
          <w:bottom w:val="single" w:sz="2" w:space="0" w:color="000000"/>
          <w:insideH w:val="single" w:sz="2" w:space="0" w:color="000000"/>
        </w:tblBorders>
        <w:tblCellMar>
          <w:top w:w="0" w:type="dxa"/>
          <w:start w:w="102" w:type="dxa"/>
          <w:bottom w:w="0" w:type="dxa"/>
          <w:end w:w="105" w:type="dxa"/>
        </w:tblCellMar>
      </w:tblPr>
      <w:tblGrid>
        <w:gridCol w:w="2520"/>
        <w:gridCol w:w="780"/>
        <w:gridCol w:w="780"/>
        <w:gridCol w:w="780"/>
        <w:gridCol w:w="780"/>
        <w:gridCol w:w="710"/>
      </w:tblGrid>
      <w:tr>
        <w:trPr/>
        <w:tc>
          <w:tcPr>
            <w:tcW w:w="252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both"/>
              <w:rPr>
                <w:vanish/>
              </w:rPr>
            </w:pPr>
            <w:r>
              <w:rPr>
                <w:vanish/>
              </w:rPr>
              <w:t>#G0</w:t>
            </w:r>
          </w:p>
          <w:p>
            <w:pPr>
              <w:pStyle w:val="Normal"/>
              <w:jc w:val="both"/>
              <w:rPr/>
            </w:pPr>
            <w:r>
              <w:rPr/>
              <w:t xml:space="preserve">Удельный расход поваренной соли на регенерацию катионита, г на г-экв рабочей обменной емкости </w:t>
            </w:r>
          </w:p>
          <w:p>
            <w:pPr>
              <w:pStyle w:val="Normal"/>
              <w:jc w:val="both"/>
              <w:rPr/>
            </w:pPr>
            <w:r>
              <w:rPr/>
            </w:r>
          </w:p>
        </w:tc>
        <w:tc>
          <w:tcPr>
            <w:tcW w:w="78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snapToGrid w:val="false"/>
              <w:jc w:val="center"/>
              <w:rPr/>
            </w:pPr>
            <w:r>
              <w:rPr/>
            </w:r>
          </w:p>
          <w:p>
            <w:pPr>
              <w:pStyle w:val="Normal"/>
              <w:jc w:val="center"/>
              <w:rPr/>
            </w:pPr>
            <w:r>
              <w:rPr/>
              <w:t xml:space="preserve">100 </w:t>
            </w:r>
          </w:p>
          <w:p>
            <w:pPr>
              <w:pStyle w:val="Normal"/>
              <w:jc w:val="center"/>
              <w:rPr/>
            </w:pPr>
            <w:r>
              <w:rPr/>
            </w:r>
          </w:p>
        </w:tc>
        <w:tc>
          <w:tcPr>
            <w:tcW w:w="78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t xml:space="preserve">150 </w:t>
            </w:r>
          </w:p>
          <w:p>
            <w:pPr>
              <w:pStyle w:val="Normal"/>
              <w:rPr/>
            </w:pPr>
            <w:r>
              <w:rPr/>
            </w:r>
          </w:p>
        </w:tc>
        <w:tc>
          <w:tcPr>
            <w:tcW w:w="78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t xml:space="preserve">200 </w:t>
            </w:r>
          </w:p>
          <w:p>
            <w:pPr>
              <w:pStyle w:val="Normal"/>
              <w:rPr/>
            </w:pPr>
            <w:r>
              <w:rPr/>
            </w:r>
          </w:p>
        </w:tc>
        <w:tc>
          <w:tcPr>
            <w:tcW w:w="78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t xml:space="preserve">250 </w:t>
            </w:r>
          </w:p>
          <w:p>
            <w:pPr>
              <w:pStyle w:val="Normal"/>
              <w:rPr/>
            </w:pPr>
            <w:r>
              <w:rPr/>
            </w:r>
          </w:p>
        </w:tc>
        <w:tc>
          <w:tcPr>
            <w:tcW w:w="71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t xml:space="preserve">300 </w:t>
            </w:r>
          </w:p>
          <w:p>
            <w:pPr>
              <w:pStyle w:val="Normal"/>
              <w:rPr/>
            </w:pPr>
            <w:r>
              <w:rPr/>
            </w:r>
          </w:p>
        </w:tc>
      </w:tr>
      <w:tr>
        <w:trPr/>
        <w:tc>
          <w:tcPr>
            <w:tcW w:w="2520" w:type="dxa"/>
            <w:tcBorders>
              <w:start w:val="single" w:sz="2" w:space="0" w:color="000000"/>
              <w:bottom w:val="single" w:sz="2" w:space="0" w:color="000000"/>
              <w:insideH w:val="single" w:sz="2" w:space="0" w:color="000000"/>
            </w:tcBorders>
            <w:shd w:fill="auto" w:val="clear"/>
            <w:tcMar>
              <w:start w:w="102" w:type="dxa"/>
            </w:tcMar>
          </w:tcPr>
          <w:p>
            <w:pPr>
              <w:pStyle w:val="Normal"/>
              <w:snapToGrid w:val="false"/>
              <w:jc w:val="both"/>
              <w:rPr/>
            </w:pPr>
            <w:r>
              <w:rPr/>
            </w:r>
          </w:p>
          <w:p>
            <w:pPr>
              <w:pStyle w:val="Normal"/>
              <w:jc w:val="both"/>
              <w:rPr/>
            </w:pPr>
            <w:r>
              <w:rPr/>
              <w:t xml:space="preserve">Коэффициент эффективности регенерации катионита </w:t>
            </w:r>
          </w:p>
          <w:p>
            <w:pPr>
              <w:pStyle w:val="Normal"/>
              <w:jc w:val="both"/>
              <w:rPr/>
            </w:pPr>
            <w:r>
              <w:rPr/>
              <w:drawing>
                <wp:inline distT="0" distB="0" distL="0" distR="0">
                  <wp:extent cx="230505" cy="184150"/>
                  <wp:effectExtent l="0" t="0" r="0" b="0"/>
                  <wp:docPr id="279" name="Изображение2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Изображение279" descr="" title=""/>
                          <pic:cNvPicPr>
                            <a:picLocks noChangeAspect="1" noChangeArrowheads="1"/>
                          </pic:cNvPicPr>
                        </pic:nvPicPr>
                        <pic:blipFill>
                          <a:blip r:embed="rId280"/>
                          <a:stretch>
                            <a:fillRect/>
                          </a:stretch>
                        </pic:blipFill>
                        <pic:spPr bwMode="auto">
                          <a:xfrm>
                            <a:off x="0" y="0"/>
                            <a:ext cx="230505" cy="184150"/>
                          </a:xfrm>
                          <a:prstGeom prst="rect">
                            <a:avLst/>
                          </a:prstGeom>
                        </pic:spPr>
                      </pic:pic>
                    </a:graphicData>
                  </a:graphic>
                </wp:inline>
              </w:drawing>
            </w:r>
          </w:p>
          <w:p>
            <w:pPr>
              <w:pStyle w:val="Normal"/>
              <w:jc w:val="both"/>
              <w:rPr/>
            </w:pPr>
            <w:r>
              <w:rPr/>
            </w:r>
          </w:p>
        </w:tc>
        <w:tc>
          <w:tcPr>
            <w:tcW w:w="780" w:type="dxa"/>
            <w:tcBorders>
              <w:start w:val="single" w:sz="2" w:space="0" w:color="000000"/>
              <w:bottom w:val="single" w:sz="2" w:space="0" w:color="000000"/>
              <w:insideH w:val="single" w:sz="2" w:space="0" w:color="000000"/>
            </w:tcBorders>
            <w:shd w:fill="auto" w:val="clear"/>
            <w:tcMar>
              <w:start w:w="102" w:type="dxa"/>
            </w:tcMar>
          </w:tcPr>
          <w:p>
            <w:pPr>
              <w:pStyle w:val="Normal"/>
              <w:snapToGrid w:val="false"/>
              <w:jc w:val="center"/>
              <w:rPr/>
            </w:pPr>
            <w:r>
              <w:rPr/>
            </w:r>
          </w:p>
          <w:p>
            <w:pPr>
              <w:pStyle w:val="Normal"/>
              <w:jc w:val="center"/>
              <w:rPr/>
            </w:pPr>
            <w:r>
              <w:rPr/>
              <w:t xml:space="preserve">0,62 </w:t>
            </w:r>
          </w:p>
          <w:p>
            <w:pPr>
              <w:pStyle w:val="Normal"/>
              <w:jc w:val="center"/>
              <w:rPr/>
            </w:pPr>
            <w:r>
              <w:rPr/>
            </w:r>
          </w:p>
        </w:tc>
        <w:tc>
          <w:tcPr>
            <w:tcW w:w="780" w:type="dxa"/>
            <w:tcBorders>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t xml:space="preserve">0,74 </w:t>
            </w:r>
          </w:p>
          <w:p>
            <w:pPr>
              <w:pStyle w:val="Normal"/>
              <w:rPr/>
            </w:pPr>
            <w:r>
              <w:rPr/>
            </w:r>
          </w:p>
        </w:tc>
        <w:tc>
          <w:tcPr>
            <w:tcW w:w="780" w:type="dxa"/>
            <w:tcBorders>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t xml:space="preserve">0,81 </w:t>
            </w:r>
          </w:p>
          <w:p>
            <w:pPr>
              <w:pStyle w:val="Normal"/>
              <w:rPr/>
            </w:pPr>
            <w:r>
              <w:rPr/>
            </w:r>
          </w:p>
        </w:tc>
        <w:tc>
          <w:tcPr>
            <w:tcW w:w="780" w:type="dxa"/>
            <w:tcBorders>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t xml:space="preserve">0,86 </w:t>
            </w:r>
          </w:p>
          <w:p>
            <w:pPr>
              <w:pStyle w:val="Normal"/>
              <w:rPr/>
            </w:pPr>
            <w:r>
              <w:rPr/>
            </w:r>
          </w:p>
        </w:tc>
        <w:tc>
          <w:tcPr>
            <w:tcW w:w="71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snapToGrid w:val="false"/>
              <w:rPr/>
            </w:pPr>
            <w:r>
              <w:rPr/>
            </w:r>
          </w:p>
          <w:p>
            <w:pPr>
              <w:pStyle w:val="Normal"/>
              <w:rPr/>
            </w:pPr>
            <w:r>
              <w:rPr/>
              <w:t xml:space="preserve">0,9 </w:t>
            </w:r>
          </w:p>
          <w:p>
            <w:pPr>
              <w:pStyle w:val="Normal"/>
              <w:rPr/>
            </w:pPr>
            <w:r>
              <w:rPr/>
            </w:r>
          </w:p>
        </w:tc>
      </w:tr>
    </w:tbl>
    <w:p>
      <w:pPr>
        <w:pStyle w:val="Normal"/>
        <w:jc w:val="end"/>
        <w:rPr/>
      </w:pPr>
      <w:r>
        <w:rPr/>
        <w:t xml:space="preserve">Таблица 2 </w:t>
      </w:r>
    </w:p>
    <w:p>
      <w:pPr>
        <w:pStyle w:val="Normal"/>
        <w:ind w:firstLine="270"/>
        <w:jc w:val="both"/>
        <w:rPr/>
      </w:pPr>
      <w:r>
        <w:rPr/>
      </w:r>
    </w:p>
    <w:p>
      <w:pPr>
        <w:pStyle w:val="Normal"/>
        <w:ind w:firstLine="270"/>
        <w:jc w:val="both"/>
        <w:rPr/>
      </w:pPr>
      <w:r>
        <w:rPr/>
      </w:r>
    </w:p>
    <w:tbl>
      <w:tblPr>
        <w:tblW w:w="6275" w:type="dxa"/>
        <w:jc w:val="start"/>
        <w:tblInd w:w="45" w:type="dxa"/>
        <w:tblBorders>
          <w:top w:val="single" w:sz="2" w:space="0" w:color="000000"/>
          <w:start w:val="single" w:sz="2" w:space="0" w:color="000000"/>
          <w:bottom w:val="single" w:sz="2" w:space="0" w:color="000000"/>
          <w:insideH w:val="single" w:sz="2" w:space="0" w:color="000000"/>
        </w:tblBorders>
        <w:tblCellMar>
          <w:top w:w="0" w:type="dxa"/>
          <w:start w:w="42" w:type="dxa"/>
          <w:bottom w:w="0" w:type="dxa"/>
          <w:end w:w="45" w:type="dxa"/>
        </w:tblCellMar>
      </w:tblPr>
      <w:tblGrid>
        <w:gridCol w:w="1635"/>
        <w:gridCol w:w="675"/>
        <w:gridCol w:w="675"/>
        <w:gridCol w:w="675"/>
        <w:gridCol w:w="675"/>
        <w:gridCol w:w="675"/>
        <w:gridCol w:w="675"/>
        <w:gridCol w:w="590"/>
      </w:tblGrid>
      <w:tr>
        <w:trPr/>
        <w:tc>
          <w:tcPr>
            <w:tcW w:w="163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both"/>
              <w:rPr>
                <w:vanish/>
              </w:rPr>
            </w:pPr>
            <w:r>
              <w:rPr>
                <w:vanish/>
              </w:rPr>
              <w:t>#G0</w:t>
            </w:r>
          </w:p>
          <w:p>
            <w:pPr>
              <w:pStyle w:val="Normal"/>
              <w:jc w:val="both"/>
              <w:rPr/>
            </w:pPr>
            <w:r>
              <w:rPr/>
              <w:drawing>
                <wp:inline distT="0" distB="0" distL="0" distR="0">
                  <wp:extent cx="668020" cy="184150"/>
                  <wp:effectExtent l="0" t="0" r="0" b="0"/>
                  <wp:docPr id="280" name="Изображение2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Изображение280" descr="" title=""/>
                          <pic:cNvPicPr>
                            <a:picLocks noChangeAspect="1" noChangeArrowheads="1"/>
                          </pic:cNvPicPr>
                        </pic:nvPicPr>
                        <pic:blipFill>
                          <a:blip r:embed="rId281"/>
                          <a:stretch>
                            <a:fillRect/>
                          </a:stretch>
                        </pic:blipFill>
                        <pic:spPr bwMode="auto">
                          <a:xfrm>
                            <a:off x="0" y="0"/>
                            <a:ext cx="668020" cy="184150"/>
                          </a:xfrm>
                          <a:prstGeom prst="rect">
                            <a:avLst/>
                          </a:prstGeom>
                        </pic:spPr>
                      </pic:pic>
                    </a:graphicData>
                  </a:graphic>
                </wp:inline>
              </w:drawing>
            </w:r>
          </w:p>
          <w:p>
            <w:pPr>
              <w:pStyle w:val="Normal"/>
              <w:jc w:val="both"/>
              <w:rPr/>
            </w:pPr>
            <w:r>
              <w:rPr/>
            </w:r>
          </w:p>
        </w:tc>
        <w:tc>
          <w:tcPr>
            <w:tcW w:w="6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snapToGrid w:val="false"/>
              <w:jc w:val="center"/>
              <w:rPr/>
            </w:pPr>
            <w:r>
              <w:rPr/>
            </w:r>
          </w:p>
          <w:p>
            <w:pPr>
              <w:pStyle w:val="Normal"/>
              <w:jc w:val="center"/>
              <w:rPr/>
            </w:pPr>
            <w:r>
              <w:rPr/>
              <w:t xml:space="preserve">0,01 </w:t>
            </w:r>
          </w:p>
          <w:p>
            <w:pPr>
              <w:pStyle w:val="Normal"/>
              <w:jc w:val="center"/>
              <w:rPr/>
            </w:pPr>
            <w:r>
              <w:rPr/>
            </w:r>
          </w:p>
        </w:tc>
        <w:tc>
          <w:tcPr>
            <w:tcW w:w="6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0,05 </w:t>
            </w:r>
          </w:p>
          <w:p>
            <w:pPr>
              <w:pStyle w:val="Normal"/>
              <w:rPr/>
            </w:pPr>
            <w:r>
              <w:rPr/>
            </w:r>
          </w:p>
        </w:tc>
        <w:tc>
          <w:tcPr>
            <w:tcW w:w="6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0,1 </w:t>
            </w:r>
          </w:p>
          <w:p>
            <w:pPr>
              <w:pStyle w:val="Normal"/>
              <w:rPr/>
            </w:pPr>
            <w:r>
              <w:rPr/>
            </w:r>
          </w:p>
        </w:tc>
        <w:tc>
          <w:tcPr>
            <w:tcW w:w="6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0,5 </w:t>
            </w:r>
          </w:p>
          <w:p>
            <w:pPr>
              <w:pStyle w:val="Normal"/>
              <w:rPr/>
            </w:pPr>
            <w:r>
              <w:rPr/>
            </w:r>
          </w:p>
        </w:tc>
        <w:tc>
          <w:tcPr>
            <w:tcW w:w="6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1 </w:t>
            </w:r>
          </w:p>
          <w:p>
            <w:pPr>
              <w:pStyle w:val="Normal"/>
              <w:rPr/>
            </w:pPr>
            <w:r>
              <w:rPr/>
            </w:r>
          </w:p>
        </w:tc>
        <w:tc>
          <w:tcPr>
            <w:tcW w:w="6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5 </w:t>
            </w:r>
          </w:p>
          <w:p>
            <w:pPr>
              <w:pStyle w:val="Normal"/>
              <w:rPr/>
            </w:pPr>
            <w:r>
              <w:rPr/>
            </w:r>
          </w:p>
        </w:tc>
        <w:tc>
          <w:tcPr>
            <w:tcW w:w="59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snapToGrid w:val="false"/>
              <w:rPr/>
            </w:pPr>
            <w:r>
              <w:rPr/>
            </w:r>
          </w:p>
          <w:p>
            <w:pPr>
              <w:pStyle w:val="Normal"/>
              <w:rPr/>
            </w:pPr>
            <w:r>
              <w:rPr/>
              <w:t xml:space="preserve">10 </w:t>
            </w:r>
          </w:p>
          <w:p>
            <w:pPr>
              <w:pStyle w:val="Normal"/>
              <w:rPr/>
            </w:pPr>
            <w:r>
              <w:rPr/>
            </w:r>
          </w:p>
        </w:tc>
      </w:tr>
      <w:tr>
        <w:trPr/>
        <w:tc>
          <w:tcPr>
            <w:tcW w:w="1635" w:type="dxa"/>
            <w:tcBorders>
              <w:start w:val="single" w:sz="2" w:space="0" w:color="000000"/>
              <w:bottom w:val="single" w:sz="2" w:space="0" w:color="000000"/>
              <w:insideH w:val="single" w:sz="2" w:space="0" w:color="000000"/>
            </w:tcBorders>
            <w:shd w:fill="auto" w:val="clear"/>
            <w:tcMar>
              <w:start w:w="42" w:type="dxa"/>
            </w:tcMar>
          </w:tcPr>
          <w:p>
            <w:pPr>
              <w:pStyle w:val="Normal"/>
              <w:jc w:val="both"/>
              <w:rPr/>
            </w:pPr>
            <w:r>
              <w:rPr/>
              <w:drawing>
                <wp:inline distT="0" distB="0" distL="0" distR="0">
                  <wp:extent cx="219075" cy="184150"/>
                  <wp:effectExtent l="0" t="0" r="0" b="0"/>
                  <wp:docPr id="281" name="Изображение2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Изображение281" descr="" title=""/>
                          <pic:cNvPicPr>
                            <a:picLocks noChangeAspect="1" noChangeArrowheads="1"/>
                          </pic:cNvPicPr>
                        </pic:nvPicPr>
                        <pic:blipFill>
                          <a:blip r:embed="rId282"/>
                          <a:stretch>
                            <a:fillRect/>
                          </a:stretch>
                        </pic:blipFill>
                        <pic:spPr bwMode="auto">
                          <a:xfrm>
                            <a:off x="0" y="0"/>
                            <a:ext cx="219075" cy="184150"/>
                          </a:xfrm>
                          <a:prstGeom prst="rect">
                            <a:avLst/>
                          </a:prstGeom>
                        </pic:spPr>
                      </pic:pic>
                    </a:graphicData>
                  </a:graphic>
                </wp:inline>
              </w:drawing>
            </w:r>
          </w:p>
          <w:p>
            <w:pPr>
              <w:pStyle w:val="Normal"/>
              <w:jc w:val="both"/>
              <w:rPr/>
            </w:pPr>
            <w:r>
              <w:rPr/>
            </w:r>
          </w:p>
        </w:tc>
        <w:tc>
          <w:tcPr>
            <w:tcW w:w="675"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jc w:val="center"/>
              <w:rPr/>
            </w:pPr>
            <w:r>
              <w:rPr/>
            </w:r>
          </w:p>
          <w:p>
            <w:pPr>
              <w:pStyle w:val="Normal"/>
              <w:jc w:val="center"/>
              <w:rPr/>
            </w:pPr>
            <w:r>
              <w:rPr/>
              <w:t xml:space="preserve">0,93 </w:t>
            </w:r>
          </w:p>
          <w:p>
            <w:pPr>
              <w:pStyle w:val="Normal"/>
              <w:jc w:val="center"/>
              <w:rPr/>
            </w:pPr>
            <w:r>
              <w:rPr/>
            </w:r>
          </w:p>
        </w:tc>
        <w:tc>
          <w:tcPr>
            <w:tcW w:w="675"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0,88 </w:t>
            </w:r>
          </w:p>
          <w:p>
            <w:pPr>
              <w:pStyle w:val="Normal"/>
              <w:rPr/>
            </w:pPr>
            <w:r>
              <w:rPr/>
            </w:r>
          </w:p>
        </w:tc>
        <w:tc>
          <w:tcPr>
            <w:tcW w:w="675"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0,83 </w:t>
            </w:r>
          </w:p>
          <w:p>
            <w:pPr>
              <w:pStyle w:val="Normal"/>
              <w:rPr/>
            </w:pPr>
            <w:r>
              <w:rPr/>
            </w:r>
          </w:p>
        </w:tc>
        <w:tc>
          <w:tcPr>
            <w:tcW w:w="675"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0,7 </w:t>
            </w:r>
          </w:p>
          <w:p>
            <w:pPr>
              <w:pStyle w:val="Normal"/>
              <w:rPr/>
            </w:pPr>
            <w:r>
              <w:rPr/>
            </w:r>
          </w:p>
        </w:tc>
        <w:tc>
          <w:tcPr>
            <w:tcW w:w="675"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0,65 </w:t>
            </w:r>
          </w:p>
          <w:p>
            <w:pPr>
              <w:pStyle w:val="Normal"/>
              <w:rPr/>
            </w:pPr>
            <w:r>
              <w:rPr/>
            </w:r>
          </w:p>
        </w:tc>
        <w:tc>
          <w:tcPr>
            <w:tcW w:w="675" w:type="dxa"/>
            <w:tcBorders>
              <w:start w:val="single" w:sz="2" w:space="0" w:color="000000"/>
              <w:bottom w:val="single" w:sz="2" w:space="0" w:color="000000"/>
              <w:insideH w:val="single" w:sz="2" w:space="0" w:color="000000"/>
            </w:tcBorders>
            <w:shd w:fill="auto" w:val="clear"/>
            <w:tcMar>
              <w:start w:w="42" w:type="dxa"/>
            </w:tcMar>
          </w:tcPr>
          <w:p>
            <w:pPr>
              <w:pStyle w:val="Normal"/>
              <w:snapToGrid w:val="false"/>
              <w:rPr/>
            </w:pPr>
            <w:r>
              <w:rPr/>
            </w:r>
          </w:p>
          <w:p>
            <w:pPr>
              <w:pStyle w:val="Normal"/>
              <w:rPr/>
            </w:pPr>
            <w:r>
              <w:rPr/>
              <w:t xml:space="preserve">0,54 </w:t>
            </w:r>
          </w:p>
          <w:p>
            <w:pPr>
              <w:pStyle w:val="Normal"/>
              <w:rPr/>
            </w:pPr>
            <w:r>
              <w:rPr/>
            </w:r>
          </w:p>
        </w:tc>
        <w:tc>
          <w:tcPr>
            <w:tcW w:w="59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snapToGrid w:val="false"/>
              <w:rPr/>
            </w:pPr>
            <w:r>
              <w:rPr/>
            </w:r>
          </w:p>
          <w:p>
            <w:pPr>
              <w:pStyle w:val="Normal"/>
              <w:rPr/>
            </w:pPr>
            <w:r>
              <w:rPr/>
              <w:t xml:space="preserve">0,5 </w:t>
            </w:r>
          </w:p>
          <w:p>
            <w:pPr>
              <w:pStyle w:val="Normal"/>
              <w:rPr/>
            </w:pPr>
            <w:r>
              <w:rPr/>
            </w:r>
          </w:p>
        </w:tc>
      </w:tr>
    </w:tbl>
    <w:p>
      <w:pPr>
        <w:pStyle w:val="Normal"/>
        <w:jc w:val="both"/>
        <w:rPr/>
      </w:pPr>
      <w:r>
        <w:rPr/>
      </w:r>
    </w:p>
    <w:p>
      <w:pPr>
        <w:pStyle w:val="Normal"/>
        <w:ind w:firstLine="270"/>
        <w:jc w:val="both"/>
        <w:rPr/>
      </w:pPr>
      <w:r>
        <w:rPr/>
        <w:t>Е(полн)  - полная обменная емкость катионита, г-экв/куб.м, определяемая по заводским паспортным данным. При отсутствии таких данных при расчетах допускается принимать: для сульфоугля крупностью 0,5-1,1 мм  500 г-экв/куб.м; для катионита КУ-2 крупностью 0,8-1,2 мм - 1500-1700 г-экв/куб.м;</w:t>
      </w:r>
    </w:p>
    <w:p>
      <w:pPr>
        <w:pStyle w:val="Normal"/>
        <w:ind w:firstLine="225"/>
        <w:jc w:val="both"/>
        <w:rPr/>
      </w:pPr>
      <w:r>
        <w:rPr/>
      </w:r>
    </w:p>
    <w:p>
      <w:pPr>
        <w:pStyle w:val="Normal"/>
        <w:ind w:firstLine="225"/>
        <w:jc w:val="both"/>
        <w:rPr/>
      </w:pPr>
      <w:r>
        <w:rPr/>
        <w:t>q(уд) - удельный расход воды на отмывку катионита, куб.м на 1 куб.м катионита, принимаемый равным для сульфоугля - 4 и для КУ-2 - 6.</w:t>
      </w:r>
    </w:p>
    <w:p>
      <w:pPr>
        <w:pStyle w:val="Normal"/>
        <w:ind w:firstLine="225"/>
        <w:jc w:val="both"/>
        <w:rPr/>
      </w:pPr>
      <w:r>
        <w:rPr/>
      </w:r>
    </w:p>
    <w:p>
      <w:pPr>
        <w:pStyle w:val="Normal"/>
        <w:ind w:firstLine="225"/>
        <w:jc w:val="both"/>
        <w:rPr/>
      </w:pPr>
      <w:r>
        <w:rPr/>
        <w:t xml:space="preserve">16. Площадь катионитных фильтров первой ступени F(к), кв.м, следует определять по формуле </w:t>
      </w:r>
    </w:p>
    <w:tbl>
      <w:tblPr>
        <w:tblW w:w="3375" w:type="dxa"/>
        <w:jc w:val="start"/>
        <w:tblInd w:w="165" w:type="dxa"/>
        <w:tblBorders/>
        <w:tblCellMar>
          <w:top w:w="0" w:type="dxa"/>
          <w:start w:w="15" w:type="dxa"/>
          <w:bottom w:w="0" w:type="dxa"/>
          <w:end w:w="15" w:type="dxa"/>
        </w:tblCellMar>
      </w:tblPr>
      <w:tblGrid>
        <w:gridCol w:w="1455"/>
        <w:gridCol w:w="1920"/>
      </w:tblGrid>
      <w:tr>
        <w:trPr/>
        <w:tc>
          <w:tcPr>
            <w:tcW w:w="1455" w:type="dxa"/>
            <w:tcBorders/>
            <w:shd w:fill="auto" w:val="clear"/>
          </w:tcPr>
          <w:p>
            <w:pPr>
              <w:pStyle w:val="Normal"/>
              <w:rPr/>
            </w:pPr>
            <w:r>
              <w:rPr>
                <w:vanish/>
              </w:rPr>
              <w:t>#G0</w:t>
            </w:r>
            <w:r>
              <w:rPr/>
              <w:t xml:space="preserve">  </w:t>
            </w:r>
          </w:p>
          <w:p>
            <w:pPr>
              <w:pStyle w:val="Normal"/>
              <w:rPr/>
            </w:pPr>
            <w:r>
              <w:rPr/>
              <w:drawing>
                <wp:inline distT="0" distB="0" distL="0" distR="0">
                  <wp:extent cx="967740" cy="219075"/>
                  <wp:effectExtent l="0" t="0" r="0" b="0"/>
                  <wp:docPr id="282" name="Изображение2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Изображение282" descr="" title=""/>
                          <pic:cNvPicPr>
                            <a:picLocks noChangeAspect="1" noChangeArrowheads="1"/>
                          </pic:cNvPicPr>
                        </pic:nvPicPr>
                        <pic:blipFill>
                          <a:blip r:embed="rId283"/>
                          <a:stretch>
                            <a:fillRect/>
                          </a:stretch>
                        </pic:blipFill>
                        <pic:spPr bwMode="auto">
                          <a:xfrm>
                            <a:off x="0" y="0"/>
                            <a:ext cx="967740" cy="219075"/>
                          </a:xfrm>
                          <a:prstGeom prst="rect">
                            <a:avLst/>
                          </a:prstGeom>
                        </pic:spPr>
                      </pic:pic>
                    </a:graphicData>
                  </a:graphic>
                </wp:inline>
              </w:drawing>
            </w:r>
          </w:p>
        </w:tc>
        <w:tc>
          <w:tcPr>
            <w:tcW w:w="1920" w:type="dxa"/>
            <w:tcBorders/>
            <w:shd w:fill="auto" w:val="clear"/>
          </w:tcPr>
          <w:p>
            <w:pPr>
              <w:pStyle w:val="Normal"/>
              <w:snapToGrid w:val="false"/>
              <w:rPr/>
            </w:pPr>
            <w:r>
              <w:rPr/>
            </w:r>
          </w:p>
          <w:p>
            <w:pPr>
              <w:pStyle w:val="Normal"/>
              <w:rPr/>
            </w:pPr>
            <w:r>
              <w:rPr/>
              <w:t xml:space="preserve">                </w:t>
            </w:r>
            <w:r>
              <w:rPr/>
              <w:t>(8)</w:t>
            </w:r>
          </w:p>
          <w:p>
            <w:pPr>
              <w:pStyle w:val="Normal"/>
              <w:rPr/>
            </w:pPr>
            <w:r>
              <w:rPr/>
            </w:r>
          </w:p>
        </w:tc>
      </w:tr>
    </w:tbl>
    <w:p>
      <w:pPr>
        <w:pStyle w:val="Normal"/>
        <w:ind w:firstLine="1215"/>
        <w:jc w:val="both"/>
        <w:rPr/>
      </w:pPr>
      <w:r>
        <w:rPr/>
      </w:r>
    </w:p>
    <w:p>
      <w:pPr>
        <w:pStyle w:val="Normal"/>
        <w:ind w:firstLine="990"/>
        <w:jc w:val="both"/>
        <w:rPr/>
      </w:pPr>
      <w:r>
        <w:rPr/>
      </w:r>
    </w:p>
    <w:p>
      <w:pPr>
        <w:pStyle w:val="Normal"/>
        <w:ind w:firstLine="990"/>
        <w:jc w:val="both"/>
        <w:rPr/>
      </w:pPr>
      <w:r>
        <w:rPr/>
        <w:t xml:space="preserve">где   Н(к) - высота слоя катионита в фильтре, принимаемая от 2 до 2,5 м (большую высоту загрузки следует принимать при жесткости воды более 10 г-экв/куб.м); </w:t>
      </w:r>
    </w:p>
    <w:p>
      <w:pPr>
        <w:pStyle w:val="Normal"/>
        <w:ind w:firstLine="990"/>
        <w:jc w:val="both"/>
        <w:rPr/>
      </w:pPr>
      <w:r>
        <w:rPr/>
      </w:r>
    </w:p>
    <w:p>
      <w:pPr>
        <w:pStyle w:val="Normal"/>
        <w:ind w:firstLine="495"/>
        <w:jc w:val="both"/>
        <w:rPr/>
      </w:pPr>
      <w:r>
        <w:rPr/>
        <w:t xml:space="preserve">W(к) - определяется по формуле (6). </w:t>
      </w:r>
    </w:p>
    <w:p>
      <w:pPr>
        <w:pStyle w:val="Normal"/>
        <w:ind w:firstLine="495"/>
        <w:jc w:val="both"/>
        <w:rPr/>
      </w:pPr>
      <w:r>
        <w:rPr/>
      </w:r>
    </w:p>
    <w:p>
      <w:pPr>
        <w:pStyle w:val="Normal"/>
        <w:ind w:firstLine="225"/>
        <w:jc w:val="both"/>
        <w:rPr/>
      </w:pPr>
      <w:r>
        <w:rPr/>
        <w:t>Количество катионитных фильтров первой ступени надлежит принимать: рабочих - не менее двух, резервных - один.</w:t>
      </w:r>
    </w:p>
    <w:p>
      <w:pPr>
        <w:pStyle w:val="Normal"/>
        <w:ind w:firstLine="225"/>
        <w:jc w:val="both"/>
        <w:rPr/>
      </w:pPr>
      <w:r>
        <w:rPr/>
      </w:r>
    </w:p>
    <w:p>
      <w:pPr>
        <w:pStyle w:val="Normal"/>
        <w:ind w:firstLine="225"/>
        <w:jc w:val="both"/>
        <w:rPr/>
      </w:pPr>
      <w:r>
        <w:rPr/>
        <w:t xml:space="preserve">17. Скорость фильтрования воды через катионит для напорных фильтров первой ступени при нормальном режиме не должна превышать при общей жесткости воды: </w:t>
      </w:r>
    </w:p>
    <w:p>
      <w:pPr>
        <w:pStyle w:val="Normal"/>
        <w:ind w:firstLine="225"/>
        <w:jc w:val="both"/>
        <w:rPr/>
      </w:pPr>
      <w:r>
        <w:rPr/>
      </w:r>
    </w:p>
    <w:p>
      <w:pPr>
        <w:pStyle w:val="Normal"/>
        <w:ind w:firstLine="225"/>
        <w:jc w:val="both"/>
        <w:rPr/>
      </w:pPr>
      <w:r>
        <w:rPr/>
        <w:t xml:space="preserve">до 5 г-экв/куб.м - 25 м/ч; </w:t>
      </w:r>
    </w:p>
    <w:p>
      <w:pPr>
        <w:pStyle w:val="Normal"/>
        <w:ind w:firstLine="225"/>
        <w:jc w:val="both"/>
        <w:rPr/>
      </w:pPr>
      <w:r>
        <w:rPr/>
      </w:r>
    </w:p>
    <w:p>
      <w:pPr>
        <w:pStyle w:val="Normal"/>
        <w:ind w:firstLine="225"/>
        <w:jc w:val="both"/>
        <w:rPr/>
      </w:pPr>
      <w:r>
        <w:rPr/>
        <w:t xml:space="preserve">5-10 г-экв/куб.м -  15 м/ч; </w:t>
      </w:r>
    </w:p>
    <w:p>
      <w:pPr>
        <w:pStyle w:val="Normal"/>
        <w:ind w:firstLine="225"/>
        <w:jc w:val="both"/>
        <w:rPr/>
      </w:pPr>
      <w:r>
        <w:rPr/>
      </w:r>
    </w:p>
    <w:p>
      <w:pPr>
        <w:pStyle w:val="Normal"/>
        <w:ind w:firstLine="225"/>
        <w:jc w:val="both"/>
        <w:rPr/>
      </w:pPr>
      <w:r>
        <w:rPr/>
        <w:t>10-15 г-экв/куб.м - 10 м/ч.</w:t>
      </w:r>
    </w:p>
    <w:p>
      <w:pPr>
        <w:pStyle w:val="Normal"/>
        <w:ind w:firstLine="225"/>
        <w:jc w:val="both"/>
        <w:rPr/>
      </w:pPr>
      <w:r>
        <w:rPr/>
      </w:r>
    </w:p>
    <w:p>
      <w:pPr>
        <w:pStyle w:val="Normal"/>
        <w:ind w:firstLine="225"/>
        <w:jc w:val="both"/>
        <w:rPr/>
      </w:pPr>
      <w:r>
        <w:rPr/>
        <w:t>Примечание. Допускается кратковременное увеличение скорости фильтрования на 10 м/ч по сравнению с указанными выше при выключении фильтров на регенерацию или ремонт.</w:t>
      </w:r>
    </w:p>
    <w:p>
      <w:pPr>
        <w:pStyle w:val="Normal"/>
        <w:ind w:firstLine="225"/>
        <w:jc w:val="both"/>
        <w:rPr/>
      </w:pPr>
      <w:r>
        <w:rPr/>
      </w:r>
    </w:p>
    <w:p>
      <w:pPr>
        <w:pStyle w:val="Normal"/>
        <w:ind w:firstLine="225"/>
        <w:jc w:val="both"/>
        <w:rPr/>
      </w:pPr>
      <w:r>
        <w:rPr/>
      </w:r>
    </w:p>
    <w:p>
      <w:pPr>
        <w:pStyle w:val="Normal"/>
        <w:ind w:firstLine="225"/>
        <w:jc w:val="both"/>
        <w:rPr/>
      </w:pPr>
      <w:r>
        <w:rPr/>
        <w:t>18. Потерю напора в напорных катионитных фильтрах при фильтровании следует определять как сумму потерь напора в коммуникациях фильтра, в дренаже и катионите. Потерю напора в фильтре следует принимать по табл. 3.</w:t>
      </w:r>
    </w:p>
    <w:p>
      <w:pPr>
        <w:pStyle w:val="Normal"/>
        <w:ind w:firstLine="225"/>
        <w:jc w:val="both"/>
        <w:rPr/>
      </w:pPr>
      <w:r>
        <w:rPr/>
      </w:r>
    </w:p>
    <w:p>
      <w:pPr>
        <w:pStyle w:val="Normal"/>
        <w:jc w:val="end"/>
        <w:rPr/>
      </w:pPr>
      <w:r>
        <w:rPr/>
        <w:t xml:space="preserve">Таблица 3 </w:t>
      </w:r>
    </w:p>
    <w:p>
      <w:pPr>
        <w:pStyle w:val="Normal"/>
        <w:ind w:firstLine="270"/>
        <w:jc w:val="both"/>
        <w:rPr/>
      </w:pPr>
      <w:r>
        <w:rPr/>
      </w:r>
    </w:p>
    <w:p>
      <w:pPr>
        <w:pStyle w:val="Normal"/>
        <w:ind w:firstLine="270"/>
        <w:jc w:val="both"/>
        <w:rPr/>
      </w:pPr>
      <w:r>
        <w:rPr/>
      </w:r>
    </w:p>
    <w:tbl>
      <w:tblPr>
        <w:tblW w:w="6365"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2025"/>
        <w:gridCol w:w="885"/>
        <w:gridCol w:w="885"/>
        <w:gridCol w:w="885"/>
        <w:gridCol w:w="885"/>
        <w:gridCol w:w="785"/>
        <w:gridCol w:w="15"/>
      </w:tblGrid>
      <w:tr>
        <w:trPr/>
        <w:tc>
          <w:tcPr>
            <w:tcW w:w="2025" w:type="dxa"/>
            <w:tcBorders>
              <w:top w:val="single" w:sz="2" w:space="0" w:color="000000"/>
              <w:start w:val="single" w:sz="2" w:space="0" w:color="000000"/>
            </w:tcBorders>
            <w:shd w:fill="auto" w:val="clear"/>
            <w:tcMar>
              <w:start w:w="42" w:type="dxa"/>
            </w:tcMar>
          </w:tcPr>
          <w:p>
            <w:pPr>
              <w:pStyle w:val="Normal"/>
              <w:jc w:val="center"/>
              <w:rPr/>
            </w:pPr>
            <w:r>
              <w:rPr>
                <w:vanish/>
              </w:rPr>
              <w:t>#G0</w:t>
            </w:r>
            <w:r>
              <w:rPr/>
              <w:t xml:space="preserve">Высота слоя, м, катионита крупностью 0,5-1,1 мм </w:t>
            </w:r>
          </w:p>
          <w:p>
            <w:pPr>
              <w:pStyle w:val="Normal"/>
              <w:jc w:val="center"/>
              <w:rPr/>
            </w:pPr>
            <w:r>
              <w:rPr/>
            </w:r>
          </w:p>
        </w:tc>
        <w:tc>
          <w:tcPr>
            <w:tcW w:w="4325" w:type="dxa"/>
            <w:gridSpan w:val="5"/>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Потери напора, м, в напорном катионитном фильтре при скорости фильтрования, м/ч </w:t>
            </w:r>
          </w:p>
          <w:p>
            <w:pPr>
              <w:pStyle w:val="Normal"/>
              <w:rPr/>
            </w:pPr>
            <w:r>
              <w:rPr/>
            </w:r>
          </w:p>
        </w:tc>
      </w:tr>
      <w:tr>
        <w:trPr/>
        <w:tc>
          <w:tcPr>
            <w:tcW w:w="2025" w:type="dxa"/>
            <w:tcBorders>
              <w:start w:val="single" w:sz="2" w:space="0" w:color="000000"/>
            </w:tcBorders>
            <w:shd w:fill="auto" w:val="clear"/>
            <w:tcMar>
              <w:start w:w="42" w:type="dxa"/>
            </w:tcMar>
          </w:tcPr>
          <w:p>
            <w:pPr>
              <w:pStyle w:val="Normal"/>
              <w:rPr/>
            </w:pPr>
            <w:r>
              <w:rPr/>
              <w:t xml:space="preserve">или 0,8-1,2 мм </w:t>
            </w:r>
          </w:p>
          <w:p>
            <w:pPr>
              <w:pStyle w:val="Normal"/>
              <w:rPr/>
            </w:pPr>
            <w:r>
              <w:rPr/>
            </w:r>
          </w:p>
        </w:tc>
        <w:tc>
          <w:tcPr>
            <w:tcW w:w="885" w:type="dxa"/>
            <w:tcBorders>
              <w:start w:val="single" w:sz="2" w:space="0" w:color="000000"/>
            </w:tcBorders>
            <w:shd w:fill="auto" w:val="clear"/>
            <w:tcMar>
              <w:start w:w="42" w:type="dxa"/>
            </w:tcMar>
          </w:tcPr>
          <w:p>
            <w:pPr>
              <w:pStyle w:val="Normal"/>
              <w:rPr/>
            </w:pPr>
            <w:r>
              <w:rPr/>
              <w:t xml:space="preserve">5 </w:t>
            </w:r>
          </w:p>
          <w:p>
            <w:pPr>
              <w:pStyle w:val="Normal"/>
              <w:rPr/>
            </w:pPr>
            <w:r>
              <w:rPr/>
            </w:r>
          </w:p>
        </w:tc>
        <w:tc>
          <w:tcPr>
            <w:tcW w:w="885" w:type="dxa"/>
            <w:tcBorders>
              <w:start w:val="single" w:sz="2" w:space="0" w:color="000000"/>
            </w:tcBorders>
            <w:shd w:fill="auto" w:val="clear"/>
            <w:tcMar>
              <w:start w:w="42" w:type="dxa"/>
            </w:tcMar>
          </w:tcPr>
          <w:p>
            <w:pPr>
              <w:pStyle w:val="Normal"/>
              <w:rPr/>
            </w:pPr>
            <w:r>
              <w:rPr/>
              <w:t xml:space="preserve">10 </w:t>
            </w:r>
          </w:p>
          <w:p>
            <w:pPr>
              <w:pStyle w:val="Normal"/>
              <w:rPr/>
            </w:pPr>
            <w:r>
              <w:rPr/>
            </w:r>
          </w:p>
        </w:tc>
        <w:tc>
          <w:tcPr>
            <w:tcW w:w="885" w:type="dxa"/>
            <w:tcBorders>
              <w:start w:val="single" w:sz="2" w:space="0" w:color="000000"/>
            </w:tcBorders>
            <w:shd w:fill="auto" w:val="clear"/>
            <w:tcMar>
              <w:start w:w="42" w:type="dxa"/>
            </w:tcMar>
          </w:tcPr>
          <w:p>
            <w:pPr>
              <w:pStyle w:val="Normal"/>
              <w:rPr/>
            </w:pPr>
            <w:r>
              <w:rPr/>
              <w:t xml:space="preserve">15 </w:t>
            </w:r>
          </w:p>
          <w:p>
            <w:pPr>
              <w:pStyle w:val="Normal"/>
              <w:rPr/>
            </w:pPr>
            <w:r>
              <w:rPr/>
            </w:r>
          </w:p>
        </w:tc>
        <w:tc>
          <w:tcPr>
            <w:tcW w:w="885" w:type="dxa"/>
            <w:tcBorders>
              <w:start w:val="single" w:sz="2" w:space="0" w:color="000000"/>
            </w:tcBorders>
            <w:shd w:fill="auto" w:val="clear"/>
            <w:tcMar>
              <w:start w:w="42" w:type="dxa"/>
            </w:tcMar>
          </w:tcPr>
          <w:p>
            <w:pPr>
              <w:pStyle w:val="Normal"/>
              <w:rPr/>
            </w:pPr>
            <w:r>
              <w:rPr/>
              <w:t xml:space="preserve">20 </w:t>
            </w:r>
          </w:p>
          <w:p>
            <w:pPr>
              <w:pStyle w:val="Normal"/>
              <w:rPr/>
            </w:pPr>
            <w:r>
              <w:rPr/>
            </w:r>
          </w:p>
        </w:tc>
        <w:tc>
          <w:tcPr>
            <w:tcW w:w="80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25 </w:t>
            </w:r>
          </w:p>
          <w:p>
            <w:pPr>
              <w:pStyle w:val="Normal"/>
              <w:rPr/>
            </w:pPr>
            <w:r>
              <w:rPr/>
            </w:r>
          </w:p>
        </w:tc>
      </w:tr>
      <w:tr>
        <w:trPr/>
        <w:tc>
          <w:tcPr>
            <w:tcW w:w="2025" w:type="dxa"/>
            <w:tcBorders>
              <w:top w:val="single" w:sz="2" w:space="0" w:color="000000"/>
              <w:start w:val="single" w:sz="2" w:space="0" w:color="000000"/>
            </w:tcBorders>
            <w:shd w:fill="auto" w:val="clear"/>
            <w:tcMar>
              <w:start w:w="42" w:type="dxa"/>
            </w:tcMar>
          </w:tcPr>
          <w:p>
            <w:pPr>
              <w:pStyle w:val="Normal"/>
              <w:snapToGrid w:val="false"/>
              <w:rPr/>
            </w:pPr>
            <w:r>
              <w:rPr/>
            </w:r>
          </w:p>
          <w:p>
            <w:pPr>
              <w:pStyle w:val="Normal"/>
              <w:rPr/>
            </w:pPr>
            <w:r>
              <w:rPr/>
              <w:t xml:space="preserve">2 </w:t>
            </w:r>
          </w:p>
          <w:p>
            <w:pPr>
              <w:pStyle w:val="Normal"/>
              <w:rPr/>
            </w:pPr>
            <w:r>
              <w:rPr/>
            </w:r>
          </w:p>
        </w:tc>
        <w:tc>
          <w:tcPr>
            <w:tcW w:w="885" w:type="dxa"/>
            <w:tcBorders>
              <w:top w:val="single" w:sz="2" w:space="0" w:color="000000"/>
              <w:start w:val="single" w:sz="2" w:space="0" w:color="000000"/>
            </w:tcBorders>
            <w:shd w:fill="auto" w:val="clear"/>
            <w:tcMar>
              <w:start w:w="42" w:type="dxa"/>
            </w:tcMar>
          </w:tcPr>
          <w:p>
            <w:pPr>
              <w:pStyle w:val="Normal"/>
              <w:snapToGrid w:val="false"/>
              <w:rPr/>
            </w:pPr>
            <w:r>
              <w:rPr/>
            </w:r>
          </w:p>
          <w:p>
            <w:pPr>
              <w:pStyle w:val="Normal"/>
              <w:rPr/>
            </w:pPr>
            <w:r>
              <w:rPr/>
              <w:t xml:space="preserve">4 </w:t>
            </w:r>
          </w:p>
          <w:p>
            <w:pPr>
              <w:pStyle w:val="Normal"/>
              <w:rPr/>
            </w:pPr>
            <w:r>
              <w:rPr/>
            </w:r>
          </w:p>
        </w:tc>
        <w:tc>
          <w:tcPr>
            <w:tcW w:w="885" w:type="dxa"/>
            <w:tcBorders>
              <w:top w:val="single" w:sz="2" w:space="0" w:color="000000"/>
              <w:start w:val="single" w:sz="2" w:space="0" w:color="000000"/>
            </w:tcBorders>
            <w:shd w:fill="auto" w:val="clear"/>
            <w:tcMar>
              <w:start w:w="42" w:type="dxa"/>
            </w:tcMar>
          </w:tcPr>
          <w:p>
            <w:pPr>
              <w:pStyle w:val="Normal"/>
              <w:snapToGrid w:val="false"/>
              <w:rPr/>
            </w:pPr>
            <w:r>
              <w:rPr/>
            </w:r>
          </w:p>
          <w:p>
            <w:pPr>
              <w:pStyle w:val="Normal"/>
              <w:rPr/>
            </w:pPr>
            <w:r>
              <w:rPr/>
              <w:t xml:space="preserve">5 </w:t>
            </w:r>
          </w:p>
          <w:p>
            <w:pPr>
              <w:pStyle w:val="Normal"/>
              <w:rPr/>
            </w:pPr>
            <w:r>
              <w:rPr/>
            </w:r>
          </w:p>
        </w:tc>
        <w:tc>
          <w:tcPr>
            <w:tcW w:w="885" w:type="dxa"/>
            <w:tcBorders>
              <w:top w:val="single" w:sz="2" w:space="0" w:color="000000"/>
              <w:start w:val="single" w:sz="2" w:space="0" w:color="000000"/>
            </w:tcBorders>
            <w:shd w:fill="auto" w:val="clear"/>
            <w:tcMar>
              <w:start w:w="42" w:type="dxa"/>
            </w:tcMar>
          </w:tcPr>
          <w:p>
            <w:pPr>
              <w:pStyle w:val="Normal"/>
              <w:snapToGrid w:val="false"/>
              <w:rPr/>
            </w:pPr>
            <w:r>
              <w:rPr/>
            </w:r>
          </w:p>
          <w:p>
            <w:pPr>
              <w:pStyle w:val="Normal"/>
              <w:rPr/>
            </w:pPr>
            <w:r>
              <w:rPr/>
              <w:t xml:space="preserve">5,5 </w:t>
            </w:r>
          </w:p>
          <w:p>
            <w:pPr>
              <w:pStyle w:val="Normal"/>
              <w:rPr/>
            </w:pPr>
            <w:r>
              <w:rPr/>
            </w:r>
          </w:p>
        </w:tc>
        <w:tc>
          <w:tcPr>
            <w:tcW w:w="885" w:type="dxa"/>
            <w:tcBorders>
              <w:top w:val="single" w:sz="2" w:space="0" w:color="000000"/>
              <w:start w:val="single" w:sz="2" w:space="0" w:color="000000"/>
            </w:tcBorders>
            <w:shd w:fill="auto" w:val="clear"/>
            <w:tcMar>
              <w:start w:w="42" w:type="dxa"/>
            </w:tcMar>
          </w:tcPr>
          <w:p>
            <w:pPr>
              <w:pStyle w:val="Normal"/>
              <w:snapToGrid w:val="false"/>
              <w:rPr/>
            </w:pPr>
            <w:r>
              <w:rPr/>
            </w:r>
          </w:p>
          <w:p>
            <w:pPr>
              <w:pStyle w:val="Normal"/>
              <w:rPr/>
            </w:pPr>
            <w:r>
              <w:rPr/>
              <w:t xml:space="preserve">6 </w:t>
            </w:r>
          </w:p>
          <w:p>
            <w:pPr>
              <w:pStyle w:val="Normal"/>
              <w:rPr/>
            </w:pPr>
            <w:r>
              <w:rPr/>
            </w:r>
          </w:p>
        </w:tc>
        <w:tc>
          <w:tcPr>
            <w:tcW w:w="800" w:type="dxa"/>
            <w:tcBorders>
              <w:top w:val="single" w:sz="2" w:space="0" w:color="000000"/>
              <w:start w:val="single" w:sz="2" w:space="0" w:color="000000"/>
              <w:end w:val="single" w:sz="2" w:space="0" w:color="000000"/>
              <w:insideV w:val="single" w:sz="2" w:space="0" w:color="000000"/>
            </w:tcBorders>
            <w:shd w:fill="auto" w:val="clear"/>
            <w:tcMar>
              <w:start w:w="42" w:type="dxa"/>
            </w:tcMar>
          </w:tcPr>
          <w:p>
            <w:pPr>
              <w:pStyle w:val="Normal"/>
              <w:snapToGrid w:val="false"/>
              <w:rPr/>
            </w:pPr>
            <w:r>
              <w:rPr/>
            </w:r>
          </w:p>
          <w:p>
            <w:pPr>
              <w:pStyle w:val="Normal"/>
              <w:rPr/>
            </w:pPr>
            <w:r>
              <w:rPr/>
              <w:t xml:space="preserve">7 </w:t>
            </w:r>
          </w:p>
          <w:p>
            <w:pPr>
              <w:pStyle w:val="Normal"/>
              <w:rPr/>
            </w:pPr>
            <w:r>
              <w:rPr/>
            </w:r>
          </w:p>
        </w:tc>
      </w:tr>
      <w:tr>
        <w:trPr/>
        <w:tc>
          <w:tcPr>
            <w:tcW w:w="202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2,5</w:t>
            </w:r>
          </w:p>
          <w:p>
            <w:pPr>
              <w:pStyle w:val="Normal"/>
              <w:rPr/>
            </w:pPr>
            <w:r>
              <w:rPr/>
            </w:r>
          </w:p>
          <w:p>
            <w:pPr>
              <w:pStyle w:val="Normal"/>
              <w:rPr/>
            </w:pPr>
            <w:r>
              <w:rPr/>
            </w:r>
          </w:p>
        </w:tc>
        <w:tc>
          <w:tcPr>
            <w:tcW w:w="88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4,5 </w:t>
            </w:r>
          </w:p>
          <w:p>
            <w:pPr>
              <w:pStyle w:val="Normal"/>
              <w:rPr/>
            </w:pPr>
            <w:r>
              <w:rPr/>
            </w:r>
          </w:p>
        </w:tc>
        <w:tc>
          <w:tcPr>
            <w:tcW w:w="88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5,5 </w:t>
            </w:r>
          </w:p>
          <w:p>
            <w:pPr>
              <w:pStyle w:val="Normal"/>
              <w:rPr/>
            </w:pPr>
            <w:r>
              <w:rPr/>
            </w:r>
          </w:p>
        </w:tc>
        <w:tc>
          <w:tcPr>
            <w:tcW w:w="88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6 </w:t>
            </w:r>
          </w:p>
          <w:p>
            <w:pPr>
              <w:pStyle w:val="Normal"/>
              <w:rPr/>
            </w:pPr>
            <w:r>
              <w:rPr/>
            </w:r>
          </w:p>
        </w:tc>
        <w:tc>
          <w:tcPr>
            <w:tcW w:w="88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6,5 </w:t>
            </w:r>
          </w:p>
          <w:p>
            <w:pPr>
              <w:pStyle w:val="Normal"/>
              <w:rPr/>
            </w:pPr>
            <w:r>
              <w:rPr/>
            </w:r>
          </w:p>
        </w:tc>
        <w:tc>
          <w:tcPr>
            <w:tcW w:w="80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7,5 </w:t>
            </w:r>
          </w:p>
          <w:p>
            <w:pPr>
              <w:pStyle w:val="Normal"/>
              <w:rPr/>
            </w:pPr>
            <w:r>
              <w:rPr/>
            </w:r>
          </w:p>
        </w:tc>
      </w:tr>
    </w:tbl>
    <w:p>
      <w:pPr>
        <w:pStyle w:val="Normal"/>
        <w:jc w:val="both"/>
        <w:rPr/>
      </w:pPr>
      <w:r>
        <w:rPr/>
      </w:r>
    </w:p>
    <w:p>
      <w:pPr>
        <w:pStyle w:val="Normal"/>
        <w:ind w:firstLine="270"/>
        <w:jc w:val="both"/>
        <w:rPr/>
      </w:pPr>
      <w:r>
        <w:rPr/>
        <w:t xml:space="preserve">19. В открытых катионитных фильтрах слой воды над катионитом следует принимать 2,5 - 3 м и скорость фильтрования не более 15 м/ч. </w:t>
      </w:r>
    </w:p>
    <w:p>
      <w:pPr>
        <w:pStyle w:val="Normal"/>
        <w:ind w:firstLine="270"/>
        <w:jc w:val="both"/>
        <w:rPr/>
      </w:pPr>
      <w:r>
        <w:rPr/>
      </w:r>
    </w:p>
    <w:p>
      <w:pPr>
        <w:pStyle w:val="Normal"/>
        <w:ind w:firstLine="225"/>
        <w:jc w:val="both"/>
        <w:rPr/>
      </w:pPr>
      <w:r>
        <w:rPr/>
        <w:t>20. Интенсивность подачи воды для взрыхления катионита следует принимать 4 л/(с·кв.м) при крупности зерен катионита 0,5-1,1 мм и 5 л/(с·кв.м) при крупности 0,8-1,2 мм. Продолжительность взрыхления надлежит принимать 20-30 мин. Подачу воды на взрыхление катионита следует предусматривать согласно п. 6.117.</w:t>
      </w:r>
    </w:p>
    <w:p>
      <w:pPr>
        <w:pStyle w:val="Normal"/>
        <w:ind w:firstLine="225"/>
        <w:jc w:val="both"/>
        <w:rPr/>
      </w:pPr>
      <w:r>
        <w:rPr/>
      </w:r>
    </w:p>
    <w:p>
      <w:pPr>
        <w:pStyle w:val="Normal"/>
        <w:ind w:firstLine="225"/>
        <w:jc w:val="both"/>
        <w:rPr/>
      </w:pPr>
      <w:r>
        <w:rPr/>
        <w:t>21. Регенерацию загрузки катионитных фильтров следует предусматривать технической поваренной солью. Расход поваренной соли Р(с) кг, на одну регенерацию натрий-катионитного фильтра первой ступени следует определять по формуле</w:t>
      </w:r>
    </w:p>
    <w:p>
      <w:pPr>
        <w:pStyle w:val="Normal"/>
        <w:ind w:firstLine="225"/>
        <w:jc w:val="both"/>
        <w:rPr/>
      </w:pPr>
      <w:r>
        <w:rPr/>
      </w:r>
    </w:p>
    <w:p>
      <w:pPr>
        <w:pStyle w:val="Normal"/>
        <w:ind w:firstLine="1395"/>
        <w:jc w:val="both"/>
        <w:rPr/>
      </w:pPr>
      <w:r>
        <w:rPr/>
      </w:r>
    </w:p>
    <w:tbl>
      <w:tblPr>
        <w:tblW w:w="4770" w:type="dxa"/>
        <w:jc w:val="start"/>
        <w:tblInd w:w="165" w:type="dxa"/>
        <w:tblBorders/>
        <w:tblCellMar>
          <w:top w:w="0" w:type="dxa"/>
          <w:start w:w="15" w:type="dxa"/>
          <w:bottom w:w="0" w:type="dxa"/>
          <w:end w:w="15" w:type="dxa"/>
        </w:tblCellMar>
      </w:tblPr>
      <w:tblGrid>
        <w:gridCol w:w="2445"/>
        <w:gridCol w:w="2325"/>
      </w:tblGrid>
      <w:tr>
        <w:trPr/>
        <w:tc>
          <w:tcPr>
            <w:tcW w:w="2445" w:type="dxa"/>
            <w:tcBorders/>
            <w:shd w:fill="auto" w:val="clear"/>
          </w:tcPr>
          <w:p>
            <w:pPr>
              <w:pStyle w:val="Normal"/>
              <w:rPr/>
            </w:pPr>
            <w:r>
              <w:rPr>
                <w:vanish/>
              </w:rPr>
              <w:t>#G0</w:t>
            </w:r>
            <w:r>
              <w:rPr/>
              <w:t xml:space="preserve">  </w:t>
            </w:r>
          </w:p>
          <w:p>
            <w:pPr>
              <w:pStyle w:val="Normal"/>
              <w:rPr/>
            </w:pPr>
            <w:r>
              <w:rPr/>
              <w:drawing>
                <wp:inline distT="0" distB="0" distL="0" distR="0">
                  <wp:extent cx="1658620" cy="264795"/>
                  <wp:effectExtent l="0" t="0" r="0" b="0"/>
                  <wp:docPr id="283" name="Изображение2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Изображение283" descr="" title=""/>
                          <pic:cNvPicPr>
                            <a:picLocks noChangeAspect="1" noChangeArrowheads="1"/>
                          </pic:cNvPicPr>
                        </pic:nvPicPr>
                        <pic:blipFill>
                          <a:blip r:embed="rId284"/>
                          <a:stretch>
                            <a:fillRect/>
                          </a:stretch>
                        </pic:blipFill>
                        <pic:spPr bwMode="auto">
                          <a:xfrm>
                            <a:off x="0" y="0"/>
                            <a:ext cx="1658620" cy="264795"/>
                          </a:xfrm>
                          <a:prstGeom prst="rect">
                            <a:avLst/>
                          </a:prstGeom>
                        </pic:spPr>
                      </pic:pic>
                    </a:graphicData>
                  </a:graphic>
                </wp:inline>
              </w:drawing>
            </w:r>
          </w:p>
        </w:tc>
        <w:tc>
          <w:tcPr>
            <w:tcW w:w="2325" w:type="dxa"/>
            <w:tcBorders/>
            <w:shd w:fill="auto" w:val="clear"/>
          </w:tcPr>
          <w:p>
            <w:pPr>
              <w:pStyle w:val="Normal"/>
              <w:snapToGrid w:val="false"/>
              <w:rPr/>
            </w:pPr>
            <w:r>
              <w:rPr/>
            </w:r>
          </w:p>
          <w:p>
            <w:pPr>
              <w:pStyle w:val="Normal"/>
              <w:rPr/>
            </w:pPr>
            <w:r>
              <w:rPr/>
              <w:t xml:space="preserve">                 </w:t>
            </w:r>
            <w:r>
              <w:rPr/>
              <w:t>(9)</w:t>
            </w:r>
          </w:p>
          <w:p>
            <w:pPr>
              <w:pStyle w:val="Normal"/>
              <w:rPr/>
            </w:pPr>
            <w:r>
              <w:rPr/>
            </w:r>
          </w:p>
        </w:tc>
      </w:tr>
    </w:tbl>
    <w:p>
      <w:pPr>
        <w:pStyle w:val="Normal"/>
        <w:ind w:firstLine="45"/>
        <w:jc w:val="both"/>
        <w:rPr/>
      </w:pPr>
      <w:r>
        <w:rPr/>
        <w:tab/>
        <w:tab/>
      </w:r>
    </w:p>
    <w:p>
      <w:pPr>
        <w:pStyle w:val="Normal"/>
        <w:ind w:firstLine="270"/>
        <w:jc w:val="both"/>
        <w:rPr/>
      </w:pPr>
      <w:r>
        <w:rPr/>
      </w:r>
    </w:p>
    <w:p>
      <w:pPr>
        <w:pStyle w:val="Normal"/>
        <w:ind w:firstLine="270"/>
        <w:jc w:val="both"/>
        <w:rPr/>
      </w:pPr>
      <w:r>
        <w:rPr/>
        <w:t xml:space="preserve">где f(к) - площадь одного фильтра, кв.м; </w:t>
      </w:r>
    </w:p>
    <w:p>
      <w:pPr>
        <w:pStyle w:val="Normal"/>
        <w:ind w:firstLine="270"/>
        <w:jc w:val="both"/>
        <w:rPr/>
      </w:pPr>
      <w:r>
        <w:rPr/>
      </w:r>
    </w:p>
    <w:p>
      <w:pPr>
        <w:pStyle w:val="Normal"/>
        <w:ind w:firstLine="315"/>
        <w:jc w:val="both"/>
        <w:rPr/>
      </w:pPr>
      <w:r>
        <w:rPr/>
        <w:t>Н(к) -  высота слоя катионита в фильтре, м, принимаемая согласно п. 16;</w:t>
      </w:r>
    </w:p>
    <w:p>
      <w:pPr>
        <w:pStyle w:val="Normal"/>
        <w:ind w:firstLine="270"/>
        <w:jc w:val="both"/>
        <w:rPr/>
      </w:pPr>
      <w:r>
        <w:rPr/>
      </w:r>
    </w:p>
    <w:tbl>
      <w:tblPr>
        <w:tblW w:w="8835" w:type="dxa"/>
        <w:jc w:val="start"/>
        <w:tblInd w:w="165" w:type="dxa"/>
        <w:tblBorders/>
        <w:tblCellMar>
          <w:top w:w="0" w:type="dxa"/>
          <w:start w:w="15" w:type="dxa"/>
          <w:bottom w:w="0" w:type="dxa"/>
          <w:end w:w="15" w:type="dxa"/>
        </w:tblCellMar>
      </w:tblPr>
      <w:tblGrid>
        <w:gridCol w:w="450"/>
        <w:gridCol w:w="8385"/>
      </w:tblGrid>
      <w:tr>
        <w:trPr/>
        <w:tc>
          <w:tcPr>
            <w:tcW w:w="450" w:type="dxa"/>
            <w:tcBorders/>
            <w:shd w:fill="auto" w:val="clear"/>
          </w:tcPr>
          <w:p>
            <w:pPr>
              <w:pStyle w:val="Normal"/>
              <w:rPr/>
            </w:pPr>
            <w:r>
              <w:rPr>
                <w:vanish/>
              </w:rPr>
              <w:t>#G0</w:t>
            </w:r>
            <w:r>
              <w:rPr/>
              <w:t xml:space="preserve">  </w:t>
            </w:r>
          </w:p>
          <w:p>
            <w:pPr>
              <w:pStyle w:val="Normal"/>
              <w:rPr/>
            </w:pPr>
            <w:r>
              <w:rPr/>
              <w:drawing>
                <wp:inline distT="0" distB="0" distL="0" distR="0">
                  <wp:extent cx="334010" cy="264795"/>
                  <wp:effectExtent l="0" t="0" r="0" b="0"/>
                  <wp:docPr id="284" name="Изображение2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Изображение284" descr="" title=""/>
                          <pic:cNvPicPr>
                            <a:picLocks noChangeAspect="1" noChangeArrowheads="1"/>
                          </pic:cNvPicPr>
                        </pic:nvPicPr>
                        <pic:blipFill>
                          <a:blip r:embed="rId285"/>
                          <a:stretch>
                            <a:fillRect/>
                          </a:stretch>
                        </pic:blipFill>
                        <pic:spPr bwMode="auto">
                          <a:xfrm>
                            <a:off x="0" y="0"/>
                            <a:ext cx="334010" cy="264795"/>
                          </a:xfrm>
                          <a:prstGeom prst="rect">
                            <a:avLst/>
                          </a:prstGeom>
                        </pic:spPr>
                      </pic:pic>
                    </a:graphicData>
                  </a:graphic>
                </wp:inline>
              </w:drawing>
            </w:r>
          </w:p>
        </w:tc>
        <w:tc>
          <w:tcPr>
            <w:tcW w:w="8385" w:type="dxa"/>
            <w:tcBorders/>
            <w:shd w:fill="auto" w:val="clear"/>
          </w:tcPr>
          <w:p>
            <w:pPr>
              <w:pStyle w:val="Normal"/>
              <w:rPr/>
            </w:pPr>
            <w:r>
              <w:rPr/>
              <w:t xml:space="preserve">  </w:t>
            </w:r>
          </w:p>
          <w:p>
            <w:pPr>
              <w:pStyle w:val="Normal"/>
              <w:ind w:firstLine="45"/>
              <w:jc w:val="both"/>
              <w:rPr/>
            </w:pPr>
            <w:r>
              <w:rPr/>
              <w:t xml:space="preserve">- рабочая обменная емкость катионита, г-экв/куб.м, принимаемая согласно п. 15; </w:t>
            </w:r>
          </w:p>
          <w:p>
            <w:pPr>
              <w:pStyle w:val="Normal"/>
              <w:ind w:firstLine="45"/>
              <w:jc w:val="both"/>
              <w:rPr/>
            </w:pPr>
            <w:r>
              <w:rPr/>
            </w:r>
          </w:p>
        </w:tc>
      </w:tr>
    </w:tbl>
    <w:p>
      <w:pPr>
        <w:pStyle w:val="Normal"/>
        <w:ind w:firstLine="180"/>
        <w:jc w:val="both"/>
        <w:rPr/>
      </w:pPr>
      <w:r>
        <w:rPr/>
      </w:r>
    </w:p>
    <w:p>
      <w:pPr>
        <w:pStyle w:val="Normal"/>
        <w:ind w:firstLine="180"/>
        <w:jc w:val="both"/>
        <w:rPr/>
      </w:pPr>
      <w:r>
        <w:rPr/>
      </w:r>
    </w:p>
    <w:p>
      <w:pPr>
        <w:pStyle w:val="Normal"/>
        <w:ind w:firstLine="225"/>
        <w:jc w:val="both"/>
        <w:rPr/>
      </w:pPr>
      <w:r>
        <w:rPr/>
        <w:t xml:space="preserve">а(с) -  удельный расход соли на 1 г-экв рабочей обменной емкости катионита, принимаемый 120-150 г/г-экв для фильтров первой ступени при двухступенчатой схеме и 150-200 г/г-экв при одноступенчатой схеме. </w:t>
      </w:r>
    </w:p>
    <w:p>
      <w:pPr>
        <w:pStyle w:val="Normal"/>
        <w:ind w:firstLine="225"/>
        <w:jc w:val="both"/>
        <w:rPr/>
      </w:pPr>
      <w:r>
        <w:rPr/>
      </w:r>
    </w:p>
    <w:p>
      <w:pPr>
        <w:pStyle w:val="Normal"/>
        <w:ind w:firstLine="225"/>
        <w:jc w:val="both"/>
        <w:rPr/>
      </w:pPr>
      <w:r>
        <w:rPr/>
        <w:t>Жесткость умягченной воды при различных удельных расходах соли приведена на рис. 1.</w:t>
      </w:r>
    </w:p>
    <w:p>
      <w:pPr>
        <w:pStyle w:val="Normal"/>
        <w:ind w:firstLine="225"/>
        <w:jc w:val="both"/>
        <w:rPr/>
      </w:pPr>
      <w:r>
        <w:rPr/>
      </w:r>
    </w:p>
    <w:p>
      <w:pPr>
        <w:pStyle w:val="Normal"/>
        <w:jc w:val="center"/>
        <w:rPr/>
      </w:pPr>
      <w:r>
        <w:rPr/>
        <w:drawing>
          <wp:inline distT="0" distB="0" distL="0" distR="0">
            <wp:extent cx="6057900" cy="4838700"/>
            <wp:effectExtent l="0" t="0" r="0" b="0"/>
            <wp:docPr id="285" name="Изображение2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Изображение285" descr="" title=""/>
                    <pic:cNvPicPr>
                      <a:picLocks noChangeAspect="1" noChangeArrowheads="1"/>
                    </pic:cNvPicPr>
                  </pic:nvPicPr>
                  <pic:blipFill>
                    <a:blip r:embed="rId286"/>
                    <a:stretch>
                      <a:fillRect/>
                    </a:stretch>
                  </pic:blipFill>
                  <pic:spPr bwMode="auto">
                    <a:xfrm>
                      <a:off x="0" y="0"/>
                      <a:ext cx="6057900" cy="4838700"/>
                    </a:xfrm>
                    <a:prstGeom prst="rect">
                      <a:avLst/>
                    </a:prstGeom>
                  </pic:spPr>
                </pic:pic>
              </a:graphicData>
            </a:graphic>
          </wp:inline>
        </w:drawing>
      </w:r>
    </w:p>
    <w:p>
      <w:pPr>
        <w:pStyle w:val="Normal"/>
        <w:jc w:val="center"/>
        <w:rPr/>
      </w:pPr>
      <w:r>
        <w:rPr/>
        <w:t xml:space="preserve">Рис. 1. График для определения остаточной жесткости воды, умягченной одноступенчатым натрий-катионированием </w:t>
      </w:r>
    </w:p>
    <w:p>
      <w:pPr>
        <w:pStyle w:val="Normal"/>
        <w:ind w:firstLine="270"/>
        <w:jc w:val="both"/>
        <w:rPr/>
      </w:pPr>
      <w:r>
        <w:rPr/>
      </w:r>
    </w:p>
    <w:p>
      <w:pPr>
        <w:pStyle w:val="Normal"/>
        <w:ind w:firstLine="270"/>
        <w:jc w:val="both"/>
        <w:rPr/>
      </w:pPr>
      <w:r>
        <w:rPr/>
      </w:r>
    </w:p>
    <w:p>
      <w:pPr>
        <w:pStyle w:val="Normal"/>
        <w:ind w:firstLine="225"/>
        <w:jc w:val="both"/>
        <w:rPr/>
      </w:pPr>
      <w:r>
        <w:rPr/>
        <w:t>Концентрацию регенерационного раствора для фильтров первой ступени следует принимать 5-8%.</w:t>
      </w:r>
    </w:p>
    <w:p>
      <w:pPr>
        <w:pStyle w:val="Normal"/>
        <w:ind w:firstLine="225"/>
        <w:jc w:val="both"/>
        <w:rPr/>
      </w:pPr>
      <w:r>
        <w:rPr/>
      </w:r>
    </w:p>
    <w:p>
      <w:pPr>
        <w:pStyle w:val="Normal"/>
        <w:ind w:firstLine="225"/>
        <w:jc w:val="both"/>
        <w:rPr/>
      </w:pPr>
      <w:r>
        <w:rPr/>
        <w:t>Скорость фильтрования регенерационного раствора через катионит фильтров первой ступени следует принимать 3-4 м/ч; скорость фильтрования исходной воды для отмывки катионита - 6-8 м/ч, удельный расход отмывочной воды -  5-6 куб.м на 1куб.м катионита.</w:t>
      </w:r>
    </w:p>
    <w:p>
      <w:pPr>
        <w:pStyle w:val="Normal"/>
        <w:ind w:firstLine="225"/>
        <w:jc w:val="both"/>
        <w:rPr/>
      </w:pPr>
      <w:r>
        <w:rPr/>
      </w:r>
    </w:p>
    <w:p>
      <w:pPr>
        <w:pStyle w:val="Normal"/>
        <w:ind w:firstLine="225"/>
        <w:jc w:val="both"/>
        <w:rPr/>
      </w:pPr>
      <w:r>
        <w:rPr/>
        <w:t>22. Натрий-катионитные фильтры второй ступени следует рассчитывать согласно пп. 20, 21, при этом следует принимать: высоту слоя катионита -  1,5 м; скорость фильтрования - не более 40 м/ч; удельный расход соли для регенерации катионита в фильтрах второй ступени 300-400 г на 1 г-экв задержанных катионов жесткости; концентрацию регенерационного раствора - 8-12 %.</w:t>
      </w:r>
    </w:p>
    <w:p>
      <w:pPr>
        <w:pStyle w:val="Normal"/>
        <w:ind w:firstLine="225"/>
        <w:jc w:val="both"/>
        <w:rPr/>
      </w:pPr>
      <w:r>
        <w:rPr/>
      </w:r>
    </w:p>
    <w:p>
      <w:pPr>
        <w:pStyle w:val="Normal"/>
        <w:ind w:firstLine="225"/>
        <w:jc w:val="both"/>
        <w:rPr/>
      </w:pPr>
      <w:r>
        <w:rPr/>
        <w:t>Потерю напора в фильтре второй ступени следует принимать 13-15 м.</w:t>
      </w:r>
    </w:p>
    <w:p>
      <w:pPr>
        <w:pStyle w:val="Normal"/>
        <w:ind w:firstLine="225"/>
        <w:jc w:val="both"/>
        <w:rPr/>
      </w:pPr>
      <w:r>
        <w:rPr/>
      </w:r>
    </w:p>
    <w:p>
      <w:pPr>
        <w:pStyle w:val="Normal"/>
        <w:ind w:firstLine="225"/>
        <w:jc w:val="both"/>
        <w:rPr/>
      </w:pPr>
      <w:r>
        <w:rPr/>
        <w:t>Отмывку катионита в фильтрах второй ступени надлежит предусматривать фильтратом первой ступени.</w:t>
      </w:r>
    </w:p>
    <w:p>
      <w:pPr>
        <w:pStyle w:val="Normal"/>
        <w:ind w:firstLine="225"/>
        <w:jc w:val="both"/>
        <w:rPr/>
      </w:pPr>
      <w:r>
        <w:rPr/>
      </w:r>
    </w:p>
    <w:p>
      <w:pPr>
        <w:pStyle w:val="Normal"/>
        <w:ind w:firstLine="225"/>
        <w:jc w:val="both"/>
        <w:rPr/>
      </w:pPr>
      <w:r>
        <w:rPr/>
        <w:t>При расчете фильтров второй ступени общую жесткость поступающей на них воды следует принимать 0,1 г-экв/куб.м, рабочую емкость поглощения катионита  - 250-300 г-экв/куб.м.</w:t>
      </w:r>
    </w:p>
    <w:p>
      <w:pPr>
        <w:pStyle w:val="Normal"/>
        <w:ind w:firstLine="225"/>
        <w:jc w:val="both"/>
        <w:rPr/>
      </w:pPr>
      <w:r>
        <w:rPr/>
      </w:r>
    </w:p>
    <w:p>
      <w:pPr>
        <w:pStyle w:val="Normal"/>
        <w:ind w:firstLine="225"/>
        <w:jc w:val="both"/>
        <w:rPr/>
      </w:pPr>
      <w:r>
        <w:rPr/>
        <w:t>23. При обосновании для умягчения воды повышенной минерализации допускается применение схем противоточного или ступенчато-противоточного натрий-катионирования.</w:t>
      </w:r>
    </w:p>
    <w:p>
      <w:pPr>
        <w:pStyle w:val="Normal"/>
        <w:ind w:firstLine="225"/>
        <w:jc w:val="both"/>
        <w:rPr/>
      </w:pPr>
      <w:r>
        <w:rPr/>
      </w:r>
    </w:p>
    <w:p>
      <w:pPr>
        <w:pStyle w:val="Normal"/>
        <w:ind w:firstLine="225"/>
        <w:jc w:val="both"/>
        <w:rPr/>
      </w:pPr>
      <w:r>
        <w:rPr/>
      </w:r>
    </w:p>
    <w:p>
      <w:pPr>
        <w:pStyle w:val="Heading"/>
        <w:jc w:val="center"/>
        <w:rPr/>
      </w:pPr>
      <w:r>
        <w:rPr/>
        <w:t>Водород-натрий-катионитный метод</w:t>
      </w:r>
    </w:p>
    <w:p>
      <w:pPr>
        <w:pStyle w:val="Heading"/>
        <w:jc w:val="center"/>
        <w:rPr/>
      </w:pPr>
      <w:r>
        <w:rPr/>
        <w:t xml:space="preserve">умягчения воды </w:t>
      </w:r>
    </w:p>
    <w:p>
      <w:pPr>
        <w:pStyle w:val="Normal"/>
        <w:ind w:firstLine="270"/>
        <w:jc w:val="both"/>
        <w:rPr/>
      </w:pPr>
      <w:r>
        <w:rPr/>
      </w:r>
    </w:p>
    <w:p>
      <w:pPr>
        <w:pStyle w:val="Normal"/>
        <w:ind w:firstLine="270"/>
        <w:jc w:val="both"/>
        <w:rPr/>
      </w:pPr>
      <w:r>
        <w:rPr/>
      </w:r>
    </w:p>
    <w:p>
      <w:pPr>
        <w:pStyle w:val="Normal"/>
        <w:ind w:firstLine="225"/>
        <w:jc w:val="both"/>
        <w:rPr/>
      </w:pPr>
      <w:r>
        <w:rPr/>
        <w:t>24. Водород-натрий-катионитный метод следует принимать для удаления из воды катионов жесткости (кальция и магния) и одновременного снижения щелочности воды.</w:t>
      </w:r>
    </w:p>
    <w:p>
      <w:pPr>
        <w:pStyle w:val="Normal"/>
        <w:ind w:firstLine="225"/>
        <w:jc w:val="both"/>
        <w:rPr/>
      </w:pPr>
      <w:r>
        <w:rPr/>
      </w:r>
    </w:p>
    <w:p>
      <w:pPr>
        <w:pStyle w:val="Normal"/>
        <w:ind w:firstLine="225"/>
        <w:jc w:val="both"/>
        <w:rPr/>
      </w:pPr>
      <w:r>
        <w:rPr/>
        <w:t>Этот метод следует применять для обработки подземных вод и вод поверхностных источников с мутностью не более 5-8 мг/л и цветностью не более 30 град.</w:t>
      </w:r>
    </w:p>
    <w:p>
      <w:pPr>
        <w:pStyle w:val="Normal"/>
        <w:ind w:firstLine="225"/>
        <w:jc w:val="both"/>
        <w:rPr/>
      </w:pPr>
      <w:r>
        <w:rPr/>
      </w:r>
    </w:p>
    <w:p>
      <w:pPr>
        <w:pStyle w:val="Normal"/>
        <w:ind w:firstLine="225"/>
        <w:jc w:val="both"/>
        <w:rPr/>
      </w:pPr>
      <w:r>
        <w:rPr/>
        <w:t>Умягчение воды надлежит принимать по схемам:</w:t>
      </w:r>
    </w:p>
    <w:p>
      <w:pPr>
        <w:pStyle w:val="Normal"/>
        <w:ind w:firstLine="225"/>
        <w:jc w:val="both"/>
        <w:rPr/>
      </w:pPr>
      <w:r>
        <w:rPr/>
      </w:r>
    </w:p>
    <w:p>
      <w:pPr>
        <w:pStyle w:val="Normal"/>
        <w:ind w:firstLine="225"/>
        <w:jc w:val="both"/>
        <w:rPr/>
      </w:pPr>
      <w:r>
        <w:rPr/>
        <w:t>параллельного водород-натрий-катионирования, позволяющего получить фильтрат общей жесткостью 0,1 г-экв/куб.м с остаточной щелочностью 0,4 г-экв/куб.м; при этом суммарное содержание хлоридов и сульфатов в исходной воде должно быть не более 4 г-экв/куб.м и натрия не более 2 г-экв/куб.м.</w:t>
      </w:r>
    </w:p>
    <w:p>
      <w:pPr>
        <w:pStyle w:val="Normal"/>
        <w:ind w:firstLine="225"/>
        <w:jc w:val="both"/>
        <w:rPr/>
      </w:pPr>
      <w:r>
        <w:rPr/>
      </w:r>
    </w:p>
    <w:p>
      <w:pPr>
        <w:pStyle w:val="Normal"/>
        <w:ind w:firstLine="225"/>
        <w:jc w:val="both"/>
        <w:rPr/>
      </w:pPr>
      <w:r>
        <w:rPr/>
        <w:t>последовательного водород-натрий-катионирования с "голодной" регенерацией водород-катионитных фильтров; при этом общая жесткость фильтрата составит 0,01 г-экв/куб.м, щелочность - 0,7 г-экв/куб.м;</w:t>
      </w:r>
    </w:p>
    <w:p>
      <w:pPr>
        <w:pStyle w:val="Normal"/>
        <w:ind w:firstLine="225"/>
        <w:jc w:val="both"/>
        <w:rPr/>
      </w:pPr>
      <w:r>
        <w:rPr/>
      </w:r>
    </w:p>
    <w:p>
      <w:pPr>
        <w:pStyle w:val="Normal"/>
        <w:ind w:firstLine="225"/>
        <w:jc w:val="both"/>
        <w:rPr/>
      </w:pPr>
      <w:r>
        <w:rPr/>
        <w:t>водород-катионирования с «голодной» регенерацией и последующим фильтрованием через буферные саморегенерирующиеся катионитные фильтры; при этом общая жесткость фильтрата будет на 0,7-1,5 г-экв/куб.м выше некарбонатной жесткости исходной воды, щелочность фильтрата - 0,7-1,5 г-экв/куб.м. Катионитные буферные фильтры допускается не предусматривать, если не требуется поддержания остаточной жесткости, щелочности и рН в строго определенных пределах. Следует предусматривать возможность регенерации буферных фильтров раствором технической поваренной соли.</w:t>
      </w:r>
    </w:p>
    <w:p>
      <w:pPr>
        <w:pStyle w:val="Normal"/>
        <w:ind w:firstLine="225"/>
        <w:jc w:val="both"/>
        <w:rPr/>
      </w:pPr>
      <w:r>
        <w:rPr/>
      </w:r>
    </w:p>
    <w:p>
      <w:pPr>
        <w:pStyle w:val="Normal"/>
        <w:ind w:firstLine="225"/>
        <w:jc w:val="both"/>
        <w:rPr/>
      </w:pPr>
      <w:r>
        <w:rPr/>
        <w:t>25. Соотношения расходов воды, подаваемой на водород-катионитные и натрий-катионитные фильтры при умягчении воды параллельным водород-натрий-катионированием, следует определять по формулам:</w:t>
      </w:r>
    </w:p>
    <w:p>
      <w:pPr>
        <w:pStyle w:val="Normal"/>
        <w:ind w:firstLine="225"/>
        <w:jc w:val="both"/>
        <w:rPr/>
      </w:pPr>
      <w:r>
        <w:rPr/>
      </w:r>
    </w:p>
    <w:p>
      <w:pPr>
        <w:pStyle w:val="Normal"/>
        <w:ind w:firstLine="225"/>
        <w:jc w:val="both"/>
        <w:rPr/>
      </w:pPr>
      <w:r>
        <w:rPr/>
        <w:t>расход воды, подаваемой на водород-катионитные фильтры, куб.м/ч,</w:t>
      </w:r>
    </w:p>
    <w:p>
      <w:pPr>
        <w:pStyle w:val="Normal"/>
        <w:ind w:firstLine="225"/>
        <w:jc w:val="both"/>
        <w:rPr/>
      </w:pPr>
      <w:r>
        <w:rPr/>
      </w:r>
    </w:p>
    <w:tbl>
      <w:tblPr>
        <w:tblW w:w="4710" w:type="dxa"/>
        <w:jc w:val="start"/>
        <w:tblInd w:w="165" w:type="dxa"/>
        <w:tblBorders/>
        <w:tblCellMar>
          <w:top w:w="0" w:type="dxa"/>
          <w:start w:w="15" w:type="dxa"/>
          <w:bottom w:w="0" w:type="dxa"/>
          <w:end w:w="15" w:type="dxa"/>
        </w:tblCellMar>
      </w:tblPr>
      <w:tblGrid>
        <w:gridCol w:w="3255"/>
        <w:gridCol w:w="1455"/>
      </w:tblGrid>
      <w:tr>
        <w:trPr/>
        <w:tc>
          <w:tcPr>
            <w:tcW w:w="3255" w:type="dxa"/>
            <w:tcBorders/>
            <w:shd w:fill="auto" w:val="clear"/>
          </w:tcPr>
          <w:p>
            <w:pPr>
              <w:pStyle w:val="Normal"/>
              <w:rPr/>
            </w:pPr>
            <w:r>
              <w:rPr>
                <w:vanish/>
              </w:rPr>
              <w:t>#G0</w:t>
            </w:r>
            <w:r>
              <w:rPr/>
              <w:t xml:space="preserve">  </w:t>
            </w:r>
          </w:p>
          <w:p>
            <w:pPr>
              <w:pStyle w:val="Normal"/>
              <w:rPr/>
            </w:pPr>
            <w:r>
              <w:rPr/>
              <w:drawing>
                <wp:inline distT="0" distB="0" distL="0" distR="0">
                  <wp:extent cx="2223135" cy="345440"/>
                  <wp:effectExtent l="0" t="0" r="0" b="0"/>
                  <wp:docPr id="286" name="Изображение2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Изображение286" descr="" title=""/>
                          <pic:cNvPicPr>
                            <a:picLocks noChangeAspect="1" noChangeArrowheads="1"/>
                          </pic:cNvPicPr>
                        </pic:nvPicPr>
                        <pic:blipFill>
                          <a:blip r:embed="rId287"/>
                          <a:stretch>
                            <a:fillRect/>
                          </a:stretch>
                        </pic:blipFill>
                        <pic:spPr bwMode="auto">
                          <a:xfrm>
                            <a:off x="0" y="0"/>
                            <a:ext cx="2223135" cy="345440"/>
                          </a:xfrm>
                          <a:prstGeom prst="rect">
                            <a:avLst/>
                          </a:prstGeom>
                        </pic:spPr>
                      </pic:pic>
                    </a:graphicData>
                  </a:graphic>
                </wp:inline>
              </w:drawing>
            </w:r>
          </w:p>
        </w:tc>
        <w:tc>
          <w:tcPr>
            <w:tcW w:w="1455" w:type="dxa"/>
            <w:tcBorders/>
            <w:shd w:fill="auto" w:val="clear"/>
          </w:tcPr>
          <w:p>
            <w:pPr>
              <w:pStyle w:val="Normal"/>
              <w:snapToGrid w:val="false"/>
              <w:rPr/>
            </w:pPr>
            <w:r>
              <w:rPr/>
            </w:r>
          </w:p>
          <w:p>
            <w:pPr>
              <w:pStyle w:val="Normal"/>
              <w:rPr/>
            </w:pPr>
            <w:r>
              <w:rPr/>
              <w:t xml:space="preserve">             </w:t>
            </w:r>
            <w:r>
              <w:rPr/>
              <w:t>(10)</w:t>
            </w:r>
          </w:p>
          <w:p>
            <w:pPr>
              <w:pStyle w:val="Normal"/>
              <w:rPr/>
            </w:pPr>
            <w:r>
              <w:rPr/>
            </w:r>
          </w:p>
        </w:tc>
      </w:tr>
    </w:tbl>
    <w:p>
      <w:pPr>
        <w:pStyle w:val="Normal"/>
        <w:ind w:firstLine="1395"/>
        <w:jc w:val="both"/>
        <w:rPr/>
      </w:pPr>
      <w:r>
        <w:rPr/>
      </w:r>
    </w:p>
    <w:p>
      <w:pPr>
        <w:pStyle w:val="Normal"/>
        <w:ind w:firstLine="1395"/>
        <w:jc w:val="both"/>
        <w:rPr/>
      </w:pPr>
      <w:r>
        <w:rPr/>
        <w:tab/>
        <w:t xml:space="preserve">    </w:t>
      </w:r>
    </w:p>
    <w:tbl>
      <w:tblPr>
        <w:tblW w:w="7455" w:type="dxa"/>
        <w:jc w:val="start"/>
        <w:tblInd w:w="165" w:type="dxa"/>
        <w:tblBorders/>
        <w:tblCellMar>
          <w:top w:w="0" w:type="dxa"/>
          <w:start w:w="15" w:type="dxa"/>
          <w:bottom w:w="0" w:type="dxa"/>
          <w:end w:w="15" w:type="dxa"/>
        </w:tblCellMar>
      </w:tblPr>
      <w:tblGrid>
        <w:gridCol w:w="5400"/>
        <w:gridCol w:w="900"/>
        <w:gridCol w:w="1155"/>
      </w:tblGrid>
      <w:tr>
        <w:trPr/>
        <w:tc>
          <w:tcPr>
            <w:tcW w:w="5400" w:type="dxa"/>
            <w:tcBorders/>
            <w:shd w:fill="auto" w:val="clear"/>
          </w:tcPr>
          <w:p>
            <w:pPr>
              <w:pStyle w:val="Normal"/>
              <w:rPr/>
            </w:pPr>
            <w:r>
              <w:rPr>
                <w:vanish/>
              </w:rPr>
              <w:t>#G0</w:t>
            </w:r>
            <w:r>
              <w:rPr/>
              <w:t xml:space="preserve">  </w:t>
            </w:r>
          </w:p>
          <w:p>
            <w:pPr>
              <w:pStyle w:val="Normal"/>
              <w:jc w:val="both"/>
              <w:rPr/>
            </w:pPr>
            <w:r>
              <w:rPr/>
              <w:t xml:space="preserve">расход воды, подаваемой на натрий-катионитные фильтры  </w:t>
            </w:r>
          </w:p>
          <w:p>
            <w:pPr>
              <w:pStyle w:val="Normal"/>
              <w:jc w:val="both"/>
              <w:rPr/>
            </w:pPr>
            <w:r>
              <w:rPr/>
            </w:r>
          </w:p>
        </w:tc>
        <w:tc>
          <w:tcPr>
            <w:tcW w:w="900" w:type="dxa"/>
            <w:tcBorders/>
            <w:shd w:fill="auto" w:val="clear"/>
          </w:tcPr>
          <w:p>
            <w:pPr>
              <w:pStyle w:val="Normal"/>
              <w:rPr/>
            </w:pPr>
            <w:r>
              <w:rPr/>
              <w:t xml:space="preserve">  </w:t>
            </w:r>
          </w:p>
          <w:p>
            <w:pPr>
              <w:pStyle w:val="Normal"/>
              <w:rPr/>
            </w:pPr>
            <w:r>
              <w:rPr/>
              <w:drawing>
                <wp:inline distT="0" distB="0" distL="0" distR="0">
                  <wp:extent cx="264795" cy="288290"/>
                  <wp:effectExtent l="0" t="0" r="0" b="0"/>
                  <wp:docPr id="287" name="Изображение2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Изображение287" descr="" title=""/>
                          <pic:cNvPicPr>
                            <a:picLocks noChangeAspect="1" noChangeArrowheads="1"/>
                          </pic:cNvPicPr>
                        </pic:nvPicPr>
                        <pic:blipFill>
                          <a:blip r:embed="rId288"/>
                          <a:stretch>
                            <a:fillRect/>
                          </a:stretch>
                        </pic:blipFill>
                        <pic:spPr bwMode="auto">
                          <a:xfrm>
                            <a:off x="0" y="0"/>
                            <a:ext cx="264795" cy="288290"/>
                          </a:xfrm>
                          <a:prstGeom prst="rect">
                            <a:avLst/>
                          </a:prstGeom>
                        </pic:spPr>
                      </pic:pic>
                    </a:graphicData>
                  </a:graphic>
                </wp:inline>
              </w:drawing>
            </w:r>
          </w:p>
        </w:tc>
        <w:tc>
          <w:tcPr>
            <w:tcW w:w="1155" w:type="dxa"/>
            <w:tcBorders/>
            <w:shd w:fill="auto" w:val="clear"/>
          </w:tcPr>
          <w:p>
            <w:pPr>
              <w:pStyle w:val="Normal"/>
              <w:rPr/>
            </w:pPr>
            <w:r>
              <w:rPr/>
              <w:t xml:space="preserve">  </w:t>
            </w:r>
          </w:p>
          <w:p>
            <w:pPr>
              <w:pStyle w:val="Normal"/>
              <w:jc w:val="both"/>
              <w:rPr/>
            </w:pPr>
            <w:r>
              <w:rPr/>
              <w:t>, куб.м/ч,</w:t>
            </w:r>
          </w:p>
          <w:p>
            <w:pPr>
              <w:pStyle w:val="Normal"/>
              <w:jc w:val="both"/>
              <w:rPr/>
            </w:pPr>
            <w:r>
              <w:rPr/>
            </w:r>
          </w:p>
        </w:tc>
      </w:tr>
    </w:tbl>
    <w:p>
      <w:pPr>
        <w:pStyle w:val="Normal"/>
        <w:ind w:firstLine="945"/>
        <w:jc w:val="both"/>
        <w:rPr/>
      </w:pPr>
      <w:r>
        <w:rPr/>
      </w:r>
    </w:p>
    <w:p>
      <w:pPr>
        <w:pStyle w:val="Normal"/>
        <w:ind w:firstLine="225"/>
        <w:jc w:val="both"/>
        <w:rPr/>
      </w:pPr>
      <w:r>
        <w:rPr/>
      </w:r>
    </w:p>
    <w:tbl>
      <w:tblPr>
        <w:tblW w:w="5010" w:type="dxa"/>
        <w:jc w:val="start"/>
        <w:tblInd w:w="165" w:type="dxa"/>
        <w:tblBorders/>
        <w:tblCellMar>
          <w:top w:w="0" w:type="dxa"/>
          <w:start w:w="15" w:type="dxa"/>
          <w:bottom w:w="0" w:type="dxa"/>
          <w:end w:w="15" w:type="dxa"/>
        </w:tblCellMar>
      </w:tblPr>
      <w:tblGrid>
        <w:gridCol w:w="1950"/>
        <w:gridCol w:w="3060"/>
      </w:tblGrid>
      <w:tr>
        <w:trPr/>
        <w:tc>
          <w:tcPr>
            <w:tcW w:w="1950" w:type="dxa"/>
            <w:tcBorders/>
            <w:shd w:fill="auto" w:val="clear"/>
          </w:tcPr>
          <w:p>
            <w:pPr>
              <w:pStyle w:val="Normal"/>
              <w:rPr/>
            </w:pPr>
            <w:r>
              <w:rPr>
                <w:vanish/>
              </w:rPr>
              <w:t>#G0</w:t>
            </w:r>
            <w:r>
              <w:rPr/>
              <w:t xml:space="preserve">  </w:t>
            </w:r>
          </w:p>
          <w:p>
            <w:pPr>
              <w:pStyle w:val="Normal"/>
              <w:rPr/>
            </w:pPr>
            <w:r>
              <w:rPr/>
              <w:drawing>
                <wp:inline distT="0" distB="0" distL="0" distR="0">
                  <wp:extent cx="1048385" cy="288290"/>
                  <wp:effectExtent l="0" t="0" r="0" b="0"/>
                  <wp:docPr id="288" name="Изображение2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Изображение288" descr="" title=""/>
                          <pic:cNvPicPr>
                            <a:picLocks noChangeAspect="1" noChangeArrowheads="1"/>
                          </pic:cNvPicPr>
                        </pic:nvPicPr>
                        <pic:blipFill>
                          <a:blip r:embed="rId289"/>
                          <a:stretch>
                            <a:fillRect/>
                          </a:stretch>
                        </pic:blipFill>
                        <pic:spPr bwMode="auto">
                          <a:xfrm>
                            <a:off x="0" y="0"/>
                            <a:ext cx="1048385" cy="288290"/>
                          </a:xfrm>
                          <a:prstGeom prst="rect">
                            <a:avLst/>
                          </a:prstGeom>
                        </pic:spPr>
                      </pic:pic>
                    </a:graphicData>
                  </a:graphic>
                </wp:inline>
              </w:drawing>
            </w:r>
          </w:p>
        </w:tc>
        <w:tc>
          <w:tcPr>
            <w:tcW w:w="3060" w:type="dxa"/>
            <w:tcBorders/>
            <w:shd w:fill="auto" w:val="clear"/>
          </w:tcPr>
          <w:p>
            <w:pPr>
              <w:pStyle w:val="Normal"/>
              <w:snapToGrid w:val="false"/>
              <w:rPr/>
            </w:pPr>
            <w:r>
              <w:rPr/>
            </w:r>
          </w:p>
          <w:p>
            <w:pPr>
              <w:pStyle w:val="Normal"/>
              <w:rPr/>
            </w:pPr>
            <w:r>
              <w:rPr/>
              <w:t xml:space="preserve">                                                       </w:t>
            </w:r>
            <w:r>
              <w:rPr/>
              <w:t>(11)</w:t>
            </w:r>
          </w:p>
          <w:p>
            <w:pPr>
              <w:pStyle w:val="Normal"/>
              <w:rPr/>
            </w:pPr>
            <w:r>
              <w:rPr/>
            </w:r>
          </w:p>
        </w:tc>
      </w:tr>
    </w:tbl>
    <w:p>
      <w:pPr>
        <w:pStyle w:val="Normal"/>
        <w:ind w:firstLine="450"/>
        <w:jc w:val="both"/>
        <w:rPr/>
      </w:pPr>
      <w:r>
        <w:rPr/>
      </w:r>
    </w:p>
    <w:p>
      <w:pPr>
        <w:pStyle w:val="Normal"/>
        <w:ind w:firstLine="450"/>
        <w:jc w:val="both"/>
        <w:rPr/>
      </w:pPr>
      <w:r>
        <w:rPr/>
      </w:r>
    </w:p>
    <w:p>
      <w:pPr>
        <w:pStyle w:val="Normal"/>
        <w:ind w:firstLine="450"/>
        <w:jc w:val="both"/>
        <w:rPr/>
      </w:pPr>
      <w:r>
        <w:rPr/>
        <w:tab/>
        <w:t xml:space="preserve">      </w:t>
      </w:r>
    </w:p>
    <w:p>
      <w:pPr>
        <w:pStyle w:val="Normal"/>
        <w:ind w:firstLine="450"/>
        <w:jc w:val="both"/>
        <w:rPr/>
      </w:pPr>
      <w:r>
        <w:rPr/>
        <w:t>где q(пол)  -  полезная производительность водород-натрий-катионитной установки, куб.м/ч;</w:t>
      </w:r>
    </w:p>
    <w:p>
      <w:pPr>
        <w:pStyle w:val="Normal"/>
        <w:ind w:firstLine="225"/>
        <w:jc w:val="both"/>
        <w:rPr/>
      </w:pPr>
      <w:r>
        <w:rPr/>
      </w:r>
    </w:p>
    <w:tbl>
      <w:tblPr>
        <w:tblW w:w="8865" w:type="dxa"/>
        <w:jc w:val="start"/>
        <w:tblInd w:w="165" w:type="dxa"/>
        <w:tblBorders/>
        <w:tblCellMar>
          <w:top w:w="0" w:type="dxa"/>
          <w:start w:w="15" w:type="dxa"/>
          <w:bottom w:w="0" w:type="dxa"/>
          <w:end w:w="15" w:type="dxa"/>
        </w:tblCellMar>
      </w:tblPr>
      <w:tblGrid>
        <w:gridCol w:w="510"/>
        <w:gridCol w:w="450"/>
        <w:gridCol w:w="480"/>
        <w:gridCol w:w="7425"/>
      </w:tblGrid>
      <w:tr>
        <w:trPr/>
        <w:tc>
          <w:tcPr>
            <w:tcW w:w="510" w:type="dxa"/>
            <w:tcBorders/>
            <w:shd w:fill="auto" w:val="clear"/>
          </w:tcPr>
          <w:p>
            <w:pPr>
              <w:pStyle w:val="Normal"/>
              <w:rPr/>
            </w:pPr>
            <w:r>
              <w:rPr>
                <w:vanish/>
              </w:rPr>
              <w:t>#G0</w:t>
            </w:r>
            <w:r>
              <w:rPr/>
              <w:t xml:space="preserve">  </w:t>
            </w:r>
          </w:p>
          <w:p>
            <w:pPr>
              <w:pStyle w:val="Normal"/>
              <w:rPr/>
            </w:pPr>
            <w:r>
              <w:rPr/>
              <w:drawing>
                <wp:inline distT="0" distB="0" distL="0" distR="0">
                  <wp:extent cx="264795" cy="288290"/>
                  <wp:effectExtent l="0" t="0" r="0" b="0"/>
                  <wp:docPr id="289" name="Изображение2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Изображение289" descr="" title=""/>
                          <pic:cNvPicPr>
                            <a:picLocks noChangeAspect="1" noChangeArrowheads="1"/>
                          </pic:cNvPicPr>
                        </pic:nvPicPr>
                        <pic:blipFill>
                          <a:blip r:embed="rId290"/>
                          <a:stretch>
                            <a:fillRect/>
                          </a:stretch>
                        </pic:blipFill>
                        <pic:spPr bwMode="auto">
                          <a:xfrm>
                            <a:off x="0" y="0"/>
                            <a:ext cx="264795" cy="288290"/>
                          </a:xfrm>
                          <a:prstGeom prst="rect">
                            <a:avLst/>
                          </a:prstGeom>
                        </pic:spPr>
                      </pic:pic>
                    </a:graphicData>
                  </a:graphic>
                </wp:inline>
              </w:drawing>
            </w:r>
          </w:p>
        </w:tc>
        <w:tc>
          <w:tcPr>
            <w:tcW w:w="450" w:type="dxa"/>
            <w:tcBorders/>
            <w:shd w:fill="auto" w:val="clear"/>
          </w:tcPr>
          <w:p>
            <w:pPr>
              <w:pStyle w:val="Normal"/>
              <w:snapToGrid w:val="false"/>
              <w:rPr/>
            </w:pPr>
            <w:r>
              <w:rPr/>
            </w:r>
          </w:p>
          <w:p>
            <w:pPr>
              <w:pStyle w:val="Normal"/>
              <w:rPr/>
            </w:pPr>
            <w:r>
              <w:rPr/>
              <w:t xml:space="preserve">  </w:t>
            </w:r>
            <w:r>
              <w:rPr/>
              <w:t xml:space="preserve">и </w:t>
            </w:r>
          </w:p>
          <w:p>
            <w:pPr>
              <w:pStyle w:val="Normal"/>
              <w:rPr/>
            </w:pPr>
            <w:r>
              <w:rPr/>
            </w:r>
          </w:p>
        </w:tc>
        <w:tc>
          <w:tcPr>
            <w:tcW w:w="480" w:type="dxa"/>
            <w:tcBorders/>
            <w:shd w:fill="auto" w:val="clear"/>
          </w:tcPr>
          <w:p>
            <w:pPr>
              <w:pStyle w:val="Normal"/>
              <w:rPr/>
            </w:pPr>
            <w:r>
              <w:rPr/>
              <w:t xml:space="preserve">  </w:t>
            </w:r>
          </w:p>
          <w:p>
            <w:pPr>
              <w:pStyle w:val="Normal"/>
              <w:rPr/>
            </w:pPr>
            <w:r>
              <w:rPr/>
              <w:drawing>
                <wp:inline distT="0" distB="0" distL="0" distR="0">
                  <wp:extent cx="264795" cy="288290"/>
                  <wp:effectExtent l="0" t="0" r="0" b="0"/>
                  <wp:docPr id="290" name="Изображение2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Изображение290" descr="" title=""/>
                          <pic:cNvPicPr>
                            <a:picLocks noChangeAspect="1" noChangeArrowheads="1"/>
                          </pic:cNvPicPr>
                        </pic:nvPicPr>
                        <pic:blipFill>
                          <a:blip r:embed="rId291"/>
                          <a:stretch>
                            <a:fillRect/>
                          </a:stretch>
                        </pic:blipFill>
                        <pic:spPr bwMode="auto">
                          <a:xfrm>
                            <a:off x="0" y="0"/>
                            <a:ext cx="264795" cy="288290"/>
                          </a:xfrm>
                          <a:prstGeom prst="rect">
                            <a:avLst/>
                          </a:prstGeom>
                        </pic:spPr>
                      </pic:pic>
                    </a:graphicData>
                  </a:graphic>
                </wp:inline>
              </w:drawing>
            </w:r>
          </w:p>
        </w:tc>
        <w:tc>
          <w:tcPr>
            <w:tcW w:w="7425" w:type="dxa"/>
            <w:tcBorders/>
            <w:shd w:fill="auto" w:val="clear"/>
          </w:tcPr>
          <w:p>
            <w:pPr>
              <w:pStyle w:val="Normal"/>
              <w:rPr/>
            </w:pPr>
            <w:r>
              <w:rPr/>
              <w:t xml:space="preserve">  </w:t>
            </w:r>
          </w:p>
          <w:p>
            <w:pPr>
              <w:pStyle w:val="Normal"/>
              <w:ind w:firstLine="90"/>
              <w:jc w:val="both"/>
              <w:rPr/>
            </w:pPr>
            <w:r>
              <w:rPr/>
              <w:t xml:space="preserve">полезная производительность соответственно водород-катионитных и  </w:t>
            </w:r>
          </w:p>
          <w:p>
            <w:pPr>
              <w:pStyle w:val="Normal"/>
              <w:ind w:firstLine="90"/>
              <w:jc w:val="both"/>
              <w:rPr/>
            </w:pPr>
            <w:r>
              <w:rPr/>
            </w:r>
          </w:p>
        </w:tc>
      </w:tr>
    </w:tbl>
    <w:p>
      <w:pPr>
        <w:pStyle w:val="Normal"/>
        <w:ind w:firstLine="225"/>
        <w:jc w:val="both"/>
        <w:rPr/>
      </w:pPr>
      <w:r>
        <w:rPr/>
        <w:t>натрий-катионитных фильтров, куб.м/ч;</w:t>
      </w:r>
    </w:p>
    <w:p>
      <w:pPr>
        <w:pStyle w:val="Normal"/>
        <w:ind w:firstLine="225"/>
        <w:jc w:val="both"/>
        <w:rPr/>
      </w:pPr>
      <w:r>
        <w:rPr/>
      </w:r>
    </w:p>
    <w:p>
      <w:pPr>
        <w:pStyle w:val="Normal"/>
        <w:ind w:firstLine="225"/>
        <w:jc w:val="both"/>
        <w:rPr/>
      </w:pPr>
      <w:r>
        <w:rPr/>
        <w:t>Щ(о) - щелочность исходной воды, г-экв/куб.м;</w:t>
      </w:r>
    </w:p>
    <w:p>
      <w:pPr>
        <w:pStyle w:val="Normal"/>
        <w:ind w:firstLine="225"/>
        <w:jc w:val="both"/>
        <w:rPr/>
      </w:pPr>
      <w:r>
        <w:rPr/>
      </w:r>
    </w:p>
    <w:p>
      <w:pPr>
        <w:pStyle w:val="Normal"/>
        <w:ind w:firstLine="225"/>
        <w:jc w:val="both"/>
        <w:rPr/>
      </w:pPr>
      <w:r>
        <w:rPr/>
        <w:t xml:space="preserve">Щ(у) - требуемая щелочность умягченной воды, г-экв/куб.м; </w:t>
      </w:r>
    </w:p>
    <w:p>
      <w:pPr>
        <w:pStyle w:val="Normal"/>
        <w:ind w:firstLine="225"/>
        <w:jc w:val="both"/>
        <w:rPr/>
      </w:pPr>
      <w:r>
        <w:rPr/>
      </w:r>
    </w:p>
    <w:p>
      <w:pPr>
        <w:pStyle w:val="Normal"/>
        <w:ind w:firstLine="225"/>
        <w:jc w:val="both"/>
        <w:rPr/>
      </w:pPr>
      <w:r>
        <w:rPr/>
        <w:t>А - суммарное содержание в умягченной воде анионов сильных кислот (сульфатов, хлоридов, нитратов и др.), г-экв/куб.м.</w:t>
      </w:r>
    </w:p>
    <w:p>
      <w:pPr>
        <w:pStyle w:val="Normal"/>
        <w:ind w:firstLine="225"/>
        <w:jc w:val="both"/>
        <w:rPr/>
      </w:pPr>
      <w:r>
        <w:rPr/>
      </w:r>
    </w:p>
    <w:p>
      <w:pPr>
        <w:pStyle w:val="Normal"/>
        <w:ind w:firstLine="225"/>
        <w:jc w:val="both"/>
        <w:rPr/>
      </w:pPr>
      <w:r>
        <w:rPr/>
      </w:r>
    </w:p>
    <w:p>
      <w:pPr>
        <w:pStyle w:val="Normal"/>
        <w:ind w:firstLine="225"/>
        <w:jc w:val="both"/>
        <w:rPr/>
      </w:pPr>
      <w:r>
        <w:rPr/>
        <w:t>Примечания: 1. Водород-катионитные фильтры могут быть использованы и как натрий-катионитные, поэтому должна быть предусмотрена возможность регенерации двух-трех водород-катионитных фильтров раствором технической поваренной соли.</w:t>
      </w:r>
    </w:p>
    <w:p>
      <w:pPr>
        <w:pStyle w:val="Normal"/>
        <w:ind w:firstLine="225"/>
        <w:jc w:val="both"/>
        <w:rPr/>
      </w:pPr>
      <w:r>
        <w:rPr/>
      </w:r>
    </w:p>
    <w:p>
      <w:pPr>
        <w:pStyle w:val="Normal"/>
        <w:ind w:firstLine="225"/>
        <w:jc w:val="both"/>
        <w:rPr/>
      </w:pPr>
      <w:r>
        <w:rPr/>
        <w:t>2. Расчет трубопроводов и фильтров следует производить на режиме при наибольшей нагрузке на водород-катионитные фильтры, наибольшей щелочности (Щ) воды и наименьшем содержании в ней анионов сильных кислот (А); при наибольшей нагрузке на натрий-катионитные фильтры, наименьшей щелочности воды и наибольшем содержании в ней анионов сильных кислот.</w:t>
      </w:r>
    </w:p>
    <w:p>
      <w:pPr>
        <w:pStyle w:val="Normal"/>
        <w:ind w:firstLine="225"/>
        <w:jc w:val="both"/>
        <w:rPr/>
      </w:pPr>
      <w:r>
        <w:rPr/>
      </w:r>
    </w:p>
    <w:p>
      <w:pPr>
        <w:pStyle w:val="Normal"/>
        <w:ind w:firstLine="225"/>
        <w:jc w:val="both"/>
        <w:rPr/>
      </w:pPr>
      <w:r>
        <w:rPr/>
      </w:r>
    </w:p>
    <w:p>
      <w:pPr>
        <w:pStyle w:val="Normal"/>
        <w:ind w:firstLine="225"/>
        <w:jc w:val="both"/>
        <w:rPr/>
      </w:pPr>
      <w:r>
        <w:rPr/>
        <w:t xml:space="preserve">26. Объем катионита W(н), куб.м, в водород-катионитных фильтрах следует определять по формуле                               </w:t>
      </w:r>
    </w:p>
    <w:tbl>
      <w:tblPr>
        <w:tblW w:w="5445" w:type="dxa"/>
        <w:jc w:val="start"/>
        <w:tblInd w:w="165" w:type="dxa"/>
        <w:tblBorders/>
        <w:tblCellMar>
          <w:top w:w="0" w:type="dxa"/>
          <w:start w:w="15" w:type="dxa"/>
          <w:bottom w:w="0" w:type="dxa"/>
          <w:end w:w="15" w:type="dxa"/>
        </w:tblCellMar>
      </w:tblPr>
      <w:tblGrid>
        <w:gridCol w:w="3135"/>
        <w:gridCol w:w="2310"/>
      </w:tblGrid>
      <w:tr>
        <w:trPr/>
        <w:tc>
          <w:tcPr>
            <w:tcW w:w="3135" w:type="dxa"/>
            <w:tcBorders/>
            <w:shd w:fill="auto" w:val="clear"/>
          </w:tcPr>
          <w:p>
            <w:pPr>
              <w:pStyle w:val="Normal"/>
              <w:rPr/>
            </w:pPr>
            <w:r>
              <w:rPr>
                <w:vanish/>
              </w:rPr>
              <w:t>#G0</w:t>
            </w:r>
            <w:r>
              <w:rPr/>
              <w:t xml:space="preserve">  </w:t>
            </w:r>
          </w:p>
          <w:p>
            <w:pPr>
              <w:pStyle w:val="Normal"/>
              <w:rPr/>
            </w:pPr>
            <w:r>
              <w:rPr/>
              <w:drawing>
                <wp:inline distT="0" distB="0" distL="0" distR="0">
                  <wp:extent cx="2154555" cy="288290"/>
                  <wp:effectExtent l="0" t="0" r="0" b="0"/>
                  <wp:docPr id="291" name="Изображение2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Изображение291" descr="" title=""/>
                          <pic:cNvPicPr>
                            <a:picLocks noChangeAspect="1" noChangeArrowheads="1"/>
                          </pic:cNvPicPr>
                        </pic:nvPicPr>
                        <pic:blipFill>
                          <a:blip r:embed="rId292"/>
                          <a:stretch>
                            <a:fillRect/>
                          </a:stretch>
                        </pic:blipFill>
                        <pic:spPr bwMode="auto">
                          <a:xfrm>
                            <a:off x="0" y="0"/>
                            <a:ext cx="2154555" cy="288290"/>
                          </a:xfrm>
                          <a:prstGeom prst="rect">
                            <a:avLst/>
                          </a:prstGeom>
                        </pic:spPr>
                      </pic:pic>
                    </a:graphicData>
                  </a:graphic>
                </wp:inline>
              </w:drawing>
            </w:r>
          </w:p>
        </w:tc>
        <w:tc>
          <w:tcPr>
            <w:tcW w:w="2310" w:type="dxa"/>
            <w:tcBorders/>
            <w:shd w:fill="auto" w:val="clear"/>
          </w:tcPr>
          <w:p>
            <w:pPr>
              <w:pStyle w:val="Normal"/>
              <w:snapToGrid w:val="false"/>
              <w:rPr/>
            </w:pPr>
            <w:r>
              <w:rPr/>
            </w:r>
          </w:p>
          <w:p>
            <w:pPr>
              <w:pStyle w:val="Normal"/>
              <w:rPr/>
            </w:pPr>
            <w:r>
              <w:rPr/>
              <w:t xml:space="preserve">                   </w:t>
            </w:r>
            <w:r>
              <w:rPr/>
              <w:t>(12)</w:t>
            </w:r>
          </w:p>
          <w:p>
            <w:pPr>
              <w:pStyle w:val="Normal"/>
              <w:rPr/>
            </w:pPr>
            <w:r>
              <w:rPr/>
            </w:r>
          </w:p>
        </w:tc>
      </w:tr>
    </w:tbl>
    <w:p>
      <w:pPr>
        <w:pStyle w:val="Normal"/>
        <w:ind w:firstLine="225"/>
        <w:jc w:val="both"/>
        <w:rPr/>
      </w:pPr>
      <w:r>
        <w:rPr/>
        <w:tab/>
        <w:tab/>
      </w:r>
    </w:p>
    <w:p>
      <w:pPr>
        <w:pStyle w:val="Normal"/>
        <w:ind w:firstLine="270"/>
        <w:jc w:val="both"/>
        <w:rPr/>
      </w:pPr>
      <w:r>
        <w:rPr/>
      </w:r>
    </w:p>
    <w:p>
      <w:pPr>
        <w:pStyle w:val="Normal"/>
        <w:ind w:firstLine="270"/>
        <w:jc w:val="both"/>
        <w:rPr/>
      </w:pPr>
      <w:r>
        <w:rPr/>
      </w:r>
    </w:p>
    <w:p>
      <w:pPr>
        <w:pStyle w:val="Normal"/>
        <w:ind w:firstLine="225"/>
        <w:jc w:val="both"/>
        <w:rPr/>
      </w:pPr>
      <w:r>
        <w:rPr/>
        <w:t>Объем катионита W(Na), куб.м, в натрий-катионитных фильтрах следует определять по формуле</w:t>
      </w:r>
    </w:p>
    <w:p>
      <w:pPr>
        <w:pStyle w:val="Normal"/>
        <w:ind w:firstLine="225"/>
        <w:jc w:val="both"/>
        <w:rPr/>
      </w:pPr>
      <w:r>
        <w:rPr/>
      </w:r>
    </w:p>
    <w:p>
      <w:pPr>
        <w:pStyle w:val="Normal"/>
        <w:ind w:firstLine="1395"/>
        <w:jc w:val="both"/>
        <w:rPr/>
      </w:pPr>
      <w:r>
        <w:rPr/>
      </w:r>
    </w:p>
    <w:tbl>
      <w:tblPr>
        <w:tblW w:w="5340" w:type="dxa"/>
        <w:jc w:val="start"/>
        <w:tblInd w:w="165" w:type="dxa"/>
        <w:tblBorders/>
        <w:tblCellMar>
          <w:top w:w="0" w:type="dxa"/>
          <w:start w:w="15" w:type="dxa"/>
          <w:bottom w:w="0" w:type="dxa"/>
          <w:end w:w="15" w:type="dxa"/>
        </w:tblCellMar>
      </w:tblPr>
      <w:tblGrid>
        <w:gridCol w:w="3600"/>
        <w:gridCol w:w="1740"/>
      </w:tblGrid>
      <w:tr>
        <w:trPr/>
        <w:tc>
          <w:tcPr>
            <w:tcW w:w="3600" w:type="dxa"/>
            <w:tcBorders/>
            <w:shd w:fill="auto" w:val="clear"/>
          </w:tcPr>
          <w:p>
            <w:pPr>
              <w:pStyle w:val="Normal"/>
              <w:rPr/>
            </w:pPr>
            <w:r>
              <w:rPr>
                <w:vanish/>
              </w:rPr>
              <w:t>#G0</w:t>
            </w:r>
            <w:r>
              <w:rPr/>
              <w:t xml:space="preserve">  </w:t>
            </w:r>
          </w:p>
          <w:p>
            <w:pPr>
              <w:pStyle w:val="Normal"/>
              <w:rPr/>
            </w:pPr>
            <w:r>
              <w:rPr/>
              <w:drawing>
                <wp:inline distT="0" distB="0" distL="0" distR="0">
                  <wp:extent cx="1751330" cy="288290"/>
                  <wp:effectExtent l="0" t="0" r="0" b="0"/>
                  <wp:docPr id="292" name="Изображение2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Изображение292" descr="" title=""/>
                          <pic:cNvPicPr>
                            <a:picLocks noChangeAspect="1" noChangeArrowheads="1"/>
                          </pic:cNvPicPr>
                        </pic:nvPicPr>
                        <pic:blipFill>
                          <a:blip r:embed="rId293"/>
                          <a:stretch>
                            <a:fillRect/>
                          </a:stretch>
                        </pic:blipFill>
                        <pic:spPr bwMode="auto">
                          <a:xfrm>
                            <a:off x="0" y="0"/>
                            <a:ext cx="1751330" cy="288290"/>
                          </a:xfrm>
                          <a:prstGeom prst="rect">
                            <a:avLst/>
                          </a:prstGeom>
                        </pic:spPr>
                      </pic:pic>
                    </a:graphicData>
                  </a:graphic>
                </wp:inline>
              </w:drawing>
            </w:r>
          </w:p>
        </w:tc>
        <w:tc>
          <w:tcPr>
            <w:tcW w:w="1740" w:type="dxa"/>
            <w:tcBorders/>
            <w:shd w:fill="auto" w:val="clear"/>
          </w:tcPr>
          <w:p>
            <w:pPr>
              <w:pStyle w:val="Normal"/>
              <w:rPr/>
            </w:pPr>
            <w:r>
              <w:rPr/>
              <w:t xml:space="preserve"> </w:t>
            </w:r>
          </w:p>
          <w:p>
            <w:pPr>
              <w:pStyle w:val="Normal"/>
              <w:rPr/>
            </w:pPr>
            <w:r>
              <w:rPr/>
              <w:t xml:space="preserve">              </w:t>
            </w:r>
            <w:r>
              <w:rPr/>
              <w:t>(13)</w:t>
            </w:r>
          </w:p>
          <w:p>
            <w:pPr>
              <w:pStyle w:val="Normal"/>
              <w:rPr/>
            </w:pPr>
            <w:r>
              <w:rPr/>
            </w:r>
          </w:p>
        </w:tc>
      </w:tr>
    </w:tbl>
    <w:p>
      <w:pPr>
        <w:pStyle w:val="Normal"/>
        <w:ind w:firstLine="270"/>
        <w:jc w:val="both"/>
        <w:rPr/>
      </w:pPr>
      <w:r>
        <w:rPr/>
        <w:tab/>
        <w:tab/>
        <w:tab/>
      </w:r>
    </w:p>
    <w:p>
      <w:pPr>
        <w:pStyle w:val="Normal"/>
        <w:ind w:firstLine="270"/>
        <w:jc w:val="both"/>
        <w:rPr/>
      </w:pPr>
      <w:r>
        <w:rPr/>
      </w:r>
    </w:p>
    <w:p>
      <w:pPr>
        <w:pStyle w:val="Normal"/>
        <w:ind w:firstLine="270"/>
        <w:jc w:val="both"/>
        <w:rPr/>
      </w:pPr>
      <w:r>
        <w:rPr/>
        <w:t xml:space="preserve">где Ж(o) -  общая жесткость умягченной воды, г-экв/куб.м </w:t>
      </w:r>
    </w:p>
    <w:p>
      <w:pPr>
        <w:pStyle w:val="Normal"/>
        <w:ind w:firstLine="90"/>
        <w:jc w:val="both"/>
        <w:rPr/>
      </w:pPr>
      <w:r>
        <w:rPr/>
      </w:r>
    </w:p>
    <w:p>
      <w:pPr>
        <w:pStyle w:val="Normal"/>
        <w:ind w:firstLine="315"/>
        <w:jc w:val="both"/>
        <w:rPr/>
      </w:pPr>
      <w:r>
        <w:rPr/>
        <w:t xml:space="preserve">n(p)  - число регенераций каждого фильтра в сутки, принимаемое согласно п. 14; </w:t>
      </w:r>
    </w:p>
    <w:p>
      <w:pPr>
        <w:pStyle w:val="Normal"/>
        <w:ind w:firstLine="225"/>
        <w:jc w:val="both"/>
        <w:rPr/>
      </w:pPr>
      <w:r>
        <w:rPr/>
      </w:r>
    </w:p>
    <w:tbl>
      <w:tblPr>
        <w:tblW w:w="7905" w:type="dxa"/>
        <w:jc w:val="start"/>
        <w:tblInd w:w="165" w:type="dxa"/>
        <w:tblBorders/>
        <w:tblCellMar>
          <w:top w:w="0" w:type="dxa"/>
          <w:start w:w="15" w:type="dxa"/>
          <w:bottom w:w="0" w:type="dxa"/>
          <w:end w:w="15" w:type="dxa"/>
        </w:tblCellMar>
      </w:tblPr>
      <w:tblGrid>
        <w:gridCol w:w="495"/>
        <w:gridCol w:w="7410"/>
      </w:tblGrid>
      <w:tr>
        <w:trPr/>
        <w:tc>
          <w:tcPr>
            <w:tcW w:w="495" w:type="dxa"/>
            <w:tcBorders/>
            <w:shd w:fill="auto" w:val="clear"/>
          </w:tcPr>
          <w:p>
            <w:pPr>
              <w:pStyle w:val="Normal"/>
              <w:rPr/>
            </w:pPr>
            <w:r>
              <w:rPr>
                <w:vanish/>
              </w:rPr>
              <w:t>#G0</w:t>
            </w:r>
            <w:r>
              <w:rPr/>
              <w:t xml:space="preserve">  </w:t>
            </w:r>
          </w:p>
          <w:p>
            <w:pPr>
              <w:pStyle w:val="Normal"/>
              <w:rPr/>
            </w:pPr>
            <w:r>
              <w:rPr/>
              <w:drawing>
                <wp:inline distT="0" distB="0" distL="0" distR="0">
                  <wp:extent cx="334010" cy="264795"/>
                  <wp:effectExtent l="0" t="0" r="0" b="0"/>
                  <wp:docPr id="293" name="Изображение2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Изображение293" descr="" title=""/>
                          <pic:cNvPicPr>
                            <a:picLocks noChangeAspect="1" noChangeArrowheads="1"/>
                          </pic:cNvPicPr>
                        </pic:nvPicPr>
                        <pic:blipFill>
                          <a:blip r:embed="rId294"/>
                          <a:stretch>
                            <a:fillRect/>
                          </a:stretch>
                        </pic:blipFill>
                        <pic:spPr bwMode="auto">
                          <a:xfrm>
                            <a:off x="0" y="0"/>
                            <a:ext cx="334010" cy="264795"/>
                          </a:xfrm>
                          <a:prstGeom prst="rect">
                            <a:avLst/>
                          </a:prstGeom>
                        </pic:spPr>
                      </pic:pic>
                    </a:graphicData>
                  </a:graphic>
                </wp:inline>
              </w:drawing>
            </w:r>
          </w:p>
        </w:tc>
        <w:tc>
          <w:tcPr>
            <w:tcW w:w="7410" w:type="dxa"/>
            <w:tcBorders/>
            <w:shd w:fill="auto" w:val="clear"/>
          </w:tcPr>
          <w:p>
            <w:pPr>
              <w:pStyle w:val="Normal"/>
              <w:rPr/>
            </w:pPr>
            <w:r>
              <w:rPr/>
              <w:t xml:space="preserve">  </w:t>
            </w:r>
          </w:p>
          <w:p>
            <w:pPr>
              <w:pStyle w:val="Normal"/>
              <w:ind w:firstLine="90"/>
              <w:jc w:val="both"/>
              <w:rPr/>
            </w:pPr>
            <w:r>
              <w:rPr/>
              <w:t>- рабочая обменная емкость водород-катионита, г-экв/куб.м;</w:t>
            </w:r>
          </w:p>
          <w:p>
            <w:pPr>
              <w:pStyle w:val="Normal"/>
              <w:ind w:firstLine="90"/>
              <w:jc w:val="both"/>
              <w:rPr/>
            </w:pPr>
            <w:r>
              <w:rPr/>
            </w:r>
          </w:p>
        </w:tc>
      </w:tr>
    </w:tbl>
    <w:p>
      <w:pPr>
        <w:pStyle w:val="Normal"/>
        <w:ind w:firstLine="225"/>
        <w:jc w:val="both"/>
        <w:rPr/>
      </w:pPr>
      <w:r>
        <w:rPr/>
      </w:r>
    </w:p>
    <w:tbl>
      <w:tblPr>
        <w:tblW w:w="7650" w:type="dxa"/>
        <w:jc w:val="start"/>
        <w:tblInd w:w="165" w:type="dxa"/>
        <w:tblBorders/>
        <w:tblCellMar>
          <w:top w:w="0" w:type="dxa"/>
          <w:start w:w="15" w:type="dxa"/>
          <w:bottom w:w="0" w:type="dxa"/>
          <w:end w:w="15" w:type="dxa"/>
        </w:tblCellMar>
      </w:tblPr>
      <w:tblGrid>
        <w:gridCol w:w="465"/>
        <w:gridCol w:w="7185"/>
      </w:tblGrid>
      <w:tr>
        <w:trPr/>
        <w:tc>
          <w:tcPr>
            <w:tcW w:w="465" w:type="dxa"/>
            <w:tcBorders/>
            <w:shd w:fill="auto" w:val="clear"/>
          </w:tcPr>
          <w:p>
            <w:pPr>
              <w:pStyle w:val="Normal"/>
              <w:rPr/>
            </w:pPr>
            <w:r>
              <w:rPr>
                <w:vanish/>
              </w:rPr>
              <w:t>#G0</w:t>
            </w:r>
            <w:r>
              <w:rPr/>
              <w:t xml:space="preserve">  </w:t>
            </w:r>
          </w:p>
          <w:p>
            <w:pPr>
              <w:pStyle w:val="Normal"/>
              <w:rPr/>
            </w:pPr>
            <w:r>
              <w:rPr/>
              <w:drawing>
                <wp:inline distT="0" distB="0" distL="0" distR="0">
                  <wp:extent cx="334010" cy="264795"/>
                  <wp:effectExtent l="0" t="0" r="0" b="0"/>
                  <wp:docPr id="294" name="Изображение2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Изображение294" descr="" title=""/>
                          <pic:cNvPicPr>
                            <a:picLocks noChangeAspect="1" noChangeArrowheads="1"/>
                          </pic:cNvPicPr>
                        </pic:nvPicPr>
                        <pic:blipFill>
                          <a:blip r:embed="rId295"/>
                          <a:stretch>
                            <a:fillRect/>
                          </a:stretch>
                        </pic:blipFill>
                        <pic:spPr bwMode="auto">
                          <a:xfrm>
                            <a:off x="0" y="0"/>
                            <a:ext cx="334010" cy="264795"/>
                          </a:xfrm>
                          <a:prstGeom prst="rect">
                            <a:avLst/>
                          </a:prstGeom>
                        </pic:spPr>
                      </pic:pic>
                    </a:graphicData>
                  </a:graphic>
                </wp:inline>
              </w:drawing>
            </w:r>
          </w:p>
        </w:tc>
        <w:tc>
          <w:tcPr>
            <w:tcW w:w="7185" w:type="dxa"/>
            <w:tcBorders/>
            <w:shd w:fill="auto" w:val="clear"/>
          </w:tcPr>
          <w:p>
            <w:pPr>
              <w:pStyle w:val="Normal"/>
              <w:rPr/>
            </w:pPr>
            <w:r>
              <w:rPr/>
              <w:t xml:space="preserve">  </w:t>
            </w:r>
          </w:p>
          <w:p>
            <w:pPr>
              <w:pStyle w:val="Normal"/>
              <w:jc w:val="both"/>
              <w:rPr/>
            </w:pPr>
            <w:r>
              <w:rPr/>
              <w:t>-  рабочая обменная емкость натрий-катионита, г-экв/куб.м;</w:t>
            </w:r>
          </w:p>
          <w:p>
            <w:pPr>
              <w:pStyle w:val="Normal"/>
              <w:jc w:val="both"/>
              <w:rPr/>
            </w:pPr>
            <w:r>
              <w:rPr/>
            </w:r>
          </w:p>
        </w:tc>
      </w:tr>
    </w:tbl>
    <w:p>
      <w:pPr>
        <w:pStyle w:val="Normal"/>
        <w:ind w:firstLine="225"/>
        <w:jc w:val="both"/>
        <w:rPr/>
      </w:pPr>
      <w:r>
        <w:rPr/>
      </w:r>
    </w:p>
    <w:p>
      <w:pPr>
        <w:pStyle w:val="Normal"/>
        <w:ind w:firstLine="225"/>
        <w:jc w:val="both"/>
        <w:rPr/>
      </w:pPr>
      <w:r>
        <w:rPr/>
      </w:r>
    </w:p>
    <w:p>
      <w:pPr>
        <w:pStyle w:val="Normal"/>
        <w:ind w:firstLine="225"/>
        <w:jc w:val="both"/>
        <w:rPr/>
      </w:pPr>
      <w:r>
        <w:rPr/>
        <w:t xml:space="preserve">С(Na) - концентрация в воде натрия, г-экв/куб.м, определяемая согласно п. 15.     </w:t>
      </w:r>
    </w:p>
    <w:p>
      <w:pPr>
        <w:pStyle w:val="Normal"/>
        <w:ind w:firstLine="450"/>
        <w:jc w:val="both"/>
        <w:rPr/>
      </w:pPr>
      <w:r>
        <w:rPr/>
      </w:r>
    </w:p>
    <w:tbl>
      <w:tblPr>
        <w:tblW w:w="8520" w:type="dxa"/>
        <w:jc w:val="start"/>
        <w:tblInd w:w="165" w:type="dxa"/>
        <w:tblBorders/>
        <w:tblCellMar>
          <w:top w:w="0" w:type="dxa"/>
          <w:start w:w="15" w:type="dxa"/>
          <w:bottom w:w="0" w:type="dxa"/>
          <w:end w:w="15" w:type="dxa"/>
        </w:tblCellMar>
      </w:tblPr>
      <w:tblGrid>
        <w:gridCol w:w="3240"/>
        <w:gridCol w:w="480"/>
        <w:gridCol w:w="4800"/>
      </w:tblGrid>
      <w:tr>
        <w:trPr/>
        <w:tc>
          <w:tcPr>
            <w:tcW w:w="3240" w:type="dxa"/>
            <w:tcBorders/>
            <w:shd w:fill="auto" w:val="clear"/>
          </w:tcPr>
          <w:p>
            <w:pPr>
              <w:pStyle w:val="Normal"/>
              <w:rPr/>
            </w:pPr>
            <w:r>
              <w:rPr>
                <w:vanish/>
              </w:rPr>
              <w:t>#G0</w:t>
            </w:r>
            <w:r>
              <w:rPr/>
              <w:t xml:space="preserve">  </w:t>
            </w:r>
          </w:p>
          <w:p>
            <w:pPr>
              <w:pStyle w:val="Normal"/>
              <w:jc w:val="both"/>
              <w:rPr/>
            </w:pPr>
            <w:r>
              <w:rPr/>
              <w:t xml:space="preserve">27. Рабочую обменную емкость      </w:t>
            </w:r>
          </w:p>
          <w:p>
            <w:pPr>
              <w:pStyle w:val="Normal"/>
              <w:jc w:val="both"/>
              <w:rPr/>
            </w:pPr>
            <w:r>
              <w:rPr/>
            </w:r>
          </w:p>
        </w:tc>
        <w:tc>
          <w:tcPr>
            <w:tcW w:w="480" w:type="dxa"/>
            <w:tcBorders/>
            <w:shd w:fill="auto" w:val="clear"/>
          </w:tcPr>
          <w:p>
            <w:pPr>
              <w:pStyle w:val="Normal"/>
              <w:rPr/>
            </w:pPr>
            <w:r>
              <w:rPr/>
              <w:t xml:space="preserve">  </w:t>
            </w:r>
          </w:p>
          <w:p>
            <w:pPr>
              <w:pStyle w:val="Normal"/>
              <w:rPr/>
            </w:pPr>
            <w:r>
              <w:rPr/>
              <w:drawing>
                <wp:inline distT="0" distB="0" distL="0" distR="0">
                  <wp:extent cx="334010" cy="264795"/>
                  <wp:effectExtent l="0" t="0" r="0" b="0"/>
                  <wp:docPr id="295" name="Изображение2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Изображение295" descr="" title=""/>
                          <pic:cNvPicPr>
                            <a:picLocks noChangeAspect="1" noChangeArrowheads="1"/>
                          </pic:cNvPicPr>
                        </pic:nvPicPr>
                        <pic:blipFill>
                          <a:blip r:embed="rId296"/>
                          <a:stretch>
                            <a:fillRect/>
                          </a:stretch>
                        </pic:blipFill>
                        <pic:spPr bwMode="auto">
                          <a:xfrm>
                            <a:off x="0" y="0"/>
                            <a:ext cx="334010" cy="264795"/>
                          </a:xfrm>
                          <a:prstGeom prst="rect">
                            <a:avLst/>
                          </a:prstGeom>
                        </pic:spPr>
                      </pic:pic>
                    </a:graphicData>
                  </a:graphic>
                </wp:inline>
              </w:drawing>
            </w:r>
          </w:p>
        </w:tc>
        <w:tc>
          <w:tcPr>
            <w:tcW w:w="4800" w:type="dxa"/>
            <w:tcBorders/>
            <w:shd w:fill="auto" w:val="clear"/>
          </w:tcPr>
          <w:p>
            <w:pPr>
              <w:pStyle w:val="Normal"/>
              <w:rPr/>
            </w:pPr>
            <w:r>
              <w:rPr/>
              <w:t xml:space="preserve">  </w:t>
            </w:r>
          </w:p>
          <w:p>
            <w:pPr>
              <w:pStyle w:val="Normal"/>
              <w:jc w:val="both"/>
              <w:rPr/>
            </w:pPr>
            <w:r>
              <w:rPr/>
              <w:t xml:space="preserve">, г-экв/куб.м, водород-катионита следует определять  </w:t>
            </w:r>
          </w:p>
          <w:p>
            <w:pPr>
              <w:pStyle w:val="Normal"/>
              <w:jc w:val="both"/>
              <w:rPr/>
            </w:pPr>
            <w:r>
              <w:rPr/>
            </w:r>
          </w:p>
          <w:p>
            <w:pPr>
              <w:pStyle w:val="Normal"/>
              <w:jc w:val="both"/>
              <w:rPr/>
            </w:pPr>
            <w:r>
              <w:rPr/>
            </w:r>
          </w:p>
        </w:tc>
      </w:tr>
    </w:tbl>
    <w:p>
      <w:pPr>
        <w:pStyle w:val="Normal"/>
        <w:ind w:firstLine="450"/>
        <w:jc w:val="both"/>
        <w:rPr/>
      </w:pPr>
      <w:r>
        <w:rPr/>
        <w:t>по формуле</w:t>
      </w:r>
    </w:p>
    <w:p>
      <w:pPr>
        <w:pStyle w:val="Normal"/>
        <w:ind w:firstLine="450"/>
        <w:jc w:val="both"/>
        <w:rPr/>
      </w:pPr>
      <w:r>
        <w:rPr/>
      </w:r>
    </w:p>
    <w:p>
      <w:pPr>
        <w:pStyle w:val="Normal"/>
        <w:ind w:firstLine="1440"/>
        <w:jc w:val="both"/>
        <w:rPr/>
      </w:pPr>
      <w:r>
        <w:rPr/>
      </w:r>
    </w:p>
    <w:tbl>
      <w:tblPr>
        <w:tblW w:w="4200" w:type="dxa"/>
        <w:jc w:val="start"/>
        <w:tblInd w:w="165" w:type="dxa"/>
        <w:tblBorders/>
        <w:tblCellMar>
          <w:top w:w="0" w:type="dxa"/>
          <w:start w:w="15" w:type="dxa"/>
          <w:bottom w:w="0" w:type="dxa"/>
          <w:end w:w="15" w:type="dxa"/>
        </w:tblCellMar>
      </w:tblPr>
      <w:tblGrid>
        <w:gridCol w:w="2505"/>
        <w:gridCol w:w="1695"/>
      </w:tblGrid>
      <w:tr>
        <w:trPr/>
        <w:tc>
          <w:tcPr>
            <w:tcW w:w="2505" w:type="dxa"/>
            <w:tcBorders/>
            <w:shd w:fill="auto" w:val="clear"/>
          </w:tcPr>
          <w:p>
            <w:pPr>
              <w:pStyle w:val="Normal"/>
              <w:rPr/>
            </w:pPr>
            <w:r>
              <w:rPr>
                <w:vanish/>
              </w:rPr>
              <w:t>#G0</w:t>
            </w:r>
            <w:r>
              <w:rPr/>
              <w:t xml:space="preserve">  </w:t>
            </w:r>
          </w:p>
          <w:p>
            <w:pPr>
              <w:pStyle w:val="Normal"/>
              <w:rPr/>
            </w:pPr>
            <w:r>
              <w:rPr/>
              <w:drawing>
                <wp:inline distT="0" distB="0" distL="0" distR="0">
                  <wp:extent cx="1739265" cy="288290"/>
                  <wp:effectExtent l="0" t="0" r="0" b="0"/>
                  <wp:docPr id="296" name="Изображение2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Изображение296" descr="" title=""/>
                          <pic:cNvPicPr>
                            <a:picLocks noChangeAspect="1" noChangeArrowheads="1"/>
                          </pic:cNvPicPr>
                        </pic:nvPicPr>
                        <pic:blipFill>
                          <a:blip r:embed="rId297"/>
                          <a:stretch>
                            <a:fillRect/>
                          </a:stretch>
                        </pic:blipFill>
                        <pic:spPr bwMode="auto">
                          <a:xfrm>
                            <a:off x="0" y="0"/>
                            <a:ext cx="1739265" cy="288290"/>
                          </a:xfrm>
                          <a:prstGeom prst="rect">
                            <a:avLst/>
                          </a:prstGeom>
                        </pic:spPr>
                      </pic:pic>
                    </a:graphicData>
                  </a:graphic>
                </wp:inline>
              </w:drawing>
            </w:r>
          </w:p>
        </w:tc>
        <w:tc>
          <w:tcPr>
            <w:tcW w:w="1695" w:type="dxa"/>
            <w:tcBorders/>
            <w:shd w:fill="auto" w:val="clear"/>
          </w:tcPr>
          <w:p>
            <w:pPr>
              <w:pStyle w:val="Normal"/>
              <w:snapToGrid w:val="false"/>
              <w:rPr/>
            </w:pPr>
            <w:r>
              <w:rPr/>
            </w:r>
          </w:p>
          <w:p>
            <w:pPr>
              <w:pStyle w:val="Normal"/>
              <w:rPr/>
            </w:pPr>
            <w:r>
              <w:rPr/>
              <w:t xml:space="preserve">               </w:t>
            </w:r>
            <w:r>
              <w:rPr/>
              <w:t xml:space="preserve">(14) </w:t>
            </w:r>
          </w:p>
          <w:p>
            <w:pPr>
              <w:pStyle w:val="Normal"/>
              <w:rPr/>
            </w:pPr>
            <w:r>
              <w:rPr/>
            </w:r>
          </w:p>
        </w:tc>
      </w:tr>
    </w:tbl>
    <w:p>
      <w:pPr>
        <w:pStyle w:val="Normal"/>
        <w:ind w:firstLine="315"/>
        <w:jc w:val="both"/>
        <w:rPr/>
      </w:pPr>
      <w:r>
        <w:rPr/>
        <w:tab/>
        <w:t xml:space="preserve">      </w:t>
      </w:r>
    </w:p>
    <w:p>
      <w:pPr>
        <w:pStyle w:val="Normal"/>
        <w:ind w:firstLine="45"/>
        <w:jc w:val="both"/>
        <w:rPr/>
      </w:pPr>
      <w:r>
        <w:rPr/>
      </w:r>
    </w:p>
    <w:tbl>
      <w:tblPr>
        <w:tblW w:w="8805" w:type="dxa"/>
        <w:jc w:val="start"/>
        <w:tblInd w:w="15" w:type="dxa"/>
        <w:tblBorders/>
        <w:tblCellMar>
          <w:top w:w="0" w:type="dxa"/>
          <w:start w:w="15" w:type="dxa"/>
          <w:bottom w:w="0" w:type="dxa"/>
          <w:end w:w="15" w:type="dxa"/>
        </w:tblCellMar>
      </w:tblPr>
      <w:tblGrid>
        <w:gridCol w:w="315"/>
        <w:gridCol w:w="495"/>
        <w:gridCol w:w="7995"/>
      </w:tblGrid>
      <w:tr>
        <w:trPr/>
        <w:tc>
          <w:tcPr>
            <w:tcW w:w="315" w:type="dxa"/>
            <w:tcBorders/>
            <w:shd w:fill="auto" w:val="clear"/>
          </w:tcPr>
          <w:p>
            <w:pPr>
              <w:pStyle w:val="Normal"/>
              <w:rPr/>
            </w:pPr>
            <w:r>
              <w:rPr>
                <w:vanish/>
              </w:rPr>
              <w:t>#G0</w:t>
            </w:r>
            <w:r>
              <w:rPr/>
              <w:t xml:space="preserve"> где </w:t>
            </w:r>
          </w:p>
          <w:p>
            <w:pPr>
              <w:pStyle w:val="Normal"/>
              <w:rPr/>
            </w:pPr>
            <w:r>
              <w:rPr/>
            </w:r>
          </w:p>
        </w:tc>
        <w:tc>
          <w:tcPr>
            <w:tcW w:w="495" w:type="dxa"/>
            <w:tcBorders/>
            <w:shd w:fill="auto" w:val="clear"/>
          </w:tcPr>
          <w:p>
            <w:pPr>
              <w:pStyle w:val="Normal"/>
              <w:rPr/>
            </w:pPr>
            <w:r>
              <w:rPr/>
              <w:t xml:space="preserve">  </w:t>
            </w:r>
          </w:p>
          <w:p>
            <w:pPr>
              <w:pStyle w:val="Normal"/>
              <w:rPr/>
            </w:pPr>
            <w:r>
              <w:rPr/>
              <w:drawing>
                <wp:inline distT="0" distB="0" distL="0" distR="0">
                  <wp:extent cx="172720" cy="184150"/>
                  <wp:effectExtent l="0" t="0" r="0" b="0"/>
                  <wp:docPr id="297" name="Изображение2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Изображение297" descr="" title=""/>
                          <pic:cNvPicPr>
                            <a:picLocks noChangeAspect="1" noChangeArrowheads="1"/>
                          </pic:cNvPicPr>
                        </pic:nvPicPr>
                        <pic:blipFill>
                          <a:blip r:embed="rId298"/>
                          <a:stretch>
                            <a:fillRect/>
                          </a:stretch>
                        </pic:blipFill>
                        <pic:spPr bwMode="auto">
                          <a:xfrm>
                            <a:off x="0" y="0"/>
                            <a:ext cx="172720" cy="184150"/>
                          </a:xfrm>
                          <a:prstGeom prst="rect">
                            <a:avLst/>
                          </a:prstGeom>
                        </pic:spPr>
                      </pic:pic>
                    </a:graphicData>
                  </a:graphic>
                </wp:inline>
              </w:drawing>
            </w:r>
          </w:p>
        </w:tc>
        <w:tc>
          <w:tcPr>
            <w:tcW w:w="7995" w:type="dxa"/>
            <w:tcBorders/>
            <w:shd w:fill="auto" w:val="clear"/>
          </w:tcPr>
          <w:p>
            <w:pPr>
              <w:pStyle w:val="Normal"/>
              <w:snapToGrid w:val="false"/>
              <w:rPr/>
            </w:pPr>
            <w:r>
              <w:rPr/>
            </w:r>
          </w:p>
          <w:p>
            <w:pPr>
              <w:pStyle w:val="Normal"/>
              <w:rPr/>
            </w:pPr>
            <w:r>
              <w:rPr/>
              <w:t xml:space="preserve"> </w:t>
            </w:r>
            <w:r>
              <w:rPr/>
              <w:t xml:space="preserve">-  коэффициент эффективности регенерации водород-катионита, принимаемый по табл. 4;  </w:t>
            </w:r>
          </w:p>
          <w:p>
            <w:pPr>
              <w:pStyle w:val="Normal"/>
              <w:rPr/>
            </w:pPr>
            <w:r>
              <w:rPr/>
            </w:r>
          </w:p>
        </w:tc>
      </w:tr>
    </w:tbl>
    <w:p>
      <w:pPr>
        <w:pStyle w:val="Normal"/>
        <w:jc w:val="both"/>
        <w:rPr/>
      </w:pPr>
      <w:r>
        <w:rPr/>
      </w:r>
    </w:p>
    <w:p>
      <w:pPr>
        <w:pStyle w:val="Normal"/>
        <w:ind w:firstLine="360"/>
        <w:jc w:val="both"/>
        <w:rPr/>
      </w:pPr>
      <w:r>
        <w:rPr/>
        <w:t>С(к) - общее содержание в воде катионитов кальция, магния, натрия и калия, г-экв/куб.м;</w:t>
      </w:r>
    </w:p>
    <w:p>
      <w:pPr>
        <w:pStyle w:val="Normal"/>
        <w:ind w:firstLine="360"/>
        <w:jc w:val="both"/>
        <w:rPr/>
      </w:pPr>
      <w:r>
        <w:rPr/>
      </w:r>
    </w:p>
    <w:p>
      <w:pPr>
        <w:pStyle w:val="Normal"/>
        <w:ind w:firstLine="225"/>
        <w:jc w:val="both"/>
        <w:rPr/>
      </w:pPr>
      <w:r>
        <w:rPr/>
        <w:t>q(уд) - удельный расход воды на отмывку катионита после регенерации, принимаемый равным 4-5</w:t>
      </w:r>
    </w:p>
    <w:p>
      <w:pPr>
        <w:pStyle w:val="Normal"/>
        <w:ind w:firstLine="225"/>
        <w:jc w:val="both"/>
        <w:rPr/>
      </w:pPr>
      <w:r>
        <w:rPr/>
        <w:t>куб.м воды на 1 куб.м катионита;</w:t>
      </w:r>
    </w:p>
    <w:p>
      <w:pPr>
        <w:pStyle w:val="Normal"/>
        <w:ind w:firstLine="225"/>
        <w:jc w:val="both"/>
        <w:rPr/>
      </w:pPr>
      <w:r>
        <w:rPr/>
      </w:r>
    </w:p>
    <w:p>
      <w:pPr>
        <w:pStyle w:val="Normal"/>
        <w:ind w:firstLine="225"/>
        <w:jc w:val="both"/>
        <w:rPr/>
      </w:pPr>
      <w:r>
        <w:rPr/>
        <w:t>Е(полн) - паспортная полная обменная емкость катионита в нейтральной среде, г-экв/куб.м.</w:t>
      </w:r>
    </w:p>
    <w:p>
      <w:pPr>
        <w:pStyle w:val="Normal"/>
        <w:ind w:firstLine="225"/>
        <w:jc w:val="both"/>
        <w:rPr/>
      </w:pPr>
      <w:r>
        <w:rPr/>
      </w:r>
    </w:p>
    <w:p>
      <w:pPr>
        <w:pStyle w:val="Normal"/>
        <w:jc w:val="end"/>
        <w:rPr/>
      </w:pPr>
      <w:r>
        <w:rPr/>
        <w:t xml:space="preserve">Таблица 4 </w:t>
      </w:r>
    </w:p>
    <w:p>
      <w:pPr>
        <w:pStyle w:val="Normal"/>
        <w:ind w:firstLine="270"/>
        <w:jc w:val="both"/>
        <w:rPr/>
      </w:pPr>
      <w:r>
        <w:rPr/>
      </w:r>
    </w:p>
    <w:p>
      <w:pPr>
        <w:pStyle w:val="Normal"/>
        <w:ind w:firstLine="270"/>
        <w:jc w:val="both"/>
        <w:rPr/>
      </w:pPr>
      <w:r>
        <w:rPr/>
      </w:r>
    </w:p>
    <w:tbl>
      <w:tblPr>
        <w:tblW w:w="6350" w:type="dxa"/>
        <w:jc w:val="start"/>
        <w:tblInd w:w="105" w:type="dxa"/>
        <w:tblBorders>
          <w:top w:val="single" w:sz="2" w:space="0" w:color="000000"/>
          <w:start w:val="single" w:sz="2" w:space="0" w:color="000000"/>
          <w:bottom w:val="single" w:sz="2" w:space="0" w:color="000000"/>
          <w:insideH w:val="single" w:sz="2" w:space="0" w:color="000000"/>
        </w:tblBorders>
        <w:tblCellMar>
          <w:top w:w="0" w:type="dxa"/>
          <w:start w:w="102" w:type="dxa"/>
          <w:bottom w:w="0" w:type="dxa"/>
          <w:end w:w="105" w:type="dxa"/>
        </w:tblCellMar>
      </w:tblPr>
      <w:tblGrid>
        <w:gridCol w:w="2520"/>
        <w:gridCol w:w="975"/>
        <w:gridCol w:w="975"/>
        <w:gridCol w:w="975"/>
        <w:gridCol w:w="905"/>
      </w:tblGrid>
      <w:tr>
        <w:trPr/>
        <w:tc>
          <w:tcPr>
            <w:tcW w:w="252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both"/>
              <w:rPr/>
            </w:pPr>
            <w:r>
              <w:rPr>
                <w:vanish/>
              </w:rPr>
              <w:t>#G0</w:t>
            </w:r>
            <w:r>
              <w:rPr/>
              <w:t xml:space="preserve">Удельный расход серной кислоты на регенерацию катионита, г/г-экв, рабочей обменной емкости </w:t>
            </w:r>
          </w:p>
          <w:p>
            <w:pPr>
              <w:pStyle w:val="Normal"/>
              <w:jc w:val="both"/>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50 </w:t>
            </w:r>
          </w:p>
          <w:p>
            <w:pPr>
              <w:pStyle w:val="Normal"/>
              <w:jc w:val="center"/>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100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150 </w:t>
            </w:r>
          </w:p>
          <w:p>
            <w:pPr>
              <w:pStyle w:val="Normal"/>
              <w:rPr/>
            </w:pPr>
            <w:r>
              <w:rPr/>
            </w:r>
          </w:p>
        </w:tc>
        <w:tc>
          <w:tcPr>
            <w:tcW w:w="90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200 </w:t>
            </w:r>
          </w:p>
          <w:p>
            <w:pPr>
              <w:pStyle w:val="Normal"/>
              <w:rPr/>
            </w:pPr>
            <w:r>
              <w:rPr/>
            </w:r>
          </w:p>
        </w:tc>
      </w:tr>
      <w:tr>
        <w:trPr/>
        <w:tc>
          <w:tcPr>
            <w:tcW w:w="2520" w:type="dxa"/>
            <w:tcBorders>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Коэффициент эффективности регенерации водород-катионита, </w:t>
            </w:r>
          </w:p>
          <w:p>
            <w:pPr>
              <w:pStyle w:val="Normal"/>
              <w:ind w:firstLine="45"/>
              <w:jc w:val="both"/>
              <w:rPr/>
            </w:pPr>
            <w:r>
              <w:rPr/>
              <w:drawing>
                <wp:inline distT="0" distB="0" distL="0" distR="0">
                  <wp:extent cx="172720" cy="184150"/>
                  <wp:effectExtent l="0" t="0" r="0" b="0"/>
                  <wp:docPr id="298" name="Изображение2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Изображение298" descr="" title=""/>
                          <pic:cNvPicPr>
                            <a:picLocks noChangeAspect="1" noChangeArrowheads="1"/>
                          </pic:cNvPicPr>
                        </pic:nvPicPr>
                        <pic:blipFill>
                          <a:blip r:embed="rId299"/>
                          <a:stretch>
                            <a:fillRect/>
                          </a:stretch>
                        </pic:blipFill>
                        <pic:spPr bwMode="auto">
                          <a:xfrm>
                            <a:off x="0" y="0"/>
                            <a:ext cx="172720" cy="184150"/>
                          </a:xfrm>
                          <a:prstGeom prst="rect">
                            <a:avLst/>
                          </a:prstGeom>
                        </pic:spPr>
                      </pic:pic>
                    </a:graphicData>
                  </a:graphic>
                </wp:inline>
              </w:drawing>
            </w:r>
          </w:p>
          <w:p>
            <w:pPr>
              <w:pStyle w:val="Normal"/>
              <w:ind w:firstLine="45"/>
              <w:jc w:val="both"/>
              <w:rPr/>
            </w:pPr>
            <w:r>
              <w:rPr/>
            </w:r>
          </w:p>
        </w:tc>
        <w:tc>
          <w:tcPr>
            <w:tcW w:w="97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0,68 </w:t>
            </w:r>
          </w:p>
          <w:p>
            <w:pPr>
              <w:pStyle w:val="Normal"/>
              <w:jc w:val="center"/>
              <w:rPr/>
            </w:pPr>
            <w:r>
              <w:rPr/>
            </w:r>
          </w:p>
        </w:tc>
        <w:tc>
          <w:tcPr>
            <w:tcW w:w="97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0,85 </w:t>
            </w:r>
          </w:p>
          <w:p>
            <w:pPr>
              <w:pStyle w:val="Normal"/>
              <w:rPr/>
            </w:pPr>
            <w:r>
              <w:rPr/>
            </w:r>
          </w:p>
        </w:tc>
        <w:tc>
          <w:tcPr>
            <w:tcW w:w="97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0,91 </w:t>
            </w:r>
          </w:p>
          <w:p>
            <w:pPr>
              <w:pStyle w:val="Normal"/>
              <w:rPr/>
            </w:pPr>
            <w:r>
              <w:rPr/>
            </w:r>
          </w:p>
        </w:tc>
        <w:tc>
          <w:tcPr>
            <w:tcW w:w="90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0,92 </w:t>
            </w:r>
          </w:p>
          <w:p>
            <w:pPr>
              <w:pStyle w:val="Normal"/>
              <w:rPr/>
            </w:pPr>
            <w:r>
              <w:rPr/>
            </w:r>
          </w:p>
        </w:tc>
      </w:tr>
    </w:tbl>
    <w:p>
      <w:pPr>
        <w:pStyle w:val="Normal"/>
        <w:jc w:val="both"/>
        <w:rPr/>
      </w:pPr>
      <w:r>
        <w:rPr/>
      </w:r>
    </w:p>
    <w:p>
      <w:pPr>
        <w:pStyle w:val="Normal"/>
        <w:ind w:firstLine="270"/>
        <w:jc w:val="both"/>
        <w:rPr/>
      </w:pPr>
      <w:r>
        <w:rPr/>
        <w:t>При отсутствии паспортных данных Е(полн) следует принимать согласно п. 15.</w:t>
      </w:r>
    </w:p>
    <w:p>
      <w:pPr>
        <w:pStyle w:val="Normal"/>
        <w:ind w:firstLine="270"/>
        <w:jc w:val="both"/>
        <w:rPr/>
      </w:pPr>
      <w:r>
        <w:rPr/>
      </w:r>
    </w:p>
    <w:p>
      <w:pPr>
        <w:pStyle w:val="Normal"/>
        <w:ind w:firstLine="225"/>
        <w:jc w:val="both"/>
        <w:rPr/>
      </w:pPr>
      <w:r>
        <w:rPr/>
        <w:t>28. Площадь водород-катионитных и натрий-катионитных фильтров F(Н), кв.м, и F(Na) , кв.м, следует определять по формуле</w:t>
      </w:r>
    </w:p>
    <w:p>
      <w:pPr>
        <w:pStyle w:val="Normal"/>
        <w:ind w:firstLine="225"/>
        <w:jc w:val="both"/>
        <w:rPr/>
      </w:pPr>
      <w:r>
        <w:rPr/>
      </w:r>
    </w:p>
    <w:tbl>
      <w:tblPr>
        <w:tblW w:w="5205" w:type="dxa"/>
        <w:jc w:val="start"/>
        <w:tblInd w:w="165" w:type="dxa"/>
        <w:tblBorders/>
        <w:tblCellMar>
          <w:top w:w="0" w:type="dxa"/>
          <w:start w:w="15" w:type="dxa"/>
          <w:bottom w:w="0" w:type="dxa"/>
          <w:end w:w="15" w:type="dxa"/>
        </w:tblCellMar>
      </w:tblPr>
      <w:tblGrid>
        <w:gridCol w:w="2985"/>
        <w:gridCol w:w="2220"/>
      </w:tblGrid>
      <w:tr>
        <w:trPr/>
        <w:tc>
          <w:tcPr>
            <w:tcW w:w="2985" w:type="dxa"/>
            <w:tcBorders/>
            <w:shd w:fill="auto" w:val="clear"/>
          </w:tcPr>
          <w:p>
            <w:pPr>
              <w:pStyle w:val="Normal"/>
              <w:rPr/>
            </w:pPr>
            <w:r>
              <w:rPr>
                <w:vanish/>
              </w:rPr>
              <w:t>#G0</w:t>
            </w:r>
            <w:r>
              <w:rPr/>
              <w:t xml:space="preserve">  </w:t>
            </w:r>
          </w:p>
          <w:p>
            <w:pPr>
              <w:pStyle w:val="Normal"/>
              <w:rPr/>
            </w:pPr>
            <w:r>
              <w:rPr/>
              <w:drawing>
                <wp:inline distT="0" distB="0" distL="0" distR="0">
                  <wp:extent cx="1866265" cy="219075"/>
                  <wp:effectExtent l="0" t="0" r="0" b="0"/>
                  <wp:docPr id="299" name="Изображение2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Изображение299" descr="" title=""/>
                          <pic:cNvPicPr>
                            <a:picLocks noChangeAspect="1" noChangeArrowheads="1"/>
                          </pic:cNvPicPr>
                        </pic:nvPicPr>
                        <pic:blipFill>
                          <a:blip r:embed="rId300"/>
                          <a:stretch>
                            <a:fillRect/>
                          </a:stretch>
                        </pic:blipFill>
                        <pic:spPr bwMode="auto">
                          <a:xfrm>
                            <a:off x="0" y="0"/>
                            <a:ext cx="1866265" cy="219075"/>
                          </a:xfrm>
                          <a:prstGeom prst="rect">
                            <a:avLst/>
                          </a:prstGeom>
                        </pic:spPr>
                      </pic:pic>
                    </a:graphicData>
                  </a:graphic>
                </wp:inline>
              </w:drawing>
            </w:r>
          </w:p>
        </w:tc>
        <w:tc>
          <w:tcPr>
            <w:tcW w:w="2220" w:type="dxa"/>
            <w:tcBorders/>
            <w:shd w:fill="auto" w:val="clear"/>
          </w:tcPr>
          <w:p>
            <w:pPr>
              <w:pStyle w:val="Normal"/>
              <w:snapToGrid w:val="false"/>
              <w:rPr/>
            </w:pPr>
            <w:r>
              <w:rPr/>
            </w:r>
          </w:p>
          <w:p>
            <w:pPr>
              <w:pStyle w:val="Normal"/>
              <w:rPr/>
            </w:pPr>
            <w:r>
              <w:rPr/>
              <w:t xml:space="preserve">             </w:t>
            </w:r>
            <w:r>
              <w:rPr/>
              <w:t>(15)</w:t>
            </w:r>
          </w:p>
          <w:p>
            <w:pPr>
              <w:pStyle w:val="Normal"/>
              <w:rPr/>
            </w:pPr>
            <w:r>
              <w:rPr/>
            </w:r>
          </w:p>
        </w:tc>
      </w:tr>
    </w:tbl>
    <w:p>
      <w:pPr>
        <w:pStyle w:val="Normal"/>
        <w:jc w:val="both"/>
        <w:rPr/>
      </w:pPr>
      <w:r>
        <w:rPr/>
      </w:r>
    </w:p>
    <w:p>
      <w:pPr>
        <w:pStyle w:val="Normal"/>
        <w:ind w:firstLine="270"/>
        <w:jc w:val="both"/>
        <w:rPr/>
      </w:pPr>
      <w:r>
        <w:rPr/>
        <w:tab/>
        <w:tab/>
        <w:tab/>
        <w:t xml:space="preserve">      </w:t>
      </w:r>
    </w:p>
    <w:p>
      <w:pPr>
        <w:pStyle w:val="Normal"/>
        <w:ind w:firstLine="270"/>
        <w:jc w:val="both"/>
        <w:rPr/>
      </w:pPr>
      <w:r>
        <w:rPr/>
        <w:t>где Н(к) -  высота слоя катионита в фильтре, м, принимаемая согласно п. 16.</w:t>
      </w:r>
    </w:p>
    <w:p>
      <w:pPr>
        <w:pStyle w:val="Normal"/>
        <w:ind w:firstLine="270"/>
        <w:jc w:val="both"/>
        <w:rPr/>
      </w:pPr>
      <w:r>
        <w:rPr/>
      </w:r>
    </w:p>
    <w:p>
      <w:pPr>
        <w:pStyle w:val="Normal"/>
        <w:ind w:firstLine="225"/>
        <w:jc w:val="both"/>
        <w:rPr/>
      </w:pPr>
      <w:r>
        <w:rPr/>
        <w:t>Потерю напора в водород-катионитных фильтрах, интенсивность взрыхления и скорость фильтрования следует принимать согласно пп. 18-20.</w:t>
      </w:r>
    </w:p>
    <w:p>
      <w:pPr>
        <w:pStyle w:val="Normal"/>
        <w:ind w:firstLine="225"/>
        <w:jc w:val="both"/>
        <w:rPr/>
      </w:pPr>
      <w:r>
        <w:rPr/>
      </w:r>
    </w:p>
    <w:p>
      <w:pPr>
        <w:pStyle w:val="Normal"/>
        <w:ind w:firstLine="225"/>
        <w:jc w:val="both"/>
        <w:rPr/>
      </w:pPr>
      <w:r>
        <w:rPr/>
        <w:t>29. Количество рабочих водород-катионитных и натрий-катионитных фильтров при круглосуточной работе должно быть не менее двух.</w:t>
      </w:r>
    </w:p>
    <w:p>
      <w:pPr>
        <w:pStyle w:val="Normal"/>
        <w:ind w:firstLine="225"/>
        <w:jc w:val="both"/>
        <w:rPr/>
      </w:pPr>
      <w:r>
        <w:rPr/>
      </w:r>
    </w:p>
    <w:p>
      <w:pPr>
        <w:pStyle w:val="Normal"/>
        <w:ind w:firstLine="225"/>
        <w:jc w:val="both"/>
        <w:rPr/>
      </w:pPr>
      <w:r>
        <w:rPr/>
        <w:t>Количество резервных водород-катионитных фильтров надлежит принимать: один - при количестве рабочих фильтров до шести и два - при большем количестве. Резервные натрий-катионитные фильтры устанавливать не следует, но должна быть предусмотрена возможность использования резервных водород-катионитных фильтров в качестве натрий-катионитных согласно примеч. к п. 25.</w:t>
      </w:r>
    </w:p>
    <w:p>
      <w:pPr>
        <w:pStyle w:val="Normal"/>
        <w:ind w:firstLine="225"/>
        <w:jc w:val="both"/>
        <w:rPr/>
      </w:pPr>
      <w:r>
        <w:rPr/>
      </w:r>
    </w:p>
    <w:p>
      <w:pPr>
        <w:pStyle w:val="Normal"/>
        <w:ind w:firstLine="225"/>
        <w:jc w:val="both"/>
        <w:rPr/>
      </w:pPr>
      <w:r>
        <w:rPr/>
        <w:t>30. Регенерацию водород-катионитных фильтров надлежит принимать 1-1,5 %-ным раствором серной кислоты. Допускается разбавление серной кислоты до указанной концентрации водой непосредственно перед фильтрами в эжекторе.</w:t>
      </w:r>
    </w:p>
    <w:p>
      <w:pPr>
        <w:pStyle w:val="Normal"/>
        <w:ind w:firstLine="225"/>
        <w:jc w:val="both"/>
        <w:rPr/>
      </w:pPr>
      <w:r>
        <w:rPr/>
      </w:r>
    </w:p>
    <w:p>
      <w:pPr>
        <w:pStyle w:val="Normal"/>
        <w:ind w:firstLine="225"/>
        <w:jc w:val="both"/>
        <w:rPr/>
      </w:pPr>
      <w:r>
        <w:rPr/>
        <w:t>Скорость пропуска регенерационного раствора серной кислоты через слой катионита должна быть не менее 10 м/ч с последующей отмывкой катионита неумягченной водой, пропускаемой через слой катионита сверху вниз со скоростью 10 м/ч.</w:t>
      </w:r>
    </w:p>
    <w:p>
      <w:pPr>
        <w:pStyle w:val="Normal"/>
        <w:ind w:firstLine="225"/>
        <w:jc w:val="both"/>
        <w:rPr/>
      </w:pPr>
      <w:r>
        <w:rPr/>
      </w:r>
    </w:p>
    <w:p>
      <w:pPr>
        <w:pStyle w:val="Normal"/>
        <w:ind w:firstLine="225"/>
        <w:jc w:val="both"/>
        <w:rPr/>
      </w:pPr>
      <w:r>
        <w:rPr/>
        <w:t>Отмывка должна заканчиваться при кислотности фильтра, равной сумме концентраций сульфатов и хлоридов в воде, поступающей на отмывку.</w:t>
      </w:r>
    </w:p>
    <w:p>
      <w:pPr>
        <w:pStyle w:val="Normal"/>
        <w:ind w:firstLine="225"/>
        <w:jc w:val="both"/>
        <w:rPr/>
      </w:pPr>
      <w:r>
        <w:rPr/>
      </w:r>
    </w:p>
    <w:p>
      <w:pPr>
        <w:pStyle w:val="Normal"/>
        <w:ind w:firstLine="225"/>
        <w:jc w:val="both"/>
        <w:rPr/>
      </w:pPr>
      <w:r>
        <w:rPr/>
        <w:t>Первую половину объема отмывочной воды следует направлять на нейтрализацию, в накопители и т.п., вторую половину - в баки для взрыхления катионита.</w:t>
      </w:r>
    </w:p>
    <w:p>
      <w:pPr>
        <w:pStyle w:val="Normal"/>
        <w:ind w:firstLine="225"/>
        <w:jc w:val="both"/>
        <w:rPr/>
      </w:pPr>
      <w:r>
        <w:rPr/>
      </w:r>
    </w:p>
    <w:p>
      <w:pPr>
        <w:pStyle w:val="Normal"/>
        <w:ind w:firstLine="225"/>
        <w:jc w:val="both"/>
        <w:rPr/>
      </w:pPr>
      <w:r>
        <w:rPr/>
      </w:r>
    </w:p>
    <w:p>
      <w:pPr>
        <w:pStyle w:val="Normal"/>
        <w:ind w:firstLine="225"/>
        <w:jc w:val="both"/>
        <w:rPr/>
      </w:pPr>
      <w:r>
        <w:rPr/>
        <w:t>Примечание. Для регенерации водород-катионитных фильтров при обосновании допускается применение кислот соляной и азотной (для КУ-2).</w:t>
      </w:r>
    </w:p>
    <w:p>
      <w:pPr>
        <w:pStyle w:val="Normal"/>
        <w:ind w:firstLine="225"/>
        <w:jc w:val="both"/>
        <w:rPr/>
      </w:pPr>
      <w:r>
        <w:rPr/>
      </w:r>
    </w:p>
    <w:p>
      <w:pPr>
        <w:pStyle w:val="Normal"/>
        <w:ind w:firstLine="225"/>
        <w:jc w:val="both"/>
        <w:rPr/>
      </w:pPr>
      <w:r>
        <w:rPr/>
      </w:r>
    </w:p>
    <w:p>
      <w:pPr>
        <w:pStyle w:val="Normal"/>
        <w:ind w:firstLine="225"/>
        <w:jc w:val="both"/>
        <w:rPr/>
      </w:pPr>
      <w:r>
        <w:rPr/>
        <w:t>31. Расход 100 %-ной кислоты Р(н), кг, на одну регенерацию водород-катионитного фильтра надлежит определять по формуле</w:t>
      </w:r>
    </w:p>
    <w:p>
      <w:pPr>
        <w:pStyle w:val="Normal"/>
        <w:ind w:firstLine="225"/>
        <w:jc w:val="both"/>
        <w:rPr/>
      </w:pPr>
      <w:r>
        <w:rPr/>
      </w:r>
    </w:p>
    <w:p>
      <w:pPr>
        <w:pStyle w:val="Normal"/>
        <w:ind w:firstLine="225"/>
        <w:jc w:val="both"/>
        <w:rPr/>
      </w:pPr>
      <w:r>
        <w:rPr/>
      </w:r>
    </w:p>
    <w:tbl>
      <w:tblPr>
        <w:tblW w:w="3990" w:type="dxa"/>
        <w:jc w:val="start"/>
        <w:tblInd w:w="165" w:type="dxa"/>
        <w:tblBorders/>
        <w:tblCellMar>
          <w:top w:w="0" w:type="dxa"/>
          <w:start w:w="15" w:type="dxa"/>
          <w:bottom w:w="0" w:type="dxa"/>
          <w:end w:w="15" w:type="dxa"/>
        </w:tblCellMar>
      </w:tblPr>
      <w:tblGrid>
        <w:gridCol w:w="2595"/>
        <w:gridCol w:w="1395"/>
      </w:tblGrid>
      <w:tr>
        <w:trPr/>
        <w:tc>
          <w:tcPr>
            <w:tcW w:w="2595" w:type="dxa"/>
            <w:tcBorders/>
            <w:shd w:fill="auto" w:val="clear"/>
          </w:tcPr>
          <w:p>
            <w:pPr>
              <w:pStyle w:val="Normal"/>
              <w:rPr/>
            </w:pPr>
            <w:r>
              <w:rPr>
                <w:vanish/>
              </w:rPr>
              <w:t>#G0</w:t>
            </w:r>
            <w:r>
              <w:rPr/>
              <w:t xml:space="preserve">  </w:t>
            </w:r>
          </w:p>
          <w:p>
            <w:pPr>
              <w:pStyle w:val="Normal"/>
              <w:rPr/>
            </w:pPr>
            <w:r>
              <w:rPr/>
              <w:drawing>
                <wp:inline distT="0" distB="0" distL="0" distR="0">
                  <wp:extent cx="1670685" cy="264795"/>
                  <wp:effectExtent l="0" t="0" r="0" b="0"/>
                  <wp:docPr id="300" name="Изображение3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Изображение300" descr="" title=""/>
                          <pic:cNvPicPr>
                            <a:picLocks noChangeAspect="1" noChangeArrowheads="1"/>
                          </pic:cNvPicPr>
                        </pic:nvPicPr>
                        <pic:blipFill>
                          <a:blip r:embed="rId301"/>
                          <a:stretch>
                            <a:fillRect/>
                          </a:stretch>
                        </pic:blipFill>
                        <pic:spPr bwMode="auto">
                          <a:xfrm>
                            <a:off x="0" y="0"/>
                            <a:ext cx="1670685" cy="264795"/>
                          </a:xfrm>
                          <a:prstGeom prst="rect">
                            <a:avLst/>
                          </a:prstGeom>
                        </pic:spPr>
                      </pic:pic>
                    </a:graphicData>
                  </a:graphic>
                </wp:inline>
              </w:drawing>
            </w:r>
          </w:p>
        </w:tc>
        <w:tc>
          <w:tcPr>
            <w:tcW w:w="1395" w:type="dxa"/>
            <w:tcBorders/>
            <w:shd w:fill="auto" w:val="clear"/>
          </w:tcPr>
          <w:p>
            <w:pPr>
              <w:pStyle w:val="Normal"/>
              <w:snapToGrid w:val="false"/>
              <w:rPr/>
            </w:pPr>
            <w:r>
              <w:rPr/>
            </w:r>
          </w:p>
          <w:p>
            <w:pPr>
              <w:pStyle w:val="Normal"/>
              <w:rPr/>
            </w:pPr>
            <w:r>
              <w:rPr/>
              <w:t xml:space="preserve">             </w:t>
            </w:r>
            <w:r>
              <w:rPr/>
              <w:t>(16)</w:t>
            </w:r>
          </w:p>
          <w:p>
            <w:pPr>
              <w:pStyle w:val="Normal"/>
              <w:rPr/>
            </w:pPr>
            <w:r>
              <w:rPr/>
            </w:r>
          </w:p>
        </w:tc>
      </w:tr>
    </w:tbl>
    <w:p>
      <w:pPr>
        <w:pStyle w:val="Normal"/>
        <w:ind w:firstLine="720"/>
        <w:jc w:val="both"/>
        <w:rPr/>
      </w:pPr>
      <w:r>
        <w:rPr/>
        <w:tab/>
        <w:t xml:space="preserve">               </w:t>
      </w:r>
    </w:p>
    <w:p>
      <w:pPr>
        <w:pStyle w:val="Normal"/>
        <w:ind w:firstLine="45"/>
        <w:jc w:val="both"/>
        <w:rPr/>
      </w:pPr>
      <w:r>
        <w:rPr/>
        <w:tab/>
        <w:tab/>
      </w:r>
    </w:p>
    <w:p>
      <w:pPr>
        <w:pStyle w:val="Normal"/>
        <w:ind w:firstLine="270"/>
        <w:jc w:val="both"/>
        <w:rPr/>
      </w:pPr>
      <w:r>
        <w:rPr/>
      </w:r>
    </w:p>
    <w:p>
      <w:pPr>
        <w:pStyle w:val="Normal"/>
        <w:ind w:firstLine="270"/>
        <w:jc w:val="both"/>
        <w:rPr/>
      </w:pPr>
      <w:r>
        <w:rPr/>
        <w:t>где а(н) - удельный расход кислоты для регенерации катионита, г/г-экв, определяемый по рис. 2 в зависимости от требуемой жесткости фильтрата.</w:t>
      </w:r>
    </w:p>
    <w:p>
      <w:pPr>
        <w:pStyle w:val="Normal"/>
        <w:ind w:firstLine="405"/>
        <w:jc w:val="both"/>
        <w:rPr/>
      </w:pPr>
      <w:r>
        <w:rPr/>
      </w:r>
    </w:p>
    <w:p>
      <w:pPr>
        <w:pStyle w:val="Normal"/>
        <w:ind w:firstLine="45"/>
        <w:jc w:val="both"/>
        <w:rPr/>
      </w:pPr>
      <w:r>
        <w:rPr/>
      </w:r>
    </w:p>
    <w:p>
      <w:pPr>
        <w:pStyle w:val="Normal"/>
        <w:jc w:val="center"/>
        <w:rPr/>
      </w:pPr>
      <w:r>
        <w:rPr/>
        <w:drawing>
          <wp:inline distT="0" distB="0" distL="0" distR="0">
            <wp:extent cx="6629400" cy="4676775"/>
            <wp:effectExtent l="0" t="0" r="0" b="0"/>
            <wp:docPr id="301" name="Изображение3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Изображение301" descr="" title=""/>
                    <pic:cNvPicPr>
                      <a:picLocks noChangeAspect="1" noChangeArrowheads="1"/>
                    </pic:cNvPicPr>
                  </pic:nvPicPr>
                  <pic:blipFill>
                    <a:blip r:embed="rId302"/>
                    <a:stretch>
                      <a:fillRect/>
                    </a:stretch>
                  </pic:blipFill>
                  <pic:spPr bwMode="auto">
                    <a:xfrm>
                      <a:off x="0" y="0"/>
                      <a:ext cx="6629400" cy="4676775"/>
                    </a:xfrm>
                    <a:prstGeom prst="rect">
                      <a:avLst/>
                    </a:prstGeom>
                  </pic:spPr>
                </pic:pic>
              </a:graphicData>
            </a:graphic>
          </wp:inline>
        </w:drawing>
      </w:r>
    </w:p>
    <w:p>
      <w:pPr>
        <w:pStyle w:val="Normal"/>
        <w:jc w:val="center"/>
        <w:rPr/>
      </w:pPr>
      <w:r>
        <w:rPr/>
        <w:t xml:space="preserve">Рис. 2. График для определения общей жесткости воды, </w:t>
      </w:r>
    </w:p>
    <w:p>
      <w:pPr>
        <w:pStyle w:val="Normal"/>
        <w:jc w:val="center"/>
        <w:rPr/>
      </w:pPr>
      <w:r>
        <w:rPr/>
        <w:t xml:space="preserve">умягченной водород-катионированием </w:t>
      </w:r>
    </w:p>
    <w:p>
      <w:pPr>
        <w:pStyle w:val="Normal"/>
        <w:ind w:firstLine="270"/>
        <w:jc w:val="both"/>
        <w:rPr/>
      </w:pPr>
      <w:r>
        <w:rPr/>
      </w:r>
    </w:p>
    <w:p>
      <w:pPr>
        <w:pStyle w:val="Normal"/>
        <w:ind w:firstLine="270"/>
        <w:jc w:val="both"/>
        <w:rPr/>
      </w:pPr>
      <w:r>
        <w:rPr/>
      </w:r>
    </w:p>
    <w:p>
      <w:pPr>
        <w:pStyle w:val="Normal"/>
        <w:ind w:firstLine="225"/>
        <w:jc w:val="both"/>
        <w:rPr/>
      </w:pPr>
      <w:r>
        <w:rPr/>
        <w:t>32. Объемы мерника крепкой кислоты и бака для разбавленного раствора кислоты (если разбавление ее производится не перед фильтрами) надлежит определять из условия регенерации одного фильтра при количестве рабочих водород-катионитных фильтров до четырех и для регенерации двух фильтров при большем количестве.</w:t>
      </w:r>
    </w:p>
    <w:p>
      <w:pPr>
        <w:pStyle w:val="Normal"/>
        <w:ind w:firstLine="225"/>
        <w:jc w:val="both"/>
        <w:rPr/>
      </w:pPr>
      <w:r>
        <w:rPr/>
      </w:r>
    </w:p>
    <w:p>
      <w:pPr>
        <w:pStyle w:val="Normal"/>
        <w:ind w:firstLine="225"/>
        <w:jc w:val="both"/>
        <w:rPr/>
      </w:pPr>
      <w:r>
        <w:rPr/>
        <w:t>33. Аппараты и трубопроводы для дозирования и транспортирования кислот следует проектировать с соблюдением правил техники безопасности при работе с кислотами.</w:t>
      </w:r>
    </w:p>
    <w:p>
      <w:pPr>
        <w:pStyle w:val="Normal"/>
        <w:ind w:firstLine="225"/>
        <w:jc w:val="both"/>
        <w:rPr/>
      </w:pPr>
      <w:r>
        <w:rPr/>
      </w:r>
    </w:p>
    <w:p>
      <w:pPr>
        <w:pStyle w:val="Normal"/>
        <w:ind w:firstLine="225"/>
        <w:jc w:val="both"/>
        <w:rPr/>
      </w:pPr>
      <w:r>
        <w:rPr/>
        <w:t>34. Удаление двуокиси углерода из водород-катионированной воды или из смеси водород- и натрий-катионированной воды надлежит предусматривать в дегазаторах с насадками кислотоупорными керамическими размером 25х25х4 мм или с деревянной хордовой насадкой из брусков.</w:t>
      </w:r>
    </w:p>
    <w:p>
      <w:pPr>
        <w:pStyle w:val="Normal"/>
        <w:ind w:firstLine="225"/>
        <w:jc w:val="both"/>
        <w:rPr/>
      </w:pPr>
      <w:r>
        <w:rPr/>
      </w:r>
    </w:p>
    <w:p>
      <w:pPr>
        <w:pStyle w:val="Normal"/>
        <w:ind w:firstLine="225"/>
        <w:jc w:val="both"/>
        <w:rPr/>
      </w:pPr>
      <w:r>
        <w:rPr/>
        <w:t>Площадь поперечного сечения дегазатора следует определять исходя из плотности орошения при керамической насадке 60 куб.м/ч на 1 кв.м площади дегазатора, при деревянной хордовой насадке - 40 куб.м/ч.</w:t>
      </w:r>
    </w:p>
    <w:p>
      <w:pPr>
        <w:pStyle w:val="Normal"/>
        <w:ind w:firstLine="225"/>
        <w:jc w:val="both"/>
        <w:rPr/>
      </w:pPr>
      <w:r>
        <w:rPr/>
      </w:r>
    </w:p>
    <w:p>
      <w:pPr>
        <w:pStyle w:val="Normal"/>
        <w:ind w:firstLine="225"/>
        <w:jc w:val="both"/>
        <w:rPr/>
      </w:pPr>
      <w:r>
        <w:rPr/>
        <w:t>Вентилятор дегазатора должен обеспечивать подачу 15 куб.м воздуха на 1 куб.м воды. Определение напора, развиваемого вентилятором, следует производить с учетом сопротивления керамической насадки, принимаемого равным 30 мм вод. ст. на 1 м высоты слоя насадки, сопротивления деревянной хордовой насадки - 10 мм вод. ст. Прочие сопротивления следует принимать равными 30-40 мм вод. ст.</w:t>
      </w:r>
    </w:p>
    <w:p>
      <w:pPr>
        <w:pStyle w:val="Normal"/>
        <w:ind w:firstLine="225"/>
        <w:jc w:val="both"/>
        <w:rPr/>
      </w:pPr>
      <w:r>
        <w:rPr/>
      </w:r>
    </w:p>
    <w:p>
      <w:pPr>
        <w:pStyle w:val="Normal"/>
        <w:ind w:firstLine="225"/>
        <w:jc w:val="both"/>
        <w:rPr/>
      </w:pPr>
      <w:r>
        <w:rPr/>
        <w:t xml:space="preserve">Высоту слоя насадки, необходимую для снижения содержания двуокиси углерода в катионированной воде, следует определять по табл. 5 в зависимости от содержания свободной </w:t>
      </w:r>
    </w:p>
    <w:tbl>
      <w:tblPr>
        <w:tblW w:w="8415" w:type="dxa"/>
        <w:jc w:val="start"/>
        <w:tblInd w:w="15" w:type="dxa"/>
        <w:tblBorders/>
        <w:tblCellMar>
          <w:top w:w="0" w:type="dxa"/>
          <w:start w:w="15" w:type="dxa"/>
          <w:bottom w:w="0" w:type="dxa"/>
          <w:end w:w="15" w:type="dxa"/>
        </w:tblCellMar>
      </w:tblPr>
      <w:tblGrid>
        <w:gridCol w:w="1725"/>
        <w:gridCol w:w="1620"/>
        <w:gridCol w:w="5070"/>
      </w:tblGrid>
      <w:tr>
        <w:trPr/>
        <w:tc>
          <w:tcPr>
            <w:tcW w:w="1725" w:type="dxa"/>
            <w:tcBorders/>
            <w:shd w:fill="auto" w:val="clear"/>
          </w:tcPr>
          <w:p>
            <w:pPr>
              <w:pStyle w:val="Normal"/>
              <w:rPr>
                <w:vanish/>
              </w:rPr>
            </w:pPr>
            <w:r>
              <w:rPr>
                <w:vanish/>
              </w:rPr>
              <w:t>#G0</w:t>
            </w:r>
          </w:p>
          <w:p>
            <w:pPr>
              <w:pStyle w:val="Normal"/>
              <w:rPr/>
            </w:pPr>
            <w:r>
              <w:rPr/>
              <w:t xml:space="preserve">двуокиси углерода </w:t>
            </w:r>
          </w:p>
          <w:p>
            <w:pPr>
              <w:pStyle w:val="Normal"/>
              <w:rPr/>
            </w:pPr>
            <w:r>
              <w:rPr/>
            </w:r>
          </w:p>
        </w:tc>
        <w:tc>
          <w:tcPr>
            <w:tcW w:w="1620" w:type="dxa"/>
            <w:tcBorders/>
            <w:shd w:fill="auto" w:val="clear"/>
          </w:tcPr>
          <w:p>
            <w:pPr>
              <w:pStyle w:val="Normal"/>
              <w:rPr/>
            </w:pPr>
            <w:r>
              <w:rPr/>
              <w:t xml:space="preserve">  </w:t>
            </w:r>
          </w:p>
          <w:p>
            <w:pPr>
              <w:pStyle w:val="Normal"/>
              <w:rPr/>
            </w:pPr>
            <w:r>
              <w:rPr/>
              <w:drawing>
                <wp:inline distT="0" distB="0" distL="0" distR="0">
                  <wp:extent cx="518160" cy="184150"/>
                  <wp:effectExtent l="0" t="0" r="0" b="0"/>
                  <wp:docPr id="302" name="Изображение3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Изображение302" descr="" title=""/>
                          <pic:cNvPicPr>
                            <a:picLocks noChangeAspect="1" noChangeArrowheads="1"/>
                          </pic:cNvPicPr>
                        </pic:nvPicPr>
                        <pic:blipFill>
                          <a:blip r:embed="rId303"/>
                          <a:stretch>
                            <a:fillRect/>
                          </a:stretch>
                        </pic:blipFill>
                        <pic:spPr bwMode="auto">
                          <a:xfrm>
                            <a:off x="0" y="0"/>
                            <a:ext cx="518160" cy="184150"/>
                          </a:xfrm>
                          <a:prstGeom prst="rect">
                            <a:avLst/>
                          </a:prstGeom>
                        </pic:spPr>
                      </pic:pic>
                    </a:graphicData>
                  </a:graphic>
                </wp:inline>
              </w:drawing>
            </w:r>
          </w:p>
        </w:tc>
        <w:tc>
          <w:tcPr>
            <w:tcW w:w="5070" w:type="dxa"/>
            <w:tcBorders/>
            <w:shd w:fill="auto" w:val="clear"/>
          </w:tcPr>
          <w:p>
            <w:pPr>
              <w:pStyle w:val="Normal"/>
              <w:rPr/>
            </w:pPr>
            <w:r>
              <w:rPr/>
              <w:t xml:space="preserve"> </w:t>
            </w:r>
          </w:p>
          <w:p>
            <w:pPr>
              <w:pStyle w:val="Normal"/>
              <w:rPr/>
            </w:pPr>
            <w:r>
              <w:rPr/>
              <w:t xml:space="preserve">г/куб.м, в подаваемой на дегазатор воде, определяемой </w:t>
            </w:r>
          </w:p>
          <w:p>
            <w:pPr>
              <w:pStyle w:val="Normal"/>
              <w:rPr/>
            </w:pPr>
            <w:r>
              <w:rPr/>
            </w:r>
          </w:p>
        </w:tc>
      </w:tr>
    </w:tbl>
    <w:p>
      <w:pPr>
        <w:pStyle w:val="Normal"/>
        <w:jc w:val="both"/>
        <w:rPr/>
      </w:pPr>
      <w:r>
        <w:rPr/>
        <w:t>по формуле</w:t>
      </w:r>
    </w:p>
    <w:p>
      <w:pPr>
        <w:pStyle w:val="Normal"/>
        <w:jc w:val="both"/>
        <w:rPr/>
      </w:pPr>
      <w:r>
        <w:rPr/>
      </w:r>
    </w:p>
    <w:p>
      <w:pPr>
        <w:pStyle w:val="Normal"/>
        <w:ind w:firstLine="1395"/>
        <w:jc w:val="both"/>
        <w:rPr/>
      </w:pPr>
      <w:r>
        <w:rPr/>
      </w:r>
    </w:p>
    <w:tbl>
      <w:tblPr>
        <w:tblW w:w="4935" w:type="dxa"/>
        <w:jc w:val="start"/>
        <w:tblInd w:w="165" w:type="dxa"/>
        <w:tblBorders/>
        <w:tblCellMar>
          <w:top w:w="0" w:type="dxa"/>
          <w:start w:w="15" w:type="dxa"/>
          <w:bottom w:w="0" w:type="dxa"/>
          <w:end w:w="15" w:type="dxa"/>
        </w:tblCellMar>
      </w:tblPr>
      <w:tblGrid>
        <w:gridCol w:w="2580"/>
        <w:gridCol w:w="2355"/>
      </w:tblGrid>
      <w:tr>
        <w:trPr/>
        <w:tc>
          <w:tcPr>
            <w:tcW w:w="2580" w:type="dxa"/>
            <w:tcBorders/>
            <w:shd w:fill="auto" w:val="clear"/>
          </w:tcPr>
          <w:p>
            <w:pPr>
              <w:pStyle w:val="Normal"/>
              <w:rPr/>
            </w:pPr>
            <w:r>
              <w:rPr>
                <w:vanish/>
              </w:rPr>
              <w:t>#G0</w:t>
            </w:r>
            <w:r>
              <w:rPr/>
              <w:t xml:space="preserve">  </w:t>
            </w:r>
          </w:p>
          <w:p>
            <w:pPr>
              <w:pStyle w:val="Normal"/>
              <w:rPr/>
            </w:pPr>
            <w:r>
              <w:rPr/>
              <w:drawing>
                <wp:inline distT="0" distB="0" distL="0" distR="0">
                  <wp:extent cx="1808480" cy="288290"/>
                  <wp:effectExtent l="0" t="0" r="0" b="0"/>
                  <wp:docPr id="303" name="Изображение3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Изображение303" descr="" title=""/>
                          <pic:cNvPicPr>
                            <a:picLocks noChangeAspect="1" noChangeArrowheads="1"/>
                          </pic:cNvPicPr>
                        </pic:nvPicPr>
                        <pic:blipFill>
                          <a:blip r:embed="rId304"/>
                          <a:stretch>
                            <a:fillRect/>
                          </a:stretch>
                        </pic:blipFill>
                        <pic:spPr bwMode="auto">
                          <a:xfrm>
                            <a:off x="0" y="0"/>
                            <a:ext cx="1808480" cy="288290"/>
                          </a:xfrm>
                          <a:prstGeom prst="rect">
                            <a:avLst/>
                          </a:prstGeom>
                        </pic:spPr>
                      </pic:pic>
                    </a:graphicData>
                  </a:graphic>
                </wp:inline>
              </w:drawing>
            </w:r>
          </w:p>
        </w:tc>
        <w:tc>
          <w:tcPr>
            <w:tcW w:w="2355" w:type="dxa"/>
            <w:tcBorders/>
            <w:shd w:fill="auto" w:val="clear"/>
          </w:tcPr>
          <w:p>
            <w:pPr>
              <w:pStyle w:val="Normal"/>
              <w:snapToGrid w:val="false"/>
              <w:rPr/>
            </w:pPr>
            <w:r>
              <w:rPr/>
            </w:r>
          </w:p>
          <w:p>
            <w:pPr>
              <w:pStyle w:val="Normal"/>
              <w:rPr/>
            </w:pPr>
            <w:r>
              <w:rPr/>
              <w:t xml:space="preserve">              </w:t>
            </w:r>
            <w:r>
              <w:rPr/>
              <w:t>(17)</w:t>
            </w:r>
          </w:p>
          <w:p>
            <w:pPr>
              <w:pStyle w:val="Normal"/>
              <w:rPr/>
            </w:pPr>
            <w:r>
              <w:rPr/>
            </w:r>
          </w:p>
        </w:tc>
      </w:tr>
    </w:tbl>
    <w:p>
      <w:pPr>
        <w:pStyle w:val="Normal"/>
        <w:ind w:firstLine="315"/>
        <w:jc w:val="both"/>
        <w:rPr/>
      </w:pPr>
      <w:r>
        <w:rPr/>
        <w:tab/>
        <w:tab/>
      </w:r>
    </w:p>
    <w:p>
      <w:pPr>
        <w:pStyle w:val="Normal"/>
        <w:ind w:firstLine="270"/>
        <w:jc w:val="both"/>
        <w:rPr/>
      </w:pPr>
      <w:r>
        <w:rPr/>
      </w:r>
    </w:p>
    <w:p>
      <w:pPr>
        <w:pStyle w:val="Normal"/>
        <w:ind w:firstLine="270"/>
        <w:jc w:val="both"/>
        <w:rPr/>
      </w:pPr>
      <w:r>
        <w:rPr/>
      </w:r>
    </w:p>
    <w:tbl>
      <w:tblPr>
        <w:tblW w:w="7950" w:type="dxa"/>
        <w:jc w:val="start"/>
        <w:tblInd w:w="165" w:type="dxa"/>
        <w:tblBorders/>
        <w:tblCellMar>
          <w:top w:w="0" w:type="dxa"/>
          <w:start w:w="15" w:type="dxa"/>
          <w:bottom w:w="0" w:type="dxa"/>
          <w:end w:w="15" w:type="dxa"/>
        </w:tblCellMar>
      </w:tblPr>
      <w:tblGrid>
        <w:gridCol w:w="450"/>
        <w:gridCol w:w="1095"/>
        <w:gridCol w:w="6405"/>
      </w:tblGrid>
      <w:tr>
        <w:trPr/>
        <w:tc>
          <w:tcPr>
            <w:tcW w:w="450" w:type="dxa"/>
            <w:tcBorders/>
            <w:shd w:fill="auto" w:val="clear"/>
          </w:tcPr>
          <w:p>
            <w:pPr>
              <w:pStyle w:val="Normal"/>
              <w:rPr/>
            </w:pPr>
            <w:r>
              <w:rPr>
                <w:vanish/>
              </w:rPr>
              <w:t>#G0</w:t>
            </w:r>
            <w:r>
              <w:rPr/>
              <w:t xml:space="preserve">       где </w:t>
            </w:r>
          </w:p>
          <w:p>
            <w:pPr>
              <w:pStyle w:val="Normal"/>
              <w:rPr/>
            </w:pPr>
            <w:r>
              <w:rPr/>
            </w:r>
          </w:p>
        </w:tc>
        <w:tc>
          <w:tcPr>
            <w:tcW w:w="1095" w:type="dxa"/>
            <w:tcBorders/>
            <w:shd w:fill="auto" w:val="clear"/>
          </w:tcPr>
          <w:p>
            <w:pPr>
              <w:pStyle w:val="Normal"/>
              <w:rPr/>
            </w:pPr>
            <w:r>
              <w:rPr/>
              <w:t xml:space="preserve">  </w:t>
            </w:r>
          </w:p>
          <w:p>
            <w:pPr>
              <w:pStyle w:val="Normal"/>
              <w:rPr/>
            </w:pPr>
            <w:r>
              <w:rPr/>
              <w:drawing>
                <wp:inline distT="0" distB="0" distL="0" distR="0">
                  <wp:extent cx="472440" cy="184150"/>
                  <wp:effectExtent l="0" t="0" r="0" b="0"/>
                  <wp:docPr id="304" name="Изображение3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Изображение304" descr="" title=""/>
                          <pic:cNvPicPr>
                            <a:picLocks noChangeAspect="1" noChangeArrowheads="1"/>
                          </pic:cNvPicPr>
                        </pic:nvPicPr>
                        <pic:blipFill>
                          <a:blip r:embed="rId305"/>
                          <a:stretch>
                            <a:fillRect/>
                          </a:stretch>
                        </pic:blipFill>
                        <pic:spPr bwMode="auto">
                          <a:xfrm>
                            <a:off x="0" y="0"/>
                            <a:ext cx="472440" cy="184150"/>
                          </a:xfrm>
                          <a:prstGeom prst="rect">
                            <a:avLst/>
                          </a:prstGeom>
                        </pic:spPr>
                      </pic:pic>
                    </a:graphicData>
                  </a:graphic>
                </wp:inline>
              </w:drawing>
            </w:r>
          </w:p>
        </w:tc>
        <w:tc>
          <w:tcPr>
            <w:tcW w:w="6405" w:type="dxa"/>
            <w:tcBorders/>
            <w:shd w:fill="auto" w:val="clear"/>
          </w:tcPr>
          <w:p>
            <w:pPr>
              <w:pStyle w:val="Normal"/>
              <w:rPr/>
            </w:pPr>
            <w:r>
              <w:rPr/>
              <w:t xml:space="preserve">  </w:t>
            </w:r>
          </w:p>
          <w:p>
            <w:pPr>
              <w:pStyle w:val="Normal"/>
              <w:jc w:val="both"/>
              <w:rPr/>
            </w:pPr>
            <w:r>
              <w:rPr/>
              <w:t xml:space="preserve">- содержание свободной двуокиси углерода в исходной воде, г/куб.м; </w:t>
            </w:r>
          </w:p>
          <w:p>
            <w:pPr>
              <w:pStyle w:val="Normal"/>
              <w:jc w:val="both"/>
              <w:rPr/>
            </w:pPr>
            <w:r>
              <w:rPr/>
            </w:r>
          </w:p>
        </w:tc>
      </w:tr>
    </w:tbl>
    <w:p>
      <w:pPr>
        <w:pStyle w:val="Normal"/>
        <w:ind w:firstLine="90"/>
        <w:jc w:val="both"/>
        <w:rPr/>
      </w:pPr>
      <w:r>
        <w:rPr/>
      </w:r>
    </w:p>
    <w:p>
      <w:pPr>
        <w:pStyle w:val="Normal"/>
        <w:ind w:firstLine="405"/>
        <w:jc w:val="both"/>
        <w:rPr/>
      </w:pPr>
      <w:r>
        <w:rPr/>
        <w:t>Щ(о)  - щелочность исходной воды, г-экв/куб.м.</w:t>
      </w:r>
    </w:p>
    <w:p>
      <w:pPr>
        <w:pStyle w:val="Normal"/>
        <w:ind w:firstLine="405"/>
        <w:jc w:val="both"/>
        <w:rPr/>
      </w:pPr>
      <w:r>
        <w:rPr/>
      </w:r>
    </w:p>
    <w:p>
      <w:pPr>
        <w:pStyle w:val="Normal"/>
        <w:jc w:val="end"/>
        <w:rPr/>
      </w:pPr>
      <w:r>
        <w:rPr/>
        <w:t xml:space="preserve">Таблица 5 </w:t>
      </w:r>
    </w:p>
    <w:p>
      <w:pPr>
        <w:pStyle w:val="Normal"/>
        <w:ind w:firstLine="270"/>
        <w:jc w:val="both"/>
        <w:rPr/>
      </w:pPr>
      <w:r>
        <w:rPr/>
      </w:r>
    </w:p>
    <w:p>
      <w:pPr>
        <w:pStyle w:val="Normal"/>
        <w:ind w:firstLine="270"/>
        <w:jc w:val="both"/>
        <w:rPr/>
      </w:pPr>
      <w:r>
        <w:rPr/>
      </w:r>
    </w:p>
    <w:tbl>
      <w:tblPr>
        <w:tblW w:w="6425"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2235"/>
        <w:gridCol w:w="2085"/>
        <w:gridCol w:w="2090"/>
        <w:gridCol w:w="15"/>
      </w:tblGrid>
      <w:tr>
        <w:trPr/>
        <w:tc>
          <w:tcPr>
            <w:tcW w:w="2235" w:type="dxa"/>
            <w:tcBorders>
              <w:top w:val="single" w:sz="2" w:space="0" w:color="000000"/>
              <w:start w:val="single" w:sz="2" w:space="0" w:color="000000"/>
            </w:tcBorders>
            <w:shd w:fill="auto" w:val="clear"/>
            <w:tcMar>
              <w:start w:w="42" w:type="dxa"/>
            </w:tcMar>
          </w:tcPr>
          <w:p>
            <w:pPr>
              <w:pStyle w:val="Normal"/>
              <w:jc w:val="center"/>
              <w:rPr/>
            </w:pPr>
            <w:r>
              <w:rPr>
                <w:vanish/>
              </w:rPr>
              <w:t>#G0</w:t>
            </w:r>
            <w:r>
              <w:rPr/>
              <w:t xml:space="preserve">Содержание </w:t>
            </w:r>
          </w:p>
          <w:p>
            <w:pPr>
              <w:pStyle w:val="Normal"/>
              <w:jc w:val="center"/>
              <w:rPr/>
            </w:pPr>
            <w:r>
              <w:rPr/>
              <w:drawing>
                <wp:inline distT="0" distB="0" distL="0" distR="0">
                  <wp:extent cx="391795" cy="184150"/>
                  <wp:effectExtent l="0" t="0" r="0" b="0"/>
                  <wp:docPr id="305" name="Изображение3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Изображение305" descr="" title=""/>
                          <pic:cNvPicPr>
                            <a:picLocks noChangeAspect="1" noChangeArrowheads="1"/>
                          </pic:cNvPicPr>
                        </pic:nvPicPr>
                        <pic:blipFill>
                          <a:blip r:embed="rId306"/>
                          <a:stretch>
                            <a:fillRect/>
                          </a:stretch>
                        </pic:blipFill>
                        <pic:spPr bwMode="auto">
                          <a:xfrm>
                            <a:off x="0" y="0"/>
                            <a:ext cx="391795" cy="184150"/>
                          </a:xfrm>
                          <a:prstGeom prst="rect">
                            <a:avLst/>
                          </a:prstGeom>
                        </pic:spPr>
                      </pic:pic>
                    </a:graphicData>
                  </a:graphic>
                </wp:inline>
              </w:drawing>
            </w:r>
            <w:r>
              <w:rPr/>
              <w:t xml:space="preserve"> </w:t>
            </w:r>
            <w:r>
              <w:rPr/>
              <w:t xml:space="preserve">в воде, подаваемой на </w:t>
            </w:r>
          </w:p>
          <w:p>
            <w:pPr>
              <w:pStyle w:val="Normal"/>
              <w:jc w:val="center"/>
              <w:rPr/>
            </w:pPr>
            <w:r>
              <w:rPr/>
            </w:r>
          </w:p>
        </w:tc>
        <w:tc>
          <w:tcPr>
            <w:tcW w:w="4190" w:type="dxa"/>
            <w:gridSpan w:val="2"/>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Высота слоя насадки в дегазаторе, м </w:t>
            </w:r>
          </w:p>
          <w:p>
            <w:pPr>
              <w:pStyle w:val="Normal"/>
              <w:rPr/>
            </w:pPr>
            <w:r>
              <w:rPr/>
            </w:r>
          </w:p>
        </w:tc>
      </w:tr>
      <w:tr>
        <w:trPr/>
        <w:tc>
          <w:tcPr>
            <w:tcW w:w="2235" w:type="dxa"/>
            <w:tcBorders>
              <w:start w:val="single" w:sz="2" w:space="0" w:color="000000"/>
            </w:tcBorders>
            <w:shd w:fill="auto" w:val="clear"/>
            <w:tcMar>
              <w:start w:w="42" w:type="dxa"/>
            </w:tcMar>
          </w:tcPr>
          <w:p>
            <w:pPr>
              <w:pStyle w:val="Normal"/>
              <w:rPr/>
            </w:pPr>
            <w:r>
              <w:rPr/>
              <w:t xml:space="preserve">дегазатор, г/куб.м </w:t>
            </w:r>
          </w:p>
          <w:p>
            <w:pPr>
              <w:pStyle w:val="Normal"/>
              <w:rPr/>
            </w:pPr>
            <w:r>
              <w:rPr/>
            </w:r>
          </w:p>
        </w:tc>
        <w:tc>
          <w:tcPr>
            <w:tcW w:w="2085" w:type="dxa"/>
            <w:tcBorders>
              <w:top w:val="single" w:sz="2" w:space="0" w:color="000000"/>
              <w:start w:val="single" w:sz="2" w:space="0" w:color="000000"/>
            </w:tcBorders>
            <w:shd w:fill="auto" w:val="clear"/>
            <w:tcMar>
              <w:start w:w="42" w:type="dxa"/>
            </w:tcMar>
          </w:tcPr>
          <w:p>
            <w:pPr>
              <w:pStyle w:val="Normal"/>
              <w:rPr/>
            </w:pPr>
            <w:r>
              <w:rPr/>
              <w:t xml:space="preserve">кислотоупорная керамическая </w:t>
            </w:r>
          </w:p>
          <w:p>
            <w:pPr>
              <w:pStyle w:val="Normal"/>
              <w:rPr/>
            </w:pPr>
            <w:r>
              <w:rPr/>
            </w:r>
          </w:p>
        </w:tc>
        <w:tc>
          <w:tcPr>
            <w:tcW w:w="2090" w:type="dxa"/>
            <w:tcBorders>
              <w:top w:val="single" w:sz="2" w:space="0" w:color="000000"/>
              <w:start w:val="single" w:sz="2" w:space="0" w:color="000000"/>
              <w:end w:val="single" w:sz="2" w:space="0" w:color="000000"/>
              <w:insideV w:val="single" w:sz="2" w:space="0" w:color="000000"/>
            </w:tcBorders>
            <w:shd w:fill="auto" w:val="clear"/>
            <w:tcMar>
              <w:start w:w="42" w:type="dxa"/>
            </w:tcMar>
          </w:tcPr>
          <w:p>
            <w:pPr>
              <w:pStyle w:val="Normal"/>
              <w:rPr/>
            </w:pPr>
            <w:r>
              <w:rPr/>
              <w:t xml:space="preserve">деревянная </w:t>
            </w:r>
          </w:p>
          <w:p>
            <w:pPr>
              <w:pStyle w:val="Normal"/>
              <w:rPr/>
            </w:pPr>
            <w:r>
              <w:rPr/>
              <w:t xml:space="preserve">хордовая </w:t>
            </w:r>
          </w:p>
          <w:p>
            <w:pPr>
              <w:pStyle w:val="Normal"/>
              <w:rPr/>
            </w:pPr>
            <w:r>
              <w:rPr/>
            </w:r>
          </w:p>
        </w:tc>
      </w:tr>
      <w:tr>
        <w:trPr/>
        <w:tc>
          <w:tcPr>
            <w:tcW w:w="223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1 </w:t>
            </w:r>
          </w:p>
          <w:p>
            <w:pPr>
              <w:pStyle w:val="Normal"/>
              <w:rPr/>
            </w:pPr>
            <w:r>
              <w:rPr/>
            </w:r>
          </w:p>
        </w:tc>
        <w:tc>
          <w:tcPr>
            <w:tcW w:w="208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2 </w:t>
            </w:r>
          </w:p>
          <w:p>
            <w:pPr>
              <w:pStyle w:val="Normal"/>
              <w:rPr/>
            </w:pPr>
            <w:r>
              <w:rPr/>
            </w:r>
          </w:p>
        </w:tc>
        <w:tc>
          <w:tcPr>
            <w:tcW w:w="209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3 </w:t>
            </w:r>
          </w:p>
          <w:p>
            <w:pPr>
              <w:pStyle w:val="Normal"/>
              <w:rPr/>
            </w:pPr>
            <w:r>
              <w:rPr/>
            </w:r>
          </w:p>
        </w:tc>
      </w:tr>
      <w:tr>
        <w:trPr/>
        <w:tc>
          <w:tcPr>
            <w:tcW w:w="2235" w:type="dxa"/>
            <w:tcBorders>
              <w:start w:val="single" w:sz="2" w:space="0" w:color="000000"/>
            </w:tcBorders>
            <w:shd w:fill="auto" w:val="clear"/>
            <w:tcMar>
              <w:start w:w="42" w:type="dxa"/>
            </w:tcMar>
          </w:tcPr>
          <w:p>
            <w:pPr>
              <w:pStyle w:val="Normal"/>
              <w:rPr/>
            </w:pPr>
            <w:r>
              <w:rPr/>
              <w:t xml:space="preserve">50 </w:t>
            </w:r>
          </w:p>
          <w:p>
            <w:pPr>
              <w:pStyle w:val="Normal"/>
              <w:rPr/>
            </w:pPr>
            <w:r>
              <w:rPr/>
            </w:r>
          </w:p>
        </w:tc>
        <w:tc>
          <w:tcPr>
            <w:tcW w:w="2085" w:type="dxa"/>
            <w:tcBorders>
              <w:start w:val="single" w:sz="2" w:space="0" w:color="000000"/>
            </w:tcBorders>
            <w:shd w:fill="auto" w:val="clear"/>
            <w:tcMar>
              <w:start w:w="42" w:type="dxa"/>
            </w:tcMar>
          </w:tcPr>
          <w:p>
            <w:pPr>
              <w:pStyle w:val="Normal"/>
              <w:rPr/>
            </w:pPr>
            <w:r>
              <w:rPr/>
              <w:t xml:space="preserve">3 </w:t>
            </w:r>
          </w:p>
          <w:p>
            <w:pPr>
              <w:pStyle w:val="Normal"/>
              <w:rPr/>
            </w:pPr>
            <w:r>
              <w:rPr/>
            </w:r>
          </w:p>
        </w:tc>
        <w:tc>
          <w:tcPr>
            <w:tcW w:w="209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4 </w:t>
            </w:r>
          </w:p>
          <w:p>
            <w:pPr>
              <w:pStyle w:val="Normal"/>
              <w:rPr/>
            </w:pPr>
            <w:r>
              <w:rPr/>
            </w:r>
          </w:p>
        </w:tc>
      </w:tr>
      <w:tr>
        <w:trPr/>
        <w:tc>
          <w:tcPr>
            <w:tcW w:w="2235" w:type="dxa"/>
            <w:tcBorders>
              <w:start w:val="single" w:sz="2" w:space="0" w:color="000000"/>
            </w:tcBorders>
            <w:shd w:fill="auto" w:val="clear"/>
            <w:tcMar>
              <w:start w:w="42" w:type="dxa"/>
            </w:tcMar>
          </w:tcPr>
          <w:p>
            <w:pPr>
              <w:pStyle w:val="Normal"/>
              <w:rPr/>
            </w:pPr>
            <w:r>
              <w:rPr/>
              <w:t xml:space="preserve">100 </w:t>
            </w:r>
          </w:p>
          <w:p>
            <w:pPr>
              <w:pStyle w:val="Normal"/>
              <w:rPr/>
            </w:pPr>
            <w:r>
              <w:rPr/>
            </w:r>
          </w:p>
        </w:tc>
        <w:tc>
          <w:tcPr>
            <w:tcW w:w="2085" w:type="dxa"/>
            <w:tcBorders>
              <w:start w:val="single" w:sz="2" w:space="0" w:color="000000"/>
            </w:tcBorders>
            <w:shd w:fill="auto" w:val="clear"/>
            <w:tcMar>
              <w:start w:w="42" w:type="dxa"/>
            </w:tcMar>
          </w:tcPr>
          <w:p>
            <w:pPr>
              <w:pStyle w:val="Normal"/>
              <w:rPr/>
            </w:pPr>
            <w:r>
              <w:rPr/>
              <w:t xml:space="preserve">4 </w:t>
            </w:r>
          </w:p>
          <w:p>
            <w:pPr>
              <w:pStyle w:val="Normal"/>
              <w:rPr/>
            </w:pPr>
            <w:r>
              <w:rPr/>
            </w:r>
          </w:p>
        </w:tc>
        <w:tc>
          <w:tcPr>
            <w:tcW w:w="209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5,2 </w:t>
            </w:r>
          </w:p>
          <w:p>
            <w:pPr>
              <w:pStyle w:val="Normal"/>
              <w:rPr/>
            </w:pPr>
            <w:r>
              <w:rPr/>
            </w:r>
          </w:p>
        </w:tc>
      </w:tr>
      <w:tr>
        <w:trPr/>
        <w:tc>
          <w:tcPr>
            <w:tcW w:w="2235" w:type="dxa"/>
            <w:tcBorders>
              <w:start w:val="single" w:sz="2" w:space="0" w:color="000000"/>
            </w:tcBorders>
            <w:shd w:fill="auto" w:val="clear"/>
            <w:tcMar>
              <w:start w:w="42" w:type="dxa"/>
            </w:tcMar>
          </w:tcPr>
          <w:p>
            <w:pPr>
              <w:pStyle w:val="Normal"/>
              <w:rPr/>
            </w:pPr>
            <w:r>
              <w:rPr/>
              <w:t xml:space="preserve">150 </w:t>
            </w:r>
          </w:p>
          <w:p>
            <w:pPr>
              <w:pStyle w:val="Normal"/>
              <w:rPr/>
            </w:pPr>
            <w:r>
              <w:rPr/>
            </w:r>
          </w:p>
        </w:tc>
        <w:tc>
          <w:tcPr>
            <w:tcW w:w="2085" w:type="dxa"/>
            <w:tcBorders>
              <w:start w:val="single" w:sz="2" w:space="0" w:color="000000"/>
            </w:tcBorders>
            <w:shd w:fill="auto" w:val="clear"/>
            <w:tcMar>
              <w:start w:w="42" w:type="dxa"/>
            </w:tcMar>
          </w:tcPr>
          <w:p>
            <w:pPr>
              <w:pStyle w:val="Normal"/>
              <w:rPr/>
            </w:pPr>
            <w:r>
              <w:rPr/>
              <w:t xml:space="preserve">4,7 </w:t>
            </w:r>
          </w:p>
          <w:p>
            <w:pPr>
              <w:pStyle w:val="Normal"/>
              <w:rPr/>
            </w:pPr>
            <w:r>
              <w:rPr/>
            </w:r>
          </w:p>
        </w:tc>
        <w:tc>
          <w:tcPr>
            <w:tcW w:w="209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6 </w:t>
            </w:r>
          </w:p>
          <w:p>
            <w:pPr>
              <w:pStyle w:val="Normal"/>
              <w:rPr/>
            </w:pPr>
            <w:r>
              <w:rPr/>
            </w:r>
          </w:p>
        </w:tc>
      </w:tr>
      <w:tr>
        <w:trPr/>
        <w:tc>
          <w:tcPr>
            <w:tcW w:w="2235" w:type="dxa"/>
            <w:tcBorders>
              <w:start w:val="single" w:sz="2" w:space="0" w:color="000000"/>
            </w:tcBorders>
            <w:shd w:fill="auto" w:val="clear"/>
            <w:tcMar>
              <w:start w:w="42" w:type="dxa"/>
            </w:tcMar>
          </w:tcPr>
          <w:p>
            <w:pPr>
              <w:pStyle w:val="Normal"/>
              <w:rPr/>
            </w:pPr>
            <w:r>
              <w:rPr/>
              <w:t xml:space="preserve">200 </w:t>
            </w:r>
          </w:p>
          <w:p>
            <w:pPr>
              <w:pStyle w:val="Normal"/>
              <w:rPr/>
            </w:pPr>
            <w:r>
              <w:rPr/>
            </w:r>
          </w:p>
        </w:tc>
        <w:tc>
          <w:tcPr>
            <w:tcW w:w="2085" w:type="dxa"/>
            <w:tcBorders>
              <w:start w:val="single" w:sz="2" w:space="0" w:color="000000"/>
            </w:tcBorders>
            <w:shd w:fill="auto" w:val="clear"/>
            <w:tcMar>
              <w:start w:w="42" w:type="dxa"/>
            </w:tcMar>
          </w:tcPr>
          <w:p>
            <w:pPr>
              <w:pStyle w:val="Normal"/>
              <w:rPr/>
            </w:pPr>
            <w:r>
              <w:rPr/>
              <w:t xml:space="preserve">5,1 </w:t>
            </w:r>
          </w:p>
          <w:p>
            <w:pPr>
              <w:pStyle w:val="Normal"/>
              <w:rPr/>
            </w:pPr>
            <w:r>
              <w:rPr/>
            </w:r>
          </w:p>
        </w:tc>
        <w:tc>
          <w:tcPr>
            <w:tcW w:w="209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6,5 </w:t>
            </w:r>
          </w:p>
          <w:p>
            <w:pPr>
              <w:pStyle w:val="Normal"/>
              <w:rPr/>
            </w:pPr>
            <w:r>
              <w:rPr/>
            </w:r>
          </w:p>
        </w:tc>
      </w:tr>
      <w:tr>
        <w:trPr/>
        <w:tc>
          <w:tcPr>
            <w:tcW w:w="2235" w:type="dxa"/>
            <w:tcBorders>
              <w:start w:val="single" w:sz="2" w:space="0" w:color="000000"/>
            </w:tcBorders>
            <w:shd w:fill="auto" w:val="clear"/>
            <w:tcMar>
              <w:start w:w="42" w:type="dxa"/>
            </w:tcMar>
          </w:tcPr>
          <w:p>
            <w:pPr>
              <w:pStyle w:val="Normal"/>
              <w:rPr/>
            </w:pPr>
            <w:r>
              <w:rPr/>
              <w:t xml:space="preserve">250 </w:t>
            </w:r>
          </w:p>
          <w:p>
            <w:pPr>
              <w:pStyle w:val="Normal"/>
              <w:rPr/>
            </w:pPr>
            <w:r>
              <w:rPr/>
            </w:r>
          </w:p>
        </w:tc>
        <w:tc>
          <w:tcPr>
            <w:tcW w:w="2085" w:type="dxa"/>
            <w:tcBorders>
              <w:start w:val="single" w:sz="2" w:space="0" w:color="000000"/>
            </w:tcBorders>
            <w:shd w:fill="auto" w:val="clear"/>
            <w:tcMar>
              <w:start w:w="42" w:type="dxa"/>
            </w:tcMar>
          </w:tcPr>
          <w:p>
            <w:pPr>
              <w:pStyle w:val="Normal"/>
              <w:rPr/>
            </w:pPr>
            <w:r>
              <w:rPr/>
              <w:t xml:space="preserve">5,5 </w:t>
            </w:r>
          </w:p>
          <w:p>
            <w:pPr>
              <w:pStyle w:val="Normal"/>
              <w:rPr/>
            </w:pPr>
            <w:r>
              <w:rPr/>
            </w:r>
          </w:p>
        </w:tc>
        <w:tc>
          <w:tcPr>
            <w:tcW w:w="209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6,8 </w:t>
            </w:r>
          </w:p>
          <w:p>
            <w:pPr>
              <w:pStyle w:val="Normal"/>
              <w:rPr/>
            </w:pPr>
            <w:r>
              <w:rPr/>
            </w:r>
          </w:p>
        </w:tc>
      </w:tr>
      <w:tr>
        <w:trPr/>
        <w:tc>
          <w:tcPr>
            <w:tcW w:w="223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300 </w:t>
            </w:r>
          </w:p>
          <w:p>
            <w:pPr>
              <w:pStyle w:val="Normal"/>
              <w:rPr/>
            </w:pPr>
            <w:r>
              <w:rPr/>
            </w:r>
          </w:p>
        </w:tc>
        <w:tc>
          <w:tcPr>
            <w:tcW w:w="208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5,7 </w:t>
            </w:r>
          </w:p>
          <w:p>
            <w:pPr>
              <w:pStyle w:val="Normal"/>
              <w:rPr/>
            </w:pPr>
            <w:r>
              <w:rPr/>
            </w:r>
          </w:p>
        </w:tc>
        <w:tc>
          <w:tcPr>
            <w:tcW w:w="209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7 </w:t>
            </w:r>
          </w:p>
          <w:p>
            <w:pPr>
              <w:pStyle w:val="Normal"/>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 xml:space="preserve">35. При проектировании установок для умягчения воды последовательным водород-натрий-катионированием с «голодной» регенерацией водород-катионитных фильтров следует принимать:  </w:t>
      </w:r>
    </w:p>
    <w:p>
      <w:pPr>
        <w:pStyle w:val="Normal"/>
        <w:ind w:firstLine="225"/>
        <w:jc w:val="both"/>
        <w:rPr/>
      </w:pPr>
      <w:r>
        <w:rPr/>
      </w:r>
    </w:p>
    <w:tbl>
      <w:tblPr>
        <w:tblW w:w="8775" w:type="dxa"/>
        <w:jc w:val="start"/>
        <w:tblInd w:w="15" w:type="dxa"/>
        <w:tblBorders/>
        <w:tblCellMar>
          <w:top w:w="0" w:type="dxa"/>
          <w:start w:w="15" w:type="dxa"/>
          <w:bottom w:w="0" w:type="dxa"/>
          <w:end w:w="15" w:type="dxa"/>
        </w:tblCellMar>
      </w:tblPr>
      <w:tblGrid>
        <w:gridCol w:w="2475"/>
        <w:gridCol w:w="600"/>
        <w:gridCol w:w="5700"/>
      </w:tblGrid>
      <w:tr>
        <w:trPr/>
        <w:tc>
          <w:tcPr>
            <w:tcW w:w="2475" w:type="dxa"/>
            <w:tcBorders/>
            <w:shd w:fill="auto" w:val="clear"/>
          </w:tcPr>
          <w:p>
            <w:pPr>
              <w:pStyle w:val="Normal"/>
              <w:rPr/>
            </w:pPr>
            <w:r>
              <w:rPr>
                <w:vanish/>
              </w:rPr>
              <w:t>#G0</w:t>
            </w:r>
            <w:r>
              <w:rPr/>
              <w:t xml:space="preserve">     а) жесткость фильтрата </w:t>
            </w:r>
          </w:p>
          <w:p>
            <w:pPr>
              <w:pStyle w:val="Normal"/>
              <w:ind w:firstLine="225"/>
              <w:jc w:val="both"/>
              <w:rPr/>
            </w:pPr>
            <w:r>
              <w:rPr/>
            </w:r>
          </w:p>
          <w:p>
            <w:pPr>
              <w:pStyle w:val="Normal"/>
              <w:ind w:firstLine="225"/>
              <w:jc w:val="both"/>
              <w:rPr/>
            </w:pPr>
            <w:r>
              <w:rPr/>
            </w:r>
          </w:p>
        </w:tc>
        <w:tc>
          <w:tcPr>
            <w:tcW w:w="600" w:type="dxa"/>
            <w:tcBorders/>
            <w:shd w:fill="auto" w:val="clear"/>
          </w:tcPr>
          <w:p>
            <w:pPr>
              <w:pStyle w:val="Normal"/>
              <w:rPr/>
            </w:pPr>
            <w:r>
              <w:rPr/>
              <w:drawing>
                <wp:inline distT="0" distB="0" distL="0" distR="0">
                  <wp:extent cx="334010" cy="264795"/>
                  <wp:effectExtent l="0" t="0" r="0" b="0"/>
                  <wp:docPr id="306" name="Изображение3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Изображение306" descr="" title=""/>
                          <pic:cNvPicPr>
                            <a:picLocks noChangeAspect="1" noChangeArrowheads="1"/>
                          </pic:cNvPicPr>
                        </pic:nvPicPr>
                        <pic:blipFill>
                          <a:blip r:embed="rId307"/>
                          <a:stretch>
                            <a:fillRect/>
                          </a:stretch>
                        </pic:blipFill>
                        <pic:spPr bwMode="auto">
                          <a:xfrm>
                            <a:off x="0" y="0"/>
                            <a:ext cx="334010" cy="264795"/>
                          </a:xfrm>
                          <a:prstGeom prst="rect">
                            <a:avLst/>
                          </a:prstGeom>
                        </pic:spPr>
                      </pic:pic>
                    </a:graphicData>
                  </a:graphic>
                </wp:inline>
              </w:drawing>
            </w:r>
            <w:r>
              <w:rPr/>
              <w:t xml:space="preserve">     </w:t>
            </w:r>
          </w:p>
          <w:p>
            <w:pPr>
              <w:pStyle w:val="Normal"/>
              <w:rPr/>
            </w:pPr>
            <w:r>
              <w:rPr/>
            </w:r>
          </w:p>
        </w:tc>
        <w:tc>
          <w:tcPr>
            <w:tcW w:w="5700" w:type="dxa"/>
            <w:tcBorders/>
            <w:shd w:fill="auto" w:val="clear"/>
          </w:tcPr>
          <w:p>
            <w:pPr>
              <w:pStyle w:val="Normal"/>
              <w:ind w:firstLine="90"/>
              <w:jc w:val="both"/>
              <w:rPr/>
            </w:pPr>
            <w:r>
              <w:rPr/>
              <w:t xml:space="preserve">г-экв/куб.м, водород-катионитных фильтров по формуле </w:t>
            </w:r>
          </w:p>
          <w:p>
            <w:pPr>
              <w:pStyle w:val="Normal"/>
              <w:ind w:firstLine="90"/>
              <w:jc w:val="both"/>
              <w:rPr/>
            </w:pPr>
            <w:r>
              <w:rPr/>
            </w:r>
          </w:p>
        </w:tc>
      </w:tr>
    </w:tbl>
    <w:p>
      <w:pPr>
        <w:pStyle w:val="Normal"/>
        <w:ind w:firstLine="270"/>
        <w:jc w:val="both"/>
        <w:rPr/>
      </w:pPr>
      <w:r>
        <w:rPr/>
      </w:r>
    </w:p>
    <w:tbl>
      <w:tblPr>
        <w:tblW w:w="6075" w:type="dxa"/>
        <w:jc w:val="start"/>
        <w:tblInd w:w="3150" w:type="dxa"/>
        <w:tblBorders/>
        <w:tblCellMar>
          <w:top w:w="0" w:type="dxa"/>
          <w:start w:w="15" w:type="dxa"/>
          <w:bottom w:w="0" w:type="dxa"/>
          <w:end w:w="15" w:type="dxa"/>
        </w:tblCellMar>
      </w:tblPr>
      <w:tblGrid>
        <w:gridCol w:w="4575"/>
        <w:gridCol w:w="1500"/>
      </w:tblGrid>
      <w:tr>
        <w:trPr/>
        <w:tc>
          <w:tcPr>
            <w:tcW w:w="4575" w:type="dxa"/>
            <w:tcBorders/>
            <w:shd w:fill="auto" w:val="clear"/>
          </w:tcPr>
          <w:p>
            <w:pPr>
              <w:pStyle w:val="Normal"/>
              <w:rPr/>
            </w:pPr>
            <w:r>
              <w:rPr>
                <w:vanish/>
              </w:rPr>
              <w:t>#G0</w:t>
            </w:r>
            <w:r>
              <w:rPr/>
              <w:t xml:space="preserve">  </w:t>
            </w:r>
          </w:p>
          <w:p>
            <w:pPr>
              <w:pStyle w:val="Normal"/>
              <w:rPr/>
            </w:pPr>
            <w:r>
              <w:rPr/>
              <w:drawing>
                <wp:inline distT="0" distB="0" distL="0" distR="0">
                  <wp:extent cx="2465070" cy="276225"/>
                  <wp:effectExtent l="0" t="0" r="0" b="0"/>
                  <wp:docPr id="307" name="Изображение3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Изображение307" descr="" title=""/>
                          <pic:cNvPicPr>
                            <a:picLocks noChangeAspect="1" noChangeArrowheads="1"/>
                          </pic:cNvPicPr>
                        </pic:nvPicPr>
                        <pic:blipFill>
                          <a:blip r:embed="rId308"/>
                          <a:stretch>
                            <a:fillRect/>
                          </a:stretch>
                        </pic:blipFill>
                        <pic:spPr bwMode="auto">
                          <a:xfrm>
                            <a:off x="0" y="0"/>
                            <a:ext cx="2465070" cy="276225"/>
                          </a:xfrm>
                          <a:prstGeom prst="rect">
                            <a:avLst/>
                          </a:prstGeom>
                        </pic:spPr>
                      </pic:pic>
                    </a:graphicData>
                  </a:graphic>
                </wp:inline>
              </w:drawing>
            </w:r>
            <w:r>
              <w:rPr/>
              <w:t xml:space="preserve"> </w:t>
            </w:r>
          </w:p>
          <w:p>
            <w:pPr>
              <w:pStyle w:val="Normal"/>
              <w:rPr/>
            </w:pPr>
            <w:r>
              <w:rPr/>
            </w:r>
          </w:p>
        </w:tc>
        <w:tc>
          <w:tcPr>
            <w:tcW w:w="1500" w:type="dxa"/>
            <w:tcBorders/>
            <w:shd w:fill="auto" w:val="clear"/>
          </w:tcPr>
          <w:p>
            <w:pPr>
              <w:pStyle w:val="Normal"/>
              <w:rPr/>
            </w:pPr>
            <w:r>
              <w:rPr/>
              <w:t xml:space="preserve">   </w:t>
            </w:r>
          </w:p>
          <w:p>
            <w:pPr>
              <w:pStyle w:val="Normal"/>
              <w:rPr/>
            </w:pPr>
            <w:r>
              <w:rPr/>
              <w:t xml:space="preserve">             </w:t>
            </w:r>
            <w:r>
              <w:rPr/>
              <w:t>(18)</w:t>
            </w:r>
          </w:p>
          <w:p>
            <w:pPr>
              <w:pStyle w:val="Normal"/>
              <w:rPr/>
            </w:pPr>
            <w:r>
              <w:rPr/>
            </w:r>
          </w:p>
        </w:tc>
      </w:tr>
    </w:tbl>
    <w:p>
      <w:pPr>
        <w:pStyle w:val="Normal"/>
        <w:ind w:firstLine="1260"/>
        <w:jc w:val="both"/>
        <w:rPr/>
      </w:pPr>
      <w:r>
        <w:rPr/>
        <w:tab/>
        <w:tab/>
      </w:r>
    </w:p>
    <w:p>
      <w:pPr>
        <w:pStyle w:val="Normal"/>
        <w:ind w:firstLine="270"/>
        <w:jc w:val="both"/>
        <w:rPr/>
      </w:pPr>
      <w:r>
        <w:rPr/>
      </w:r>
    </w:p>
    <w:tbl>
      <w:tblPr>
        <w:tblW w:w="8190" w:type="dxa"/>
        <w:jc w:val="start"/>
        <w:tblInd w:w="165" w:type="dxa"/>
        <w:tblBorders/>
        <w:tblCellMar>
          <w:top w:w="0" w:type="dxa"/>
          <w:start w:w="15" w:type="dxa"/>
          <w:bottom w:w="0" w:type="dxa"/>
          <w:end w:w="15" w:type="dxa"/>
        </w:tblCellMar>
      </w:tblPr>
      <w:tblGrid>
        <w:gridCol w:w="450"/>
        <w:gridCol w:w="1800"/>
        <w:gridCol w:w="5940"/>
      </w:tblGrid>
      <w:tr>
        <w:trPr/>
        <w:tc>
          <w:tcPr>
            <w:tcW w:w="450" w:type="dxa"/>
            <w:tcBorders/>
            <w:shd w:fill="auto" w:val="clear"/>
          </w:tcPr>
          <w:p>
            <w:pPr>
              <w:pStyle w:val="Normal"/>
              <w:rPr/>
            </w:pPr>
            <w:r>
              <w:rPr>
                <w:vanish/>
              </w:rPr>
              <w:t>#G0</w:t>
            </w:r>
            <w:r>
              <w:rPr/>
              <w:t xml:space="preserve">       где </w:t>
            </w:r>
          </w:p>
          <w:p>
            <w:pPr>
              <w:pStyle w:val="Normal"/>
              <w:rPr/>
            </w:pPr>
            <w:r>
              <w:rPr/>
            </w:r>
          </w:p>
        </w:tc>
        <w:tc>
          <w:tcPr>
            <w:tcW w:w="1800" w:type="dxa"/>
            <w:tcBorders/>
            <w:shd w:fill="auto" w:val="clear"/>
          </w:tcPr>
          <w:p>
            <w:pPr>
              <w:pStyle w:val="Normal"/>
              <w:rPr/>
            </w:pPr>
            <w:r>
              <w:rPr/>
              <w:t xml:space="preserve">  </w:t>
            </w:r>
          </w:p>
          <w:p>
            <w:pPr>
              <w:pStyle w:val="Normal"/>
              <w:rPr/>
            </w:pPr>
            <w:r>
              <w:rPr/>
              <w:drawing>
                <wp:inline distT="0" distB="0" distL="0" distR="0">
                  <wp:extent cx="898525" cy="207645"/>
                  <wp:effectExtent l="0" t="0" r="0" b="0"/>
                  <wp:docPr id="308" name="Изображение3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Изображение308" descr="" title=""/>
                          <pic:cNvPicPr>
                            <a:picLocks noChangeAspect="1" noChangeArrowheads="1"/>
                          </pic:cNvPicPr>
                        </pic:nvPicPr>
                        <pic:blipFill>
                          <a:blip r:embed="rId309"/>
                          <a:stretch>
                            <a:fillRect/>
                          </a:stretch>
                        </pic:blipFill>
                        <pic:spPr bwMode="auto">
                          <a:xfrm>
                            <a:off x="0" y="0"/>
                            <a:ext cx="898525" cy="207645"/>
                          </a:xfrm>
                          <a:prstGeom prst="rect">
                            <a:avLst/>
                          </a:prstGeom>
                        </pic:spPr>
                      </pic:pic>
                    </a:graphicData>
                  </a:graphic>
                </wp:inline>
              </w:drawing>
            </w:r>
          </w:p>
        </w:tc>
        <w:tc>
          <w:tcPr>
            <w:tcW w:w="5940" w:type="dxa"/>
            <w:tcBorders/>
            <w:shd w:fill="auto" w:val="clear"/>
          </w:tcPr>
          <w:p>
            <w:pPr>
              <w:pStyle w:val="Normal"/>
              <w:rPr/>
            </w:pPr>
            <w:r>
              <w:rPr/>
              <w:t xml:space="preserve">  </w:t>
            </w:r>
          </w:p>
          <w:p>
            <w:pPr>
              <w:pStyle w:val="Normal"/>
              <w:rPr/>
            </w:pPr>
            <w:r>
              <w:rPr/>
              <w:t xml:space="preserve"> </w:t>
            </w:r>
            <w:r>
              <w:rPr/>
              <w:t>- содержание хлоридов и сульфатов в умягченной воде, г-экв/куб./м;</w:t>
            </w:r>
          </w:p>
          <w:p>
            <w:pPr>
              <w:pStyle w:val="Normal"/>
              <w:rPr/>
            </w:pPr>
            <w:r>
              <w:rPr/>
            </w:r>
          </w:p>
        </w:tc>
      </w:tr>
    </w:tbl>
    <w:p>
      <w:pPr>
        <w:pStyle w:val="Normal"/>
        <w:ind w:firstLine="135"/>
        <w:jc w:val="both"/>
        <w:rPr/>
      </w:pPr>
      <w:r>
        <w:rPr/>
      </w:r>
    </w:p>
    <w:p>
      <w:pPr>
        <w:pStyle w:val="Normal"/>
        <w:ind w:firstLine="270"/>
        <w:jc w:val="both"/>
        <w:rPr/>
      </w:pPr>
      <w:r>
        <w:rPr/>
        <w:t xml:space="preserve">Щ(ост) - остаточная щелочность фильтрата водород-катионитных фильтров, равная 0,7-1,5 г-экв/куб.м; </w:t>
      </w:r>
    </w:p>
    <w:p>
      <w:pPr>
        <w:pStyle w:val="Normal"/>
        <w:ind w:firstLine="225"/>
        <w:jc w:val="both"/>
        <w:rPr/>
      </w:pPr>
      <w:r>
        <w:rPr/>
      </w:r>
    </w:p>
    <w:p>
      <w:pPr>
        <w:pStyle w:val="Normal"/>
        <w:ind w:firstLine="225"/>
        <w:jc w:val="both"/>
        <w:rPr/>
      </w:pPr>
      <w:r>
        <w:rPr/>
        <w:t xml:space="preserve">(Na+) -  содержание натрия в умягченной воде, г-экв/куб.м; </w:t>
      </w:r>
    </w:p>
    <w:p>
      <w:pPr>
        <w:pStyle w:val="Normal"/>
        <w:ind w:firstLine="225"/>
        <w:jc w:val="both"/>
        <w:rPr/>
      </w:pPr>
      <w:r>
        <w:rPr/>
      </w:r>
    </w:p>
    <w:p>
      <w:pPr>
        <w:pStyle w:val="Normal"/>
        <w:ind w:firstLine="225"/>
        <w:jc w:val="both"/>
        <w:rPr/>
      </w:pPr>
      <w:r>
        <w:rPr/>
        <w:t>б) расход кислоты на "голодную" регенерацию водород-катионитных фильтров - 50 г на 1 г-экв удаленной из воды карбонатной жесткости;</w:t>
      </w:r>
    </w:p>
    <w:p>
      <w:pPr>
        <w:pStyle w:val="Normal"/>
        <w:ind w:firstLine="225"/>
        <w:jc w:val="both"/>
        <w:rPr/>
      </w:pPr>
      <w:r>
        <w:rPr/>
      </w:r>
    </w:p>
    <w:p>
      <w:pPr>
        <w:pStyle w:val="Normal"/>
        <w:ind w:firstLine="225"/>
        <w:jc w:val="both"/>
        <w:rPr/>
      </w:pPr>
      <w:r>
        <w:rPr/>
        <w:t xml:space="preserve">в) при "голодной" регенерации "условную" обменную емкость катионитов по иону </w:t>
      </w:r>
    </w:p>
    <w:tbl>
      <w:tblPr>
        <w:tblW w:w="8460" w:type="dxa"/>
        <w:jc w:val="start"/>
        <w:tblInd w:w="165" w:type="dxa"/>
        <w:tblBorders/>
        <w:tblCellMar>
          <w:top w:w="0" w:type="dxa"/>
          <w:start w:w="15" w:type="dxa"/>
          <w:bottom w:w="0" w:type="dxa"/>
          <w:end w:w="15" w:type="dxa"/>
        </w:tblCellMar>
      </w:tblPr>
      <w:tblGrid>
        <w:gridCol w:w="810"/>
        <w:gridCol w:w="7650"/>
      </w:tblGrid>
      <w:tr>
        <w:trPr/>
        <w:tc>
          <w:tcPr>
            <w:tcW w:w="810" w:type="dxa"/>
            <w:tcBorders/>
            <w:shd w:fill="auto" w:val="clear"/>
          </w:tcPr>
          <w:p>
            <w:pPr>
              <w:pStyle w:val="Normal"/>
              <w:rPr/>
            </w:pPr>
            <w:r>
              <w:rPr>
                <w:vanish/>
              </w:rPr>
              <w:t>#G0</w:t>
            </w:r>
            <w:r>
              <w:rPr/>
              <w:t xml:space="preserve">  </w:t>
            </w:r>
          </w:p>
          <w:p>
            <w:pPr>
              <w:pStyle w:val="Normal"/>
              <w:rPr/>
            </w:pPr>
            <w:r>
              <w:rPr/>
              <w:drawing>
                <wp:inline distT="0" distB="0" distL="0" distR="0">
                  <wp:extent cx="403225" cy="207645"/>
                  <wp:effectExtent l="0" t="0" r="0" b="0"/>
                  <wp:docPr id="309" name="Изображение3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Изображение309" descr="" title=""/>
                          <pic:cNvPicPr>
                            <a:picLocks noChangeAspect="1" noChangeArrowheads="1"/>
                          </pic:cNvPicPr>
                        </pic:nvPicPr>
                        <pic:blipFill>
                          <a:blip r:embed="rId310"/>
                          <a:stretch>
                            <a:fillRect/>
                          </a:stretch>
                        </pic:blipFill>
                        <pic:spPr bwMode="auto">
                          <a:xfrm>
                            <a:off x="0" y="0"/>
                            <a:ext cx="403225" cy="207645"/>
                          </a:xfrm>
                          <a:prstGeom prst="rect">
                            <a:avLst/>
                          </a:prstGeom>
                        </pic:spPr>
                      </pic:pic>
                    </a:graphicData>
                  </a:graphic>
                </wp:inline>
              </w:drawing>
            </w:r>
          </w:p>
        </w:tc>
        <w:tc>
          <w:tcPr>
            <w:tcW w:w="7650" w:type="dxa"/>
            <w:tcBorders/>
            <w:shd w:fill="auto" w:val="clear"/>
          </w:tcPr>
          <w:p>
            <w:pPr>
              <w:pStyle w:val="Normal"/>
              <w:snapToGrid w:val="false"/>
              <w:jc w:val="both"/>
              <w:rPr/>
            </w:pPr>
            <w:r>
              <w:rPr/>
            </w:r>
          </w:p>
          <w:p>
            <w:pPr>
              <w:pStyle w:val="Normal"/>
              <w:ind w:firstLine="45"/>
              <w:jc w:val="both"/>
              <w:rPr/>
            </w:pPr>
            <w:r>
              <w:rPr/>
              <w:t xml:space="preserve">(до момента повышения щелочности фильтрата) для сульфоугля СК-1- 250-300 </w:t>
            </w:r>
          </w:p>
          <w:p>
            <w:pPr>
              <w:pStyle w:val="Normal"/>
              <w:rPr/>
            </w:pPr>
            <w:r>
              <w:rPr/>
              <w:t xml:space="preserve">  </w:t>
            </w:r>
          </w:p>
          <w:p>
            <w:pPr>
              <w:pStyle w:val="Normal"/>
              <w:rPr/>
            </w:pPr>
            <w:r>
              <w:rPr/>
            </w:r>
          </w:p>
        </w:tc>
      </w:tr>
    </w:tbl>
    <w:p>
      <w:pPr>
        <w:pStyle w:val="Normal"/>
        <w:ind w:firstLine="90"/>
        <w:jc w:val="both"/>
        <w:rPr/>
      </w:pPr>
      <w:r>
        <w:rPr/>
        <w:t>г-экв/куб.м, для катионита КБ-4 - 500-600 г-экв/куб.м.</w:t>
      </w:r>
    </w:p>
    <w:p>
      <w:pPr>
        <w:pStyle w:val="Normal"/>
        <w:ind w:firstLine="90"/>
        <w:jc w:val="both"/>
        <w:rPr/>
      </w:pPr>
      <w:r>
        <w:rPr/>
      </w:r>
    </w:p>
    <w:p>
      <w:pPr>
        <w:pStyle w:val="Normal"/>
        <w:ind w:firstLine="225"/>
        <w:jc w:val="both"/>
        <w:rPr/>
      </w:pPr>
      <w:r>
        <w:rPr/>
        <w:t>36. Для предупреждения попадания кислой воды на натрий-катионитные фильтры установок последовательного водород-натрий-катионирования, на случай регенерации водород-катионитных фильтров избыточной дозой кислоты, следует предусматривать подачу осветленной неумягченной воды в поток фильтрата водород-катионитных фильтров перед дегазатором.</w:t>
      </w:r>
    </w:p>
    <w:p>
      <w:pPr>
        <w:pStyle w:val="Normal"/>
        <w:ind w:firstLine="225"/>
        <w:jc w:val="both"/>
        <w:rPr/>
      </w:pPr>
      <w:r>
        <w:rPr/>
      </w:r>
    </w:p>
    <w:p>
      <w:pPr>
        <w:pStyle w:val="Normal"/>
        <w:ind w:firstLine="225"/>
        <w:jc w:val="both"/>
        <w:rPr/>
      </w:pPr>
      <w:r>
        <w:rPr/>
        <w:t>37. Аппараты, трубопроводы и арматура, соприкасающиеся с кислой водой или фильтратом, должны быть защищены от коррозии или изготовлены из антикоррозионных материалов.</w:t>
      </w:r>
    </w:p>
    <w:p>
      <w:pPr>
        <w:pStyle w:val="Normal"/>
        <w:ind w:firstLine="225"/>
        <w:jc w:val="both"/>
        <w:rPr/>
      </w:pPr>
      <w:r>
        <w:rPr/>
      </w:r>
    </w:p>
    <w:p>
      <w:pPr>
        <w:pStyle w:val="Normal"/>
        <w:ind w:firstLine="225"/>
        <w:jc w:val="both"/>
        <w:rPr/>
      </w:pPr>
      <w:r>
        <w:rPr/>
        <w:t>38. При параллельном водород-натрий-катионировании ионитные фильтры допускается при обосновании предусматривать с противоточной регенерацией или по схеме ступенчато-противоточного ионирования.</w:t>
      </w:r>
    </w:p>
    <w:p>
      <w:pPr>
        <w:pStyle w:val="Normal"/>
        <w:ind w:firstLine="225"/>
        <w:jc w:val="both"/>
        <w:rPr/>
      </w:pPr>
      <w:r>
        <w:rPr/>
      </w:r>
    </w:p>
    <w:p>
      <w:pPr>
        <w:pStyle w:val="Normal"/>
        <w:ind w:firstLine="225"/>
        <w:jc w:val="both"/>
        <w:rPr/>
      </w:pPr>
      <w:r>
        <w:rPr/>
        <w:t>39. Отработавшие регенерационные растворы ионитных умягчительных установок в зависимости от местных условий следует направлять в накопители, бытовую или производственную канализацию; надлежит также рассматривать возможность обработки концентрированной части вод для их повторного использования.</w:t>
      </w:r>
    </w:p>
    <w:p>
      <w:pPr>
        <w:pStyle w:val="Normal"/>
        <w:ind w:firstLine="225"/>
        <w:jc w:val="both"/>
        <w:rPr/>
      </w:pPr>
      <w:r>
        <w:rPr/>
      </w:r>
    </w:p>
    <w:p>
      <w:pPr>
        <w:pStyle w:val="Normal"/>
        <w:ind w:firstLine="225"/>
        <w:jc w:val="both"/>
        <w:rPr/>
      </w:pPr>
      <w:r>
        <w:rPr/>
        <w:t>Отработавшие растворы перед сбросом в канализацию после усреднения надлежит при необходимости нейтрализовать. При этом получающиеся осадки карбоната кальция и двуокиси магния следует выделять отстаиванием и направлять в накопитель.</w:t>
      </w:r>
    </w:p>
    <w:p>
      <w:pPr>
        <w:pStyle w:val="Normal"/>
        <w:ind w:firstLine="225"/>
        <w:jc w:val="both"/>
        <w:rPr/>
      </w:pPr>
      <w:r>
        <w:rPr/>
      </w:r>
    </w:p>
    <w:p>
      <w:pPr>
        <w:pStyle w:val="Normal"/>
        <w:ind w:firstLine="225"/>
        <w:jc w:val="both"/>
        <w:rPr/>
      </w:pPr>
      <w:r>
        <w:rPr/>
        <w:t>Осветленные растворы хлорида натрия (из сточных вод от регенерации натрий-катионитных фильтров) надлежит повторно использовать для регенерации натрий-катионитных фильтров (при необходимости после нейтрализации).</w:t>
      </w:r>
    </w:p>
    <w:p>
      <w:pPr>
        <w:pStyle w:val="Normal"/>
        <w:ind w:firstLine="225"/>
        <w:jc w:val="both"/>
        <w:rPr/>
      </w:pPr>
      <w:r>
        <w:rPr/>
      </w:r>
    </w:p>
    <w:p>
      <w:pPr>
        <w:pStyle w:val="Normal"/>
        <w:ind w:firstLine="225"/>
        <w:jc w:val="both"/>
        <w:rPr/>
      </w:pPr>
      <w:r>
        <w:rPr/>
      </w:r>
    </w:p>
    <w:p>
      <w:pPr>
        <w:pStyle w:val="Normal"/>
        <w:jc w:val="end"/>
        <w:rPr/>
      </w:pPr>
      <w:r>
        <w:rPr/>
        <w:t xml:space="preserve">Приложение 8 </w:t>
      </w:r>
    </w:p>
    <w:p>
      <w:pPr>
        <w:pStyle w:val="Normal"/>
        <w:jc w:val="end"/>
        <w:rPr/>
      </w:pPr>
      <w:r>
        <w:rPr/>
        <w:t xml:space="preserve">Рекомендуемое </w:t>
      </w:r>
    </w:p>
    <w:p>
      <w:pPr>
        <w:pStyle w:val="Normal"/>
        <w:ind w:firstLine="270"/>
        <w:jc w:val="both"/>
        <w:rPr/>
      </w:pPr>
      <w:r>
        <w:rPr/>
      </w:r>
    </w:p>
    <w:p>
      <w:pPr>
        <w:pStyle w:val="Heading"/>
        <w:jc w:val="center"/>
        <w:rPr/>
      </w:pPr>
      <w:r>
        <w:rPr/>
        <w:t>ОПРЕСНЕНИЕ И ОБЕССОЛИВАНИЕ ВОДЫ</w:t>
      </w:r>
    </w:p>
    <w:p>
      <w:pPr>
        <w:pStyle w:val="Heading"/>
        <w:jc w:val="center"/>
        <w:rPr/>
      </w:pPr>
      <w:r>
        <w:rPr/>
      </w:r>
    </w:p>
    <w:p>
      <w:pPr>
        <w:pStyle w:val="Heading"/>
        <w:jc w:val="center"/>
        <w:rPr/>
      </w:pPr>
      <w:r>
        <w:rPr/>
        <w:t xml:space="preserve">Ионный обмен </w:t>
      </w:r>
    </w:p>
    <w:p>
      <w:pPr>
        <w:pStyle w:val="Normal"/>
        <w:ind w:firstLine="270"/>
        <w:jc w:val="both"/>
        <w:rPr/>
      </w:pPr>
      <w:r>
        <w:rPr/>
      </w:r>
    </w:p>
    <w:p>
      <w:pPr>
        <w:pStyle w:val="Normal"/>
        <w:ind w:firstLine="270"/>
        <w:jc w:val="both"/>
        <w:rPr/>
      </w:pPr>
      <w:r>
        <w:rPr/>
      </w:r>
    </w:p>
    <w:p>
      <w:pPr>
        <w:pStyle w:val="Normal"/>
        <w:ind w:firstLine="225"/>
        <w:jc w:val="both"/>
        <w:rPr/>
      </w:pPr>
      <w:r>
        <w:rPr/>
        <w:t>1. Обессоливание воды ионным обменом следует производить при общем солесодержании воды до 1500-2000 мг/л и суммарном содержании хлоридов и сульфатов не более 5 мг-экв/л.</w:t>
      </w:r>
    </w:p>
    <w:p>
      <w:pPr>
        <w:pStyle w:val="Normal"/>
        <w:ind w:firstLine="225"/>
        <w:jc w:val="both"/>
        <w:rPr/>
      </w:pPr>
      <w:r>
        <w:rPr/>
      </w:r>
    </w:p>
    <w:p>
      <w:pPr>
        <w:pStyle w:val="Normal"/>
        <w:ind w:firstLine="225"/>
        <w:jc w:val="both"/>
        <w:rPr/>
      </w:pPr>
      <w:r>
        <w:rPr/>
        <w:t>Вода, подаваемая на ионитные фильтры, должна содержать, не более: взвешенных веществ -  8 мг/л, цветность -  30° и перманганатную окисляемость - 7 мг О/л.</w:t>
      </w:r>
    </w:p>
    <w:p>
      <w:pPr>
        <w:pStyle w:val="Normal"/>
        <w:ind w:firstLine="225"/>
        <w:jc w:val="both"/>
        <w:rPr/>
      </w:pPr>
      <w:r>
        <w:rPr/>
      </w:r>
    </w:p>
    <w:p>
      <w:pPr>
        <w:pStyle w:val="Normal"/>
        <w:ind w:firstLine="225"/>
        <w:jc w:val="both"/>
        <w:rPr/>
      </w:pPr>
      <w:r>
        <w:rPr/>
        <w:t>Вода, не отвечающая этим требованиям, должна предварительно обрабатываться.</w:t>
      </w:r>
    </w:p>
    <w:p>
      <w:pPr>
        <w:pStyle w:val="Normal"/>
        <w:ind w:firstLine="225"/>
        <w:jc w:val="both"/>
        <w:rPr/>
      </w:pPr>
      <w:r>
        <w:rPr/>
      </w:r>
    </w:p>
    <w:p>
      <w:pPr>
        <w:pStyle w:val="Normal"/>
        <w:ind w:firstLine="225"/>
        <w:jc w:val="both"/>
        <w:rPr/>
      </w:pPr>
      <w:r>
        <w:rPr/>
        <w:t>2. Обессоливание воды ионным обменом по одноступенчатой схеме надлежит предусматривать последовательным фильтрованием через водород-катионит и слабоосновный анионит с последующим удалением двуокиси углерода из воды на дегазаторах.</w:t>
      </w:r>
    </w:p>
    <w:p>
      <w:pPr>
        <w:pStyle w:val="Normal"/>
        <w:ind w:firstLine="225"/>
        <w:jc w:val="both"/>
        <w:rPr/>
      </w:pPr>
      <w:r>
        <w:rPr/>
      </w:r>
    </w:p>
    <w:p>
      <w:pPr>
        <w:pStyle w:val="Normal"/>
        <w:ind w:firstLine="225"/>
        <w:jc w:val="both"/>
        <w:rPr/>
      </w:pPr>
      <w:r>
        <w:rPr/>
        <w:t>Солесодержание воды, обработанной по одноступенчатой схеме, должно составлять не более 20 мг/л (удельная электропроводность - 35-45 мкОм/см), содержание кремния при этом не снижается.</w:t>
      </w:r>
    </w:p>
    <w:p>
      <w:pPr>
        <w:pStyle w:val="Normal"/>
        <w:ind w:firstLine="225"/>
        <w:jc w:val="both"/>
        <w:rPr/>
      </w:pPr>
      <w:r>
        <w:rPr/>
      </w:r>
    </w:p>
    <w:p>
      <w:pPr>
        <w:pStyle w:val="Normal"/>
        <w:ind w:firstLine="225"/>
        <w:jc w:val="both"/>
        <w:rPr/>
      </w:pPr>
      <w:r>
        <w:rPr/>
        <w:t>3. При двухступенчатой схеме обессоливания воды следует предусматривать: водород-катионитные фильтры первой ступени; анионитные фильтры первой ступени, загруженные слабоосновным анионитом; водород-катионитные фильтры второй ступени; дегазаторы для удаления двуокиси углерода; анионитные фильтры второй ступени, загруженные сильноосновным анионитом для удаления кремниевой кислоты.</w:t>
      </w:r>
    </w:p>
    <w:p>
      <w:pPr>
        <w:pStyle w:val="Normal"/>
        <w:ind w:firstLine="225"/>
        <w:jc w:val="both"/>
        <w:rPr/>
      </w:pPr>
      <w:r>
        <w:rPr/>
      </w:r>
    </w:p>
    <w:p>
      <w:pPr>
        <w:pStyle w:val="Normal"/>
        <w:ind w:firstLine="225"/>
        <w:jc w:val="both"/>
        <w:rPr/>
      </w:pPr>
      <w:r>
        <w:rPr/>
        <w:t>Солесодержание воды, обработанной по двухступенчатой схеме, должно быть не более 0,5 мг/л (удельная электропроводность 1,6 - 1,8 мкОм/см) и содержание кремнекислоты - не более 0,1 мг/л.</w:t>
      </w:r>
    </w:p>
    <w:p>
      <w:pPr>
        <w:pStyle w:val="Normal"/>
        <w:ind w:firstLine="225"/>
        <w:jc w:val="both"/>
        <w:rPr/>
      </w:pPr>
      <w:r>
        <w:rPr/>
      </w:r>
    </w:p>
    <w:p>
      <w:pPr>
        <w:pStyle w:val="Normal"/>
        <w:ind w:firstLine="225"/>
        <w:jc w:val="both"/>
        <w:rPr/>
      </w:pPr>
      <w:r>
        <w:rPr/>
        <w:t>4. При трехступенчатой схеме обессоливания воды, в дополнение к схеме по п. 3, надлежит предусматривать третью ступень фильтров со смешанной загрузкой, состоящей из высококислотного катионита и высокоосновного анионита (ФСД).</w:t>
      </w:r>
    </w:p>
    <w:p>
      <w:pPr>
        <w:pStyle w:val="Normal"/>
        <w:ind w:firstLine="225"/>
        <w:jc w:val="both"/>
        <w:rPr/>
      </w:pPr>
      <w:r>
        <w:rPr/>
      </w:r>
    </w:p>
    <w:p>
      <w:pPr>
        <w:pStyle w:val="Normal"/>
        <w:ind w:firstLine="225"/>
        <w:jc w:val="both"/>
        <w:rPr/>
      </w:pPr>
      <w:r>
        <w:rPr/>
        <w:t>Солесодержание воды, обработанной по трехступенчатой схеме, не должно превышать 0,1 мг/л (удельная электропроводность 0,3 - 0,4 мкОм/см) и содержание кремнекислоты не более 0,02 мг/л.</w:t>
      </w:r>
    </w:p>
    <w:p>
      <w:pPr>
        <w:pStyle w:val="Normal"/>
        <w:ind w:firstLine="225"/>
        <w:jc w:val="both"/>
        <w:rPr/>
      </w:pPr>
      <w:r>
        <w:rPr/>
      </w:r>
    </w:p>
    <w:p>
      <w:pPr>
        <w:pStyle w:val="Normal"/>
        <w:ind w:firstLine="225"/>
        <w:jc w:val="both"/>
        <w:rPr/>
      </w:pPr>
      <w:r>
        <w:rPr/>
        <w:t>5. Водород-катионитные фильтры первой ступени следует рассчитывать согласно указаниям пп. 26, 27 прил. 7, дегазаторы - п. 34 прил. 7.</w:t>
      </w:r>
    </w:p>
    <w:p>
      <w:pPr>
        <w:pStyle w:val="Normal"/>
        <w:ind w:firstLine="225"/>
        <w:jc w:val="both"/>
        <w:rPr/>
      </w:pPr>
      <w:r>
        <w:rPr/>
      </w:r>
    </w:p>
    <w:p>
      <w:pPr>
        <w:pStyle w:val="Normal"/>
        <w:ind w:firstLine="225"/>
        <w:jc w:val="both"/>
        <w:rPr/>
      </w:pPr>
      <w:r>
        <w:rPr/>
        <w:t>При обосновании водород-катионитные фильтры первой ступени следует предусматривать с противоточной регенерацией или по схеме ступенчато-противоточного ионирования.</w:t>
      </w:r>
    </w:p>
    <w:p>
      <w:pPr>
        <w:pStyle w:val="Normal"/>
        <w:ind w:firstLine="225"/>
        <w:jc w:val="both"/>
        <w:rPr/>
      </w:pPr>
      <w:r>
        <w:rPr/>
      </w:r>
    </w:p>
    <w:p>
      <w:pPr>
        <w:pStyle w:val="Normal"/>
        <w:ind w:firstLine="225"/>
        <w:jc w:val="both"/>
        <w:rPr/>
      </w:pPr>
      <w:r>
        <w:rPr/>
        <w:t>6. Для водород-катионитных фильтров второй ступени надлежит принимать: скорость фильтрования до 50 м/ч; высоту слоя катионита - 1,5 м; удельный расход 100 %-ной серной кислоты - 100 г на 1 г-экв поглощенных катионов; емкость поглощения сульфоугля - 200 г-экв/куб.м; катионита КУ-2 - 400-500 г-экв/куб.м; расход воды на отмывку катионита после регенерации - 10 куб.м на 1 куб.м катионита. Отмывку следует производить водой, прошедшей через анионитные фильтры первой ступени.</w:t>
      </w:r>
    </w:p>
    <w:p>
      <w:pPr>
        <w:pStyle w:val="Normal"/>
        <w:ind w:firstLine="225"/>
        <w:jc w:val="both"/>
        <w:rPr/>
      </w:pPr>
      <w:r>
        <w:rPr/>
      </w:r>
    </w:p>
    <w:p>
      <w:pPr>
        <w:pStyle w:val="Normal"/>
        <w:ind w:firstLine="225"/>
        <w:jc w:val="both"/>
        <w:rPr/>
      </w:pPr>
      <w:r>
        <w:rPr/>
        <w:t xml:space="preserve">Воду для отмывки катионитных фильтров второй ступени следует использовать для взрыхления водород-катионитных фильтров первой ступени и приготовления для них регенерационного раствора. </w:t>
      </w:r>
    </w:p>
    <w:p>
      <w:pPr>
        <w:pStyle w:val="Normal"/>
        <w:ind w:firstLine="225"/>
        <w:jc w:val="both"/>
        <w:rPr/>
      </w:pPr>
      <w:r>
        <w:rPr/>
      </w:r>
    </w:p>
    <w:p>
      <w:pPr>
        <w:pStyle w:val="Normal"/>
        <w:ind w:firstLine="225"/>
        <w:jc w:val="both"/>
        <w:rPr/>
      </w:pPr>
      <w:r>
        <w:rPr/>
        <w:t>Продолжительность регенерации и отмывки водород-катионитных фильтров второй ступени следует принимать 2,5-3 ч.</w:t>
      </w:r>
    </w:p>
    <w:p>
      <w:pPr>
        <w:pStyle w:val="Normal"/>
        <w:ind w:firstLine="225"/>
        <w:jc w:val="both"/>
        <w:rPr/>
      </w:pPr>
      <w:r>
        <w:rPr/>
      </w:r>
    </w:p>
    <w:p>
      <w:pPr>
        <w:pStyle w:val="Normal"/>
        <w:ind w:firstLine="225"/>
        <w:jc w:val="both"/>
        <w:rPr/>
      </w:pPr>
      <w:r>
        <w:rPr/>
        <w:t>7. Площадь фильтрования F(1), кв.м, анионитных фильтров первой ступени следует определять по формуле</w:t>
      </w:r>
    </w:p>
    <w:p>
      <w:pPr>
        <w:pStyle w:val="Normal"/>
        <w:ind w:firstLine="225"/>
        <w:jc w:val="both"/>
        <w:rPr/>
      </w:pPr>
      <w:r>
        <w:rPr/>
      </w:r>
    </w:p>
    <w:p>
      <w:pPr>
        <w:pStyle w:val="Normal"/>
        <w:ind w:firstLine="225"/>
        <w:jc w:val="both"/>
        <w:rPr/>
      </w:pPr>
      <w:r>
        <w:rPr/>
      </w:r>
    </w:p>
    <w:p>
      <w:pPr>
        <w:pStyle w:val="Normal"/>
        <w:ind w:firstLine="225"/>
        <w:jc w:val="both"/>
        <w:rPr/>
      </w:pPr>
      <w:r>
        <w:rPr/>
      </w:r>
    </w:p>
    <w:p>
      <w:pPr>
        <w:pStyle w:val="Normal"/>
        <w:ind w:firstLine="1395"/>
        <w:jc w:val="both"/>
        <w:rPr/>
      </w:pPr>
      <w:r>
        <w:rPr/>
        <w:drawing>
          <wp:inline distT="0" distB="0" distL="0" distR="0">
            <wp:extent cx="3260090" cy="207645"/>
            <wp:effectExtent l="0" t="0" r="0" b="0"/>
            <wp:docPr id="310" name="Изображение3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Изображение310" descr="" title=""/>
                    <pic:cNvPicPr>
                      <a:picLocks noChangeAspect="1" noChangeArrowheads="1"/>
                    </pic:cNvPicPr>
                  </pic:nvPicPr>
                  <pic:blipFill>
                    <a:blip r:embed="rId311"/>
                    <a:stretch>
                      <a:fillRect/>
                    </a:stretch>
                  </pic:blipFill>
                  <pic:spPr bwMode="auto">
                    <a:xfrm>
                      <a:off x="0" y="0"/>
                      <a:ext cx="3260090" cy="207645"/>
                    </a:xfrm>
                    <a:prstGeom prst="rect">
                      <a:avLst/>
                    </a:prstGeom>
                  </pic:spPr>
                </pic:pic>
              </a:graphicData>
            </a:graphic>
          </wp:inline>
        </w:drawing>
      </w:r>
    </w:p>
    <w:p>
      <w:pPr>
        <w:pStyle w:val="Normal"/>
        <w:ind w:firstLine="1395"/>
        <w:jc w:val="both"/>
        <w:rPr/>
      </w:pPr>
      <w:r>
        <w:rPr/>
        <w:tab/>
        <w:tab/>
        <w:tab/>
      </w:r>
    </w:p>
    <w:p>
      <w:pPr>
        <w:pStyle w:val="Normal"/>
        <w:ind w:firstLine="270"/>
        <w:jc w:val="both"/>
        <w:rPr/>
      </w:pPr>
      <w:r>
        <w:rPr/>
      </w:r>
    </w:p>
    <w:p>
      <w:pPr>
        <w:pStyle w:val="Normal"/>
        <w:ind w:firstLine="270"/>
        <w:jc w:val="both"/>
        <w:rPr/>
      </w:pPr>
      <w:r>
        <w:rPr/>
        <w:t>где Q(1) - производительность анионитных фильтров первой ступени, включая расход воды на собственные нужды последующих ступеней установки, куб.м/сут;</w:t>
      </w:r>
    </w:p>
    <w:p>
      <w:pPr>
        <w:pStyle w:val="Normal"/>
        <w:ind w:firstLine="180"/>
        <w:jc w:val="both"/>
        <w:rPr/>
      </w:pPr>
      <w:r>
        <w:rPr/>
      </w:r>
    </w:p>
    <w:p>
      <w:pPr>
        <w:pStyle w:val="Normal"/>
        <w:ind w:firstLine="315"/>
        <w:jc w:val="both"/>
        <w:rPr/>
      </w:pPr>
      <w:r>
        <w:rPr/>
        <w:t>n(p) - число регенераций анионитных фильтров первой ступени в сутки, принимаемое 1-2;</w:t>
      </w:r>
    </w:p>
    <w:p>
      <w:pPr>
        <w:pStyle w:val="Normal"/>
        <w:ind w:firstLine="315"/>
        <w:jc w:val="both"/>
        <w:rPr/>
      </w:pPr>
      <w:r>
        <w:rPr/>
      </w:r>
    </w:p>
    <w:p>
      <w:pPr>
        <w:pStyle w:val="Normal"/>
        <w:ind w:firstLine="225"/>
        <w:jc w:val="both"/>
        <w:rPr/>
      </w:pPr>
      <w:r>
        <w:rPr/>
        <w:t>v(1)- расчетная скорость фильтрования, м/ч, принимаемая не менее 4 и не более 30;</w:t>
      </w:r>
    </w:p>
    <w:p>
      <w:pPr>
        <w:pStyle w:val="Normal"/>
        <w:ind w:firstLine="225"/>
        <w:jc w:val="both"/>
        <w:rPr/>
      </w:pPr>
      <w:r>
        <w:rPr/>
      </w:r>
    </w:p>
    <w:p>
      <w:pPr>
        <w:pStyle w:val="Normal"/>
        <w:ind w:firstLine="225"/>
        <w:jc w:val="both"/>
        <w:rPr/>
      </w:pPr>
      <w:r>
        <w:rPr/>
        <w:t xml:space="preserve">T(1) -  продолжительность работы каждого фильтра, ч, между регенерациями, определяемая по формуле     </w:t>
      </w:r>
    </w:p>
    <w:tbl>
      <w:tblPr>
        <w:tblW w:w="3240" w:type="dxa"/>
        <w:jc w:val="start"/>
        <w:tblInd w:w="165" w:type="dxa"/>
        <w:tblBorders/>
        <w:tblCellMar>
          <w:top w:w="0" w:type="dxa"/>
          <w:start w:w="15" w:type="dxa"/>
          <w:bottom w:w="0" w:type="dxa"/>
          <w:end w:w="15" w:type="dxa"/>
        </w:tblCellMar>
      </w:tblPr>
      <w:tblGrid>
        <w:gridCol w:w="1560"/>
        <w:gridCol w:w="1680"/>
      </w:tblGrid>
      <w:tr>
        <w:trPr/>
        <w:tc>
          <w:tcPr>
            <w:tcW w:w="1560" w:type="dxa"/>
            <w:tcBorders/>
            <w:shd w:fill="auto" w:val="clear"/>
          </w:tcPr>
          <w:p>
            <w:pPr>
              <w:pStyle w:val="Normal"/>
              <w:rPr/>
            </w:pPr>
            <w:r>
              <w:rPr>
                <w:vanish/>
              </w:rPr>
              <w:t>#G0</w:t>
            </w:r>
            <w:r>
              <w:rPr/>
              <w:t xml:space="preserve">  </w:t>
            </w:r>
          </w:p>
          <w:p>
            <w:pPr>
              <w:pStyle w:val="Normal"/>
              <w:rPr/>
            </w:pPr>
            <w:r>
              <w:rPr/>
              <w:drawing>
                <wp:inline distT="0" distB="0" distL="0" distR="0">
                  <wp:extent cx="1071245" cy="253365"/>
                  <wp:effectExtent l="0" t="0" r="0" b="0"/>
                  <wp:docPr id="311" name="Изображение3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Изображение311" descr="" title=""/>
                          <pic:cNvPicPr>
                            <a:picLocks noChangeAspect="1" noChangeArrowheads="1"/>
                          </pic:cNvPicPr>
                        </pic:nvPicPr>
                        <pic:blipFill>
                          <a:blip r:embed="rId312"/>
                          <a:stretch>
                            <a:fillRect/>
                          </a:stretch>
                        </pic:blipFill>
                        <pic:spPr bwMode="auto">
                          <a:xfrm>
                            <a:off x="0" y="0"/>
                            <a:ext cx="1071245" cy="253365"/>
                          </a:xfrm>
                          <a:prstGeom prst="rect">
                            <a:avLst/>
                          </a:prstGeom>
                        </pic:spPr>
                      </pic:pic>
                    </a:graphicData>
                  </a:graphic>
                </wp:inline>
              </w:drawing>
            </w:r>
          </w:p>
        </w:tc>
        <w:tc>
          <w:tcPr>
            <w:tcW w:w="1680" w:type="dxa"/>
            <w:tcBorders/>
            <w:shd w:fill="auto" w:val="clear"/>
          </w:tcPr>
          <w:p>
            <w:pPr>
              <w:pStyle w:val="Normal"/>
              <w:snapToGrid w:val="false"/>
              <w:rPr/>
            </w:pPr>
            <w:r>
              <w:rPr/>
            </w:r>
          </w:p>
          <w:p>
            <w:pPr>
              <w:pStyle w:val="Normal"/>
              <w:rPr/>
            </w:pPr>
            <w:r>
              <w:rPr/>
              <w:t xml:space="preserve">                       </w:t>
            </w:r>
            <w:r>
              <w:rPr/>
              <w:t>(2)</w:t>
            </w:r>
          </w:p>
          <w:p>
            <w:pPr>
              <w:pStyle w:val="Normal"/>
              <w:rPr/>
            </w:pPr>
            <w:r>
              <w:rPr/>
            </w:r>
          </w:p>
        </w:tc>
      </w:tr>
    </w:tbl>
    <w:p>
      <w:pPr>
        <w:pStyle w:val="Normal"/>
        <w:jc w:val="both"/>
        <w:rPr/>
      </w:pPr>
      <w:r>
        <w:rPr/>
      </w:r>
    </w:p>
    <w:tbl>
      <w:tblPr>
        <w:tblW w:w="8340" w:type="dxa"/>
        <w:jc w:val="start"/>
        <w:tblInd w:w="165" w:type="dxa"/>
        <w:tblBorders/>
        <w:tblCellMar>
          <w:top w:w="0" w:type="dxa"/>
          <w:start w:w="15" w:type="dxa"/>
          <w:bottom w:w="0" w:type="dxa"/>
          <w:end w:w="15" w:type="dxa"/>
        </w:tblCellMar>
      </w:tblPr>
      <w:tblGrid>
        <w:gridCol w:w="480"/>
        <w:gridCol w:w="690"/>
        <w:gridCol w:w="7170"/>
      </w:tblGrid>
      <w:tr>
        <w:trPr/>
        <w:tc>
          <w:tcPr>
            <w:tcW w:w="480" w:type="dxa"/>
            <w:tcBorders/>
            <w:shd w:fill="auto" w:val="clear"/>
          </w:tcPr>
          <w:p>
            <w:pPr>
              <w:pStyle w:val="Normal"/>
              <w:rPr/>
            </w:pPr>
            <w:r>
              <w:rPr>
                <w:vanish/>
              </w:rPr>
              <w:t>#G0</w:t>
            </w:r>
            <w:r>
              <w:rPr/>
              <w:t xml:space="preserve">           где </w:t>
            </w:r>
          </w:p>
          <w:p>
            <w:pPr>
              <w:pStyle w:val="Normal"/>
              <w:rPr/>
            </w:pPr>
            <w:r>
              <w:rPr/>
            </w:r>
          </w:p>
        </w:tc>
        <w:tc>
          <w:tcPr>
            <w:tcW w:w="690" w:type="dxa"/>
            <w:tcBorders/>
            <w:shd w:fill="auto" w:val="clear"/>
          </w:tcPr>
          <w:p>
            <w:pPr>
              <w:pStyle w:val="Normal"/>
              <w:rPr/>
            </w:pPr>
            <w:r>
              <w:rPr/>
              <w:t xml:space="preserve">  </w:t>
            </w:r>
          </w:p>
          <w:p>
            <w:pPr>
              <w:pStyle w:val="Normal"/>
              <w:rPr/>
            </w:pPr>
            <w:r>
              <w:rPr/>
              <w:drawing>
                <wp:inline distT="0" distB="0" distL="0" distR="0">
                  <wp:extent cx="161290" cy="230505"/>
                  <wp:effectExtent l="0" t="0" r="0" b="0"/>
                  <wp:docPr id="312" name="Изображение3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Изображение312" descr="" title=""/>
                          <pic:cNvPicPr>
                            <a:picLocks noChangeAspect="1" noChangeArrowheads="1"/>
                          </pic:cNvPicPr>
                        </pic:nvPicPr>
                        <pic:blipFill>
                          <a:blip r:embed="rId313"/>
                          <a:stretch>
                            <a:fillRect/>
                          </a:stretch>
                        </pic:blipFill>
                        <pic:spPr bwMode="auto">
                          <a:xfrm>
                            <a:off x="0" y="0"/>
                            <a:ext cx="161290" cy="230505"/>
                          </a:xfrm>
                          <a:prstGeom prst="rect">
                            <a:avLst/>
                          </a:prstGeom>
                        </pic:spPr>
                      </pic:pic>
                    </a:graphicData>
                  </a:graphic>
                </wp:inline>
              </w:drawing>
            </w:r>
          </w:p>
        </w:tc>
        <w:tc>
          <w:tcPr>
            <w:tcW w:w="7170" w:type="dxa"/>
            <w:tcBorders/>
            <w:shd w:fill="auto" w:val="clear"/>
          </w:tcPr>
          <w:p>
            <w:pPr>
              <w:pStyle w:val="Normal"/>
              <w:snapToGrid w:val="false"/>
              <w:rPr/>
            </w:pPr>
            <w:r>
              <w:rPr/>
            </w:r>
          </w:p>
          <w:p>
            <w:pPr>
              <w:pStyle w:val="Normal"/>
              <w:rPr/>
            </w:pPr>
            <w:r>
              <w:rPr/>
              <w:t xml:space="preserve">  </w:t>
            </w:r>
            <w:r>
              <w:rPr/>
              <w:t xml:space="preserve">- общая продолжительность всех операций по регенерации фильтров, </w:t>
            </w:r>
          </w:p>
          <w:p>
            <w:pPr>
              <w:pStyle w:val="Normal"/>
              <w:rPr/>
            </w:pPr>
            <w:r>
              <w:rPr/>
            </w:r>
          </w:p>
        </w:tc>
      </w:tr>
    </w:tbl>
    <w:p>
      <w:pPr>
        <w:pStyle w:val="Normal"/>
        <w:jc w:val="both"/>
        <w:rPr/>
      </w:pPr>
      <w:r>
        <w:rPr/>
        <w:t>принимаемая 5 ч (взрыхление 0,25 ч, регенерация  - 1,5 ч, отмывка анионита - 3-3,25 ч).</w:t>
      </w:r>
    </w:p>
    <w:p>
      <w:pPr>
        <w:pStyle w:val="Normal"/>
        <w:ind w:firstLine="135"/>
        <w:jc w:val="both"/>
        <w:rPr/>
      </w:pPr>
      <w:r>
        <w:rPr/>
      </w:r>
    </w:p>
    <w:p>
      <w:pPr>
        <w:pStyle w:val="Normal"/>
        <w:ind w:firstLine="225"/>
        <w:jc w:val="both"/>
        <w:rPr/>
      </w:pPr>
      <w:r>
        <w:rPr/>
        <w:t>Объем анионита в анионитных фильтрах первой ступени W(1) следует определять по формуле</w:t>
      </w:r>
    </w:p>
    <w:p>
      <w:pPr>
        <w:pStyle w:val="Normal"/>
        <w:ind w:firstLine="225"/>
        <w:jc w:val="both"/>
        <w:rPr/>
      </w:pPr>
      <w:r>
        <w:rPr/>
      </w:r>
    </w:p>
    <w:tbl>
      <w:tblPr>
        <w:tblW w:w="3030" w:type="dxa"/>
        <w:jc w:val="start"/>
        <w:tblInd w:w="165" w:type="dxa"/>
        <w:tblBorders/>
        <w:tblCellMar>
          <w:top w:w="0" w:type="dxa"/>
          <w:start w:w="15" w:type="dxa"/>
          <w:bottom w:w="0" w:type="dxa"/>
          <w:end w:w="15" w:type="dxa"/>
        </w:tblCellMar>
      </w:tblPr>
      <w:tblGrid>
        <w:gridCol w:w="1725"/>
        <w:gridCol w:w="1305"/>
      </w:tblGrid>
      <w:tr>
        <w:trPr/>
        <w:tc>
          <w:tcPr>
            <w:tcW w:w="1725" w:type="dxa"/>
            <w:tcBorders/>
            <w:shd w:fill="auto" w:val="clear"/>
          </w:tcPr>
          <w:p>
            <w:pPr>
              <w:pStyle w:val="Normal"/>
              <w:rPr/>
            </w:pPr>
            <w:r>
              <w:rPr>
                <w:vanish/>
              </w:rPr>
              <w:t>#G0</w:t>
            </w:r>
            <w:r>
              <w:rPr/>
              <w:t xml:space="preserve">  </w:t>
            </w:r>
          </w:p>
          <w:p>
            <w:pPr>
              <w:pStyle w:val="Normal"/>
              <w:rPr/>
            </w:pPr>
            <w:r>
              <w:rPr/>
              <w:drawing>
                <wp:inline distT="0" distB="0" distL="0" distR="0">
                  <wp:extent cx="1290320" cy="264795"/>
                  <wp:effectExtent l="0" t="0" r="0" b="0"/>
                  <wp:docPr id="313" name="Изображение3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Изображение313" descr="" title=""/>
                          <pic:cNvPicPr>
                            <a:picLocks noChangeAspect="1" noChangeArrowheads="1"/>
                          </pic:cNvPicPr>
                        </pic:nvPicPr>
                        <pic:blipFill>
                          <a:blip r:embed="rId314"/>
                          <a:stretch>
                            <a:fillRect/>
                          </a:stretch>
                        </pic:blipFill>
                        <pic:spPr bwMode="auto">
                          <a:xfrm>
                            <a:off x="0" y="0"/>
                            <a:ext cx="1290320" cy="264795"/>
                          </a:xfrm>
                          <a:prstGeom prst="rect">
                            <a:avLst/>
                          </a:prstGeom>
                        </pic:spPr>
                      </pic:pic>
                    </a:graphicData>
                  </a:graphic>
                </wp:inline>
              </w:drawing>
            </w:r>
          </w:p>
        </w:tc>
        <w:tc>
          <w:tcPr>
            <w:tcW w:w="1305" w:type="dxa"/>
            <w:tcBorders/>
            <w:shd w:fill="auto" w:val="clear"/>
          </w:tcPr>
          <w:p>
            <w:pPr>
              <w:pStyle w:val="Normal"/>
              <w:snapToGrid w:val="false"/>
              <w:rPr/>
            </w:pPr>
            <w:r>
              <w:rPr/>
            </w:r>
          </w:p>
          <w:p>
            <w:pPr>
              <w:pStyle w:val="Normal"/>
              <w:rPr/>
            </w:pPr>
            <w:r>
              <w:rPr/>
              <w:t xml:space="preserve">             </w:t>
            </w:r>
            <w:r>
              <w:rPr/>
              <w:t>(3)</w:t>
            </w:r>
          </w:p>
          <w:p>
            <w:pPr>
              <w:pStyle w:val="Normal"/>
              <w:rPr/>
            </w:pPr>
            <w:r>
              <w:rPr/>
            </w:r>
          </w:p>
        </w:tc>
      </w:tr>
    </w:tbl>
    <w:p>
      <w:pPr>
        <w:pStyle w:val="Normal"/>
        <w:jc w:val="both"/>
        <w:rPr/>
      </w:pPr>
      <w:r>
        <w:rPr/>
      </w:r>
    </w:p>
    <w:p>
      <w:pPr>
        <w:pStyle w:val="Normal"/>
        <w:ind w:firstLine="1395"/>
        <w:jc w:val="both"/>
        <w:rPr/>
      </w:pPr>
      <w:r>
        <w:rPr/>
      </w:r>
    </w:p>
    <w:p>
      <w:pPr>
        <w:pStyle w:val="Normal"/>
        <w:ind w:firstLine="1395"/>
        <w:jc w:val="both"/>
        <w:rPr/>
      </w:pPr>
      <w:r>
        <w:rPr/>
        <w:tab/>
        <w:tab/>
        <w:t xml:space="preserve">      </w:t>
      </w:r>
    </w:p>
    <w:p>
      <w:pPr>
        <w:pStyle w:val="Normal"/>
        <w:ind w:firstLine="1395"/>
        <w:jc w:val="both"/>
        <w:rPr/>
      </w:pPr>
      <w:r>
        <w:rPr/>
        <w:t>где С(o) - суммарное содержание сульфатных, хлоридных и нитратных ионов в исходной воде, г-экв/куб.м;</w:t>
      </w:r>
    </w:p>
    <w:p>
      <w:pPr>
        <w:pStyle w:val="Normal"/>
        <w:ind w:firstLine="180"/>
        <w:jc w:val="both"/>
        <w:rPr/>
      </w:pPr>
      <w:r>
        <w:rPr/>
      </w:r>
    </w:p>
    <w:p>
      <w:pPr>
        <w:pStyle w:val="Normal"/>
        <w:ind w:firstLine="225"/>
        <w:jc w:val="both"/>
        <w:rPr/>
      </w:pPr>
      <w:r>
        <w:rPr/>
        <w:t>Е(p) - рабочая обменная емкость анионита по анионам указанных сильных кислот, г-экв на 1 куб.м анионита, принимаемая по паспортным данным; при отсутствии таких данных для анионитов АН-31 и АВ-17 допускается принимать 600-700 г-экв/куб.м.</w:t>
      </w:r>
    </w:p>
    <w:p>
      <w:pPr>
        <w:pStyle w:val="Normal"/>
        <w:ind w:firstLine="225"/>
        <w:jc w:val="both"/>
        <w:rPr/>
      </w:pPr>
      <w:r>
        <w:rPr/>
      </w:r>
    </w:p>
    <w:p>
      <w:pPr>
        <w:pStyle w:val="Normal"/>
        <w:ind w:firstLine="225"/>
        <w:jc w:val="both"/>
        <w:rPr/>
      </w:pPr>
      <w:r>
        <w:rPr/>
        <w:t xml:space="preserve">8. Регенерацию анионитных фильтров первой ступени следует производить 4 %-ным раствором кальцинированной соды; удельный расход соды следует принимать 100 г    </w:t>
      </w:r>
    </w:p>
    <w:tbl>
      <w:tblPr>
        <w:tblW w:w="7845" w:type="dxa"/>
        <w:jc w:val="start"/>
        <w:tblInd w:w="15" w:type="dxa"/>
        <w:tblBorders/>
        <w:tblCellMar>
          <w:top w:w="0" w:type="dxa"/>
          <w:start w:w="15" w:type="dxa"/>
          <w:bottom w:w="0" w:type="dxa"/>
          <w:end w:w="15" w:type="dxa"/>
        </w:tblCellMar>
      </w:tblPr>
      <w:tblGrid>
        <w:gridCol w:w="1080"/>
        <w:gridCol w:w="6765"/>
      </w:tblGrid>
      <w:tr>
        <w:trPr/>
        <w:tc>
          <w:tcPr>
            <w:tcW w:w="1080" w:type="dxa"/>
            <w:tcBorders/>
            <w:shd w:fill="auto" w:val="clear"/>
          </w:tcPr>
          <w:p>
            <w:pPr>
              <w:pStyle w:val="Normal"/>
              <w:rPr/>
            </w:pPr>
            <w:r>
              <w:rPr>
                <w:vanish/>
              </w:rPr>
              <w:t>#G0</w:t>
            </w:r>
            <w:r>
              <w:rPr/>
              <w:t xml:space="preserve">  </w:t>
            </w:r>
          </w:p>
          <w:p>
            <w:pPr>
              <w:pStyle w:val="Normal"/>
              <w:rPr/>
            </w:pPr>
            <w:r>
              <w:rPr/>
              <w:drawing>
                <wp:inline distT="0" distB="0" distL="0" distR="0">
                  <wp:extent cx="495300" cy="207645"/>
                  <wp:effectExtent l="0" t="0" r="0" b="0"/>
                  <wp:docPr id="314" name="Изображение3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Изображение314" descr="" title=""/>
                          <pic:cNvPicPr>
                            <a:picLocks noChangeAspect="1" noChangeArrowheads="1"/>
                          </pic:cNvPicPr>
                        </pic:nvPicPr>
                        <pic:blipFill>
                          <a:blip r:embed="rId315"/>
                          <a:stretch>
                            <a:fillRect/>
                          </a:stretch>
                        </pic:blipFill>
                        <pic:spPr bwMode="auto">
                          <a:xfrm>
                            <a:off x="0" y="0"/>
                            <a:ext cx="495300" cy="207645"/>
                          </a:xfrm>
                          <a:prstGeom prst="rect">
                            <a:avLst/>
                          </a:prstGeom>
                        </pic:spPr>
                      </pic:pic>
                    </a:graphicData>
                  </a:graphic>
                </wp:inline>
              </w:drawing>
            </w:r>
          </w:p>
        </w:tc>
        <w:tc>
          <w:tcPr>
            <w:tcW w:w="6765" w:type="dxa"/>
            <w:tcBorders/>
            <w:shd w:fill="auto" w:val="clear"/>
          </w:tcPr>
          <w:p>
            <w:pPr>
              <w:pStyle w:val="Normal"/>
              <w:rPr/>
            </w:pPr>
            <w:r>
              <w:rPr/>
              <w:t xml:space="preserve">  </w:t>
            </w:r>
          </w:p>
          <w:p>
            <w:pPr>
              <w:pStyle w:val="Normal"/>
              <w:ind w:firstLine="45"/>
              <w:jc w:val="both"/>
              <w:rPr/>
            </w:pPr>
            <w:r>
              <w:rPr/>
              <w:t>на 1 г-экв поглощенных анионов.</w:t>
            </w:r>
          </w:p>
          <w:p>
            <w:pPr>
              <w:pStyle w:val="Normal"/>
              <w:rPr/>
            </w:pPr>
            <w:r>
              <w:rPr/>
              <w:t xml:space="preserve">  </w:t>
            </w:r>
          </w:p>
          <w:p>
            <w:pPr>
              <w:pStyle w:val="Normal"/>
              <w:rPr/>
            </w:pPr>
            <w:r>
              <w:rPr/>
            </w:r>
          </w:p>
        </w:tc>
      </w:tr>
    </w:tbl>
    <w:p>
      <w:pPr>
        <w:pStyle w:val="Normal"/>
        <w:ind w:firstLine="225"/>
        <w:jc w:val="both"/>
        <w:rPr/>
      </w:pPr>
      <w:r>
        <w:rPr/>
        <w:t>В установках с анионитными фильтрами второй ступени, загруженными сильноосновным анионитом, допускается регенерировать анионитные фильтры первой ступени отработавшим раствором едкого натра после регенерации анионитных фильтров второй ступени.</w:t>
      </w:r>
    </w:p>
    <w:p>
      <w:pPr>
        <w:pStyle w:val="Normal"/>
        <w:ind w:firstLine="225"/>
        <w:jc w:val="both"/>
        <w:rPr/>
      </w:pPr>
      <w:r>
        <w:rPr/>
      </w:r>
    </w:p>
    <w:p>
      <w:pPr>
        <w:pStyle w:val="Normal"/>
        <w:ind w:firstLine="225"/>
        <w:jc w:val="both"/>
        <w:rPr/>
      </w:pPr>
      <w:r>
        <w:rPr/>
        <w:t>Регенерационные растворы соды и едкого натра следует приготовлять на водород-катионированной воде.</w:t>
      </w:r>
    </w:p>
    <w:p>
      <w:pPr>
        <w:pStyle w:val="Normal"/>
        <w:ind w:firstLine="225"/>
        <w:jc w:val="both"/>
        <w:rPr/>
      </w:pPr>
      <w:r>
        <w:rPr/>
      </w:r>
    </w:p>
    <w:p>
      <w:pPr>
        <w:pStyle w:val="Normal"/>
        <w:ind w:firstLine="225"/>
        <w:jc w:val="both"/>
        <w:rPr/>
      </w:pPr>
      <w:r>
        <w:rPr/>
        <w:t>Отмывку анионитных фильтров первой ступени после регенерации следует производить водород-катионированной водой при расходе 10 куб.м на 1 куб.м анионита.</w:t>
      </w:r>
    </w:p>
    <w:p>
      <w:pPr>
        <w:pStyle w:val="Normal"/>
        <w:ind w:firstLine="225"/>
        <w:jc w:val="both"/>
        <w:rPr/>
      </w:pPr>
      <w:r>
        <w:rPr/>
      </w:r>
    </w:p>
    <w:p>
      <w:pPr>
        <w:pStyle w:val="Normal"/>
        <w:ind w:firstLine="225"/>
        <w:jc w:val="both"/>
        <w:rPr/>
      </w:pPr>
      <w:r>
        <w:rPr/>
        <w:t xml:space="preserve">9. Загрузку анионитных фильтров второй ступени следует предусматривать сильноосновным анионитом с высотой слоя 1,5 м, скорость фильтрования надлежит принимать 15-25 м/ч. </w:t>
      </w:r>
    </w:p>
    <w:p>
      <w:pPr>
        <w:pStyle w:val="Normal"/>
        <w:ind w:firstLine="225"/>
        <w:jc w:val="both"/>
        <w:rPr/>
      </w:pPr>
      <w:r>
        <w:rPr/>
      </w:r>
    </w:p>
    <w:p>
      <w:pPr>
        <w:pStyle w:val="Normal"/>
        <w:ind w:firstLine="225"/>
        <w:jc w:val="both"/>
        <w:rPr/>
      </w:pPr>
      <w:r>
        <w:rPr/>
        <w:t>Кремнеемкость сильноосновного анионита следует принимать по паспортным данным или при их отсутствии по таблице.</w:t>
      </w:r>
    </w:p>
    <w:p>
      <w:pPr>
        <w:pStyle w:val="Normal"/>
        <w:ind w:firstLine="225"/>
        <w:jc w:val="both"/>
        <w:rPr/>
      </w:pPr>
      <w:r>
        <w:rPr/>
      </w:r>
    </w:p>
    <w:p>
      <w:pPr>
        <w:pStyle w:val="Normal"/>
        <w:ind w:firstLine="225"/>
        <w:jc w:val="both"/>
        <w:rPr/>
      </w:pPr>
      <w:r>
        <w:rPr/>
      </w:r>
    </w:p>
    <w:tbl>
      <w:tblPr>
        <w:tblW w:w="6665" w:type="dxa"/>
        <w:jc w:val="start"/>
        <w:tblInd w:w="30" w:type="dxa"/>
        <w:tblBorders>
          <w:top w:val="single" w:sz="2" w:space="0" w:color="000000"/>
          <w:start w:val="single" w:sz="2" w:space="0" w:color="000000"/>
        </w:tblBorders>
        <w:tblCellMar>
          <w:top w:w="0" w:type="dxa"/>
          <w:start w:w="27" w:type="dxa"/>
          <w:bottom w:w="0" w:type="dxa"/>
          <w:end w:w="30" w:type="dxa"/>
        </w:tblCellMar>
      </w:tblPr>
      <w:tblGrid>
        <w:gridCol w:w="1725"/>
        <w:gridCol w:w="855"/>
        <w:gridCol w:w="990"/>
        <w:gridCol w:w="900"/>
        <w:gridCol w:w="2195"/>
      </w:tblGrid>
      <w:tr>
        <w:trPr/>
        <w:tc>
          <w:tcPr>
            <w:tcW w:w="1725" w:type="dxa"/>
            <w:tcBorders>
              <w:top w:val="single" w:sz="2" w:space="0" w:color="000000"/>
              <w:start w:val="single" w:sz="2" w:space="0" w:color="000000"/>
            </w:tcBorders>
            <w:shd w:fill="auto" w:val="clear"/>
            <w:tcMar>
              <w:start w:w="27" w:type="dxa"/>
            </w:tcMar>
          </w:tcPr>
          <w:p>
            <w:pPr>
              <w:pStyle w:val="Normal"/>
              <w:jc w:val="center"/>
              <w:rPr>
                <w:vanish/>
              </w:rPr>
            </w:pPr>
            <w:r>
              <w:rPr>
                <w:vanish/>
              </w:rPr>
              <w:t>#G0</w:t>
            </w:r>
          </w:p>
          <w:p>
            <w:pPr>
              <w:pStyle w:val="Normal"/>
              <w:jc w:val="center"/>
              <w:rPr/>
            </w:pPr>
            <w:r>
              <w:rPr/>
              <w:t xml:space="preserve">Сильноосновный анионит </w:t>
            </w:r>
          </w:p>
          <w:p>
            <w:pPr>
              <w:pStyle w:val="Normal"/>
              <w:jc w:val="center"/>
              <w:rPr/>
            </w:pPr>
            <w:r>
              <w:rPr/>
            </w:r>
          </w:p>
        </w:tc>
        <w:tc>
          <w:tcPr>
            <w:tcW w:w="2745" w:type="dxa"/>
            <w:gridSpan w:val="3"/>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Кремнеемкость, г-экв/куб.м, при истощении анионита до "проскока" в фильтрат </w:t>
            </w:r>
          </w:p>
          <w:p>
            <w:pPr>
              <w:pStyle w:val="Normal"/>
              <w:rPr/>
            </w:pPr>
            <w:r>
              <w:rPr/>
              <w:drawing>
                <wp:inline distT="0" distB="0" distL="0" distR="0">
                  <wp:extent cx="403225" cy="207645"/>
                  <wp:effectExtent l="0" t="0" r="0" b="0"/>
                  <wp:docPr id="315" name="Изображение3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Изображение315" descr="" title=""/>
                          <pic:cNvPicPr>
                            <a:picLocks noChangeAspect="1" noChangeArrowheads="1"/>
                          </pic:cNvPicPr>
                        </pic:nvPicPr>
                        <pic:blipFill>
                          <a:blip r:embed="rId316"/>
                          <a:stretch>
                            <a:fillRect/>
                          </a:stretch>
                        </pic:blipFill>
                        <pic:spPr bwMode="auto">
                          <a:xfrm>
                            <a:off x="0" y="0"/>
                            <a:ext cx="403225" cy="207645"/>
                          </a:xfrm>
                          <a:prstGeom prst="rect">
                            <a:avLst/>
                          </a:prstGeom>
                        </pic:spPr>
                      </pic:pic>
                    </a:graphicData>
                  </a:graphic>
                </wp:inline>
              </w:drawing>
            </w:r>
            <w:r>
              <w:rPr/>
              <w:t xml:space="preserve">мг/л </w:t>
            </w:r>
          </w:p>
          <w:p>
            <w:pPr>
              <w:pStyle w:val="Normal"/>
              <w:rPr/>
            </w:pPr>
            <w:r>
              <w:rPr/>
            </w:r>
          </w:p>
        </w:tc>
        <w:tc>
          <w:tcPr>
            <w:tcW w:w="2195" w:type="dxa"/>
            <w:tcBorders>
              <w:top w:val="single" w:sz="2" w:space="0" w:color="000000"/>
              <w:start w:val="single" w:sz="2" w:space="0" w:color="000000"/>
              <w:end w:val="single" w:sz="2" w:space="0" w:color="000000"/>
              <w:insideV w:val="single" w:sz="2" w:space="0" w:color="000000"/>
            </w:tcBorders>
            <w:shd w:fill="auto" w:val="clear"/>
            <w:tcMar>
              <w:start w:w="27" w:type="dxa"/>
            </w:tcMar>
          </w:tcPr>
          <w:p>
            <w:pPr>
              <w:pStyle w:val="Normal"/>
              <w:rPr/>
            </w:pPr>
            <w:r>
              <w:rPr/>
              <w:t xml:space="preserve">Минимальное остаточное содержание </w:t>
            </w:r>
          </w:p>
          <w:p>
            <w:pPr>
              <w:pStyle w:val="Normal"/>
              <w:rPr/>
            </w:pPr>
            <w:r>
              <w:rPr/>
              <w:drawing>
                <wp:inline distT="0" distB="0" distL="0" distR="0">
                  <wp:extent cx="356870" cy="207645"/>
                  <wp:effectExtent l="0" t="0" r="0" b="0"/>
                  <wp:docPr id="316" name="Изображение3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Изображение316" descr="" title=""/>
                          <pic:cNvPicPr>
                            <a:picLocks noChangeAspect="1" noChangeArrowheads="1"/>
                          </pic:cNvPicPr>
                        </pic:nvPicPr>
                        <pic:blipFill>
                          <a:blip r:embed="rId317"/>
                          <a:stretch>
                            <a:fillRect/>
                          </a:stretch>
                        </pic:blipFill>
                        <pic:spPr bwMode="auto">
                          <a:xfrm>
                            <a:off x="0" y="0"/>
                            <a:ext cx="356870" cy="207645"/>
                          </a:xfrm>
                          <a:prstGeom prst="rect">
                            <a:avLst/>
                          </a:prstGeom>
                        </pic:spPr>
                      </pic:pic>
                    </a:graphicData>
                  </a:graphic>
                </wp:inline>
              </w:drawing>
            </w:r>
            <w:r>
              <w:rPr/>
              <w:t xml:space="preserve"> </w:t>
            </w:r>
            <w:r>
              <w:rPr/>
              <w:t>в фильтрате,</w:t>
            </w:r>
          </w:p>
          <w:p>
            <w:pPr>
              <w:pStyle w:val="Normal"/>
              <w:rPr/>
            </w:pPr>
            <w:r>
              <w:rPr/>
            </w:r>
          </w:p>
        </w:tc>
      </w:tr>
      <w:tr>
        <w:trPr/>
        <w:tc>
          <w:tcPr>
            <w:tcW w:w="172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  </w:t>
            </w:r>
          </w:p>
          <w:p>
            <w:pPr>
              <w:pStyle w:val="Normal"/>
              <w:rPr/>
            </w:pPr>
            <w:r>
              <w:rPr/>
            </w:r>
          </w:p>
        </w:tc>
        <w:tc>
          <w:tcPr>
            <w:tcW w:w="855" w:type="dxa"/>
            <w:tcBorders>
              <w:start w:val="single" w:sz="2" w:space="0" w:color="000000"/>
              <w:bottom w:val="single" w:sz="2" w:space="0" w:color="000000"/>
              <w:insideH w:val="single" w:sz="2" w:space="0" w:color="000000"/>
            </w:tcBorders>
            <w:shd w:fill="auto" w:val="clear"/>
            <w:tcMar>
              <w:start w:w="27" w:type="dxa"/>
            </w:tcMar>
          </w:tcPr>
          <w:p>
            <w:pPr>
              <w:pStyle w:val="Normal"/>
              <w:jc w:val="center"/>
              <w:rPr/>
            </w:pPr>
            <w:r>
              <w:rPr/>
              <w:t xml:space="preserve">0,1 </w:t>
            </w:r>
          </w:p>
          <w:p>
            <w:pPr>
              <w:pStyle w:val="Normal"/>
              <w:jc w:val="center"/>
              <w:rPr/>
            </w:pPr>
            <w:r>
              <w:rPr/>
            </w:r>
          </w:p>
        </w:tc>
        <w:tc>
          <w:tcPr>
            <w:tcW w:w="99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0,5 </w:t>
            </w:r>
          </w:p>
          <w:p>
            <w:pPr>
              <w:pStyle w:val="Normal"/>
              <w:rPr/>
            </w:pPr>
            <w:r>
              <w:rPr/>
            </w:r>
          </w:p>
        </w:tc>
        <w:tc>
          <w:tcPr>
            <w:tcW w:w="90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1 </w:t>
            </w:r>
          </w:p>
          <w:p>
            <w:pPr>
              <w:pStyle w:val="Normal"/>
              <w:rPr/>
            </w:pPr>
            <w:r>
              <w:rPr/>
            </w:r>
          </w:p>
        </w:tc>
        <w:tc>
          <w:tcPr>
            <w:tcW w:w="219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мг/л </w:t>
            </w:r>
          </w:p>
          <w:p>
            <w:pPr>
              <w:pStyle w:val="Normal"/>
              <w:rPr/>
            </w:pPr>
            <w:r>
              <w:rPr/>
            </w:r>
          </w:p>
        </w:tc>
      </w:tr>
      <w:tr>
        <w:trPr/>
        <w:tc>
          <w:tcPr>
            <w:tcW w:w="1725" w:type="dxa"/>
            <w:tcBorders>
              <w:start w:val="single" w:sz="2" w:space="0" w:color="000000"/>
              <w:bottom w:val="single" w:sz="2" w:space="0" w:color="000000"/>
              <w:insideH w:val="single" w:sz="2" w:space="0" w:color="000000"/>
            </w:tcBorders>
            <w:shd w:fill="auto" w:val="clear"/>
            <w:tcMar>
              <w:start w:w="27" w:type="dxa"/>
            </w:tcMar>
          </w:tcPr>
          <w:p>
            <w:pPr>
              <w:pStyle w:val="Normal"/>
              <w:snapToGrid w:val="false"/>
              <w:rPr/>
            </w:pPr>
            <w:r>
              <w:rPr/>
            </w:r>
          </w:p>
          <w:p>
            <w:pPr>
              <w:pStyle w:val="Normal"/>
              <w:rPr/>
            </w:pPr>
            <w:r>
              <w:rPr/>
              <w:t>АВ-17</w:t>
            </w:r>
          </w:p>
          <w:p>
            <w:pPr>
              <w:pStyle w:val="Normal"/>
              <w:rPr/>
            </w:pPr>
            <w:r>
              <w:rPr/>
            </w:r>
          </w:p>
          <w:p>
            <w:pPr>
              <w:pStyle w:val="Normal"/>
              <w:rPr/>
            </w:pPr>
            <w:r>
              <w:rPr/>
            </w:r>
          </w:p>
        </w:tc>
        <w:tc>
          <w:tcPr>
            <w:tcW w:w="855" w:type="dxa"/>
            <w:tcBorders>
              <w:start w:val="single" w:sz="2" w:space="0" w:color="000000"/>
              <w:bottom w:val="single" w:sz="2" w:space="0" w:color="000000"/>
              <w:insideH w:val="single" w:sz="2" w:space="0" w:color="000000"/>
            </w:tcBorders>
            <w:shd w:fill="auto" w:val="clear"/>
            <w:tcMar>
              <w:start w:w="27" w:type="dxa"/>
            </w:tcMar>
          </w:tcPr>
          <w:p>
            <w:pPr>
              <w:pStyle w:val="Normal"/>
              <w:snapToGrid w:val="false"/>
              <w:rPr/>
            </w:pPr>
            <w:r>
              <w:rPr/>
            </w:r>
          </w:p>
          <w:p>
            <w:pPr>
              <w:pStyle w:val="Normal"/>
              <w:rPr/>
            </w:pPr>
            <w:r>
              <w:rPr/>
              <w:t xml:space="preserve">420 </w:t>
            </w:r>
          </w:p>
          <w:p>
            <w:pPr>
              <w:pStyle w:val="Normal"/>
              <w:rPr/>
            </w:pPr>
            <w:r>
              <w:rPr/>
            </w:r>
          </w:p>
        </w:tc>
        <w:tc>
          <w:tcPr>
            <w:tcW w:w="990" w:type="dxa"/>
            <w:tcBorders>
              <w:start w:val="single" w:sz="2" w:space="0" w:color="000000"/>
              <w:bottom w:val="single" w:sz="2" w:space="0" w:color="000000"/>
              <w:insideH w:val="single" w:sz="2" w:space="0" w:color="000000"/>
            </w:tcBorders>
            <w:shd w:fill="auto" w:val="clear"/>
            <w:tcMar>
              <w:start w:w="27" w:type="dxa"/>
            </w:tcMar>
          </w:tcPr>
          <w:p>
            <w:pPr>
              <w:pStyle w:val="Normal"/>
              <w:snapToGrid w:val="false"/>
              <w:rPr/>
            </w:pPr>
            <w:r>
              <w:rPr/>
            </w:r>
          </w:p>
          <w:p>
            <w:pPr>
              <w:pStyle w:val="Normal"/>
              <w:rPr/>
            </w:pPr>
            <w:r>
              <w:rPr/>
              <w:t xml:space="preserve">530 </w:t>
            </w:r>
          </w:p>
          <w:p>
            <w:pPr>
              <w:pStyle w:val="Normal"/>
              <w:rPr/>
            </w:pPr>
            <w:r>
              <w:rPr/>
            </w:r>
          </w:p>
        </w:tc>
        <w:tc>
          <w:tcPr>
            <w:tcW w:w="900" w:type="dxa"/>
            <w:tcBorders>
              <w:start w:val="single" w:sz="2" w:space="0" w:color="000000"/>
              <w:bottom w:val="single" w:sz="2" w:space="0" w:color="000000"/>
              <w:insideH w:val="single" w:sz="2" w:space="0" w:color="000000"/>
            </w:tcBorders>
            <w:shd w:fill="auto" w:val="clear"/>
            <w:tcMar>
              <w:start w:w="27" w:type="dxa"/>
            </w:tcMar>
          </w:tcPr>
          <w:p>
            <w:pPr>
              <w:pStyle w:val="Normal"/>
              <w:snapToGrid w:val="false"/>
              <w:rPr/>
            </w:pPr>
            <w:r>
              <w:rPr/>
            </w:r>
          </w:p>
          <w:p>
            <w:pPr>
              <w:pStyle w:val="Normal"/>
              <w:rPr/>
            </w:pPr>
            <w:r>
              <w:rPr/>
              <w:t xml:space="preserve">560 </w:t>
            </w:r>
          </w:p>
          <w:p>
            <w:pPr>
              <w:pStyle w:val="Normal"/>
              <w:rPr/>
            </w:pPr>
            <w:r>
              <w:rPr/>
            </w:r>
          </w:p>
        </w:tc>
        <w:tc>
          <w:tcPr>
            <w:tcW w:w="219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snapToGrid w:val="false"/>
              <w:rPr/>
            </w:pPr>
            <w:r>
              <w:rPr/>
            </w:r>
          </w:p>
          <w:p>
            <w:pPr>
              <w:pStyle w:val="Normal"/>
              <w:rPr/>
            </w:pPr>
            <w:r>
              <w:rPr/>
              <w:t xml:space="preserve">0,05 </w:t>
            </w:r>
          </w:p>
          <w:p>
            <w:pPr>
              <w:pStyle w:val="Normal"/>
              <w:rPr/>
            </w:pPr>
            <w:r>
              <w:rPr/>
            </w:r>
          </w:p>
        </w:tc>
      </w:tr>
    </w:tbl>
    <w:p>
      <w:pPr>
        <w:pStyle w:val="Normal"/>
        <w:ind w:firstLine="135"/>
        <w:jc w:val="both"/>
        <w:rPr/>
      </w:pPr>
      <w:r>
        <w:rPr/>
      </w:r>
    </w:p>
    <w:p>
      <w:pPr>
        <w:pStyle w:val="Normal"/>
        <w:ind w:firstLine="270"/>
        <w:jc w:val="both"/>
        <w:rPr/>
      </w:pPr>
      <w:r>
        <w:rPr/>
        <w:t>Регенерацию высокоосновного анионита в фильтрах второй ступени следует производить 4 %-ным раствором едкого натра. Удельный расход 100 %-ного едкого натра следует принимать 120-140 кг на 1 куб.м анионита.</w:t>
      </w:r>
    </w:p>
    <w:p>
      <w:pPr>
        <w:pStyle w:val="Normal"/>
        <w:ind w:firstLine="270"/>
        <w:jc w:val="both"/>
        <w:rPr/>
      </w:pPr>
      <w:r>
        <w:rPr/>
      </w:r>
    </w:p>
    <w:p>
      <w:pPr>
        <w:pStyle w:val="Normal"/>
        <w:ind w:firstLine="225"/>
        <w:jc w:val="both"/>
        <w:rPr/>
      </w:pPr>
      <w:r>
        <w:rPr/>
        <w:t>10. Для фильтров ФДС надлежит принимать: скорость фильтрования - 40-50 м/ч, высоту слоев катионита и анионита - 0,6 м каждый.</w:t>
      </w:r>
    </w:p>
    <w:p>
      <w:pPr>
        <w:pStyle w:val="Normal"/>
        <w:ind w:firstLine="225"/>
        <w:jc w:val="both"/>
        <w:rPr/>
      </w:pPr>
      <w:r>
        <w:rPr/>
      </w:r>
    </w:p>
    <w:p>
      <w:pPr>
        <w:pStyle w:val="Normal"/>
        <w:ind w:firstLine="225"/>
        <w:jc w:val="both"/>
        <w:rPr/>
      </w:pPr>
      <w:r>
        <w:rPr/>
        <w:t>Число фильтров должно быть не менее трех, из них два рабочих, третий - на регенерации или в резерве.</w:t>
      </w:r>
    </w:p>
    <w:p>
      <w:pPr>
        <w:pStyle w:val="Normal"/>
        <w:ind w:firstLine="225"/>
        <w:jc w:val="both"/>
        <w:rPr/>
      </w:pPr>
      <w:r>
        <w:rPr/>
      </w:r>
    </w:p>
    <w:p>
      <w:pPr>
        <w:pStyle w:val="Normal"/>
        <w:ind w:firstLine="225"/>
        <w:jc w:val="both"/>
        <w:rPr/>
      </w:pPr>
      <w:r>
        <w:rPr/>
        <w:t xml:space="preserve">Регенерацию фильтров ФДС надлежит предусматривать после фильтрования через загрузку 10-12 тыс. куб.м воды на 1 куб.м смеси ионитов. </w:t>
      </w:r>
    </w:p>
    <w:p>
      <w:pPr>
        <w:pStyle w:val="Normal"/>
        <w:ind w:firstLine="225"/>
        <w:jc w:val="both"/>
        <w:rPr/>
      </w:pPr>
      <w:r>
        <w:rPr/>
      </w:r>
    </w:p>
    <w:p>
      <w:pPr>
        <w:pStyle w:val="Normal"/>
        <w:ind w:firstLine="225"/>
        <w:jc w:val="both"/>
        <w:rPr/>
      </w:pPr>
      <w:r>
        <w:rPr/>
        <w:t>Расход 100 %-ной серной кислоты на регенерацию 1 куб.м катионита следует принимать 70 кг, 100 %-ного едкого натра на регенерацию 1 куб.м анионита  - 100 кг.</w:t>
      </w:r>
    </w:p>
    <w:p>
      <w:pPr>
        <w:pStyle w:val="Normal"/>
        <w:ind w:firstLine="225"/>
        <w:jc w:val="both"/>
        <w:rPr/>
      </w:pPr>
      <w:r>
        <w:rPr/>
      </w:r>
    </w:p>
    <w:p>
      <w:pPr>
        <w:pStyle w:val="Normal"/>
        <w:ind w:firstLine="225"/>
        <w:jc w:val="both"/>
        <w:rPr/>
      </w:pPr>
      <w:r>
        <w:rPr/>
        <w:t>11. В составе установок ионообменного обессоливания воды должна предусматриваться взаимная нейтрализация кислых и щелочных сточных вод от регенерации фильтров и при необходимости дополнительная после их смешения нейтрализация известью.</w:t>
      </w:r>
    </w:p>
    <w:p>
      <w:pPr>
        <w:pStyle w:val="Normal"/>
        <w:ind w:firstLine="225"/>
        <w:jc w:val="both"/>
        <w:rPr/>
      </w:pPr>
      <w:r>
        <w:rPr/>
      </w:r>
    </w:p>
    <w:p>
      <w:pPr>
        <w:pStyle w:val="Normal"/>
        <w:ind w:firstLine="225"/>
        <w:jc w:val="both"/>
        <w:rPr/>
      </w:pPr>
      <w:r>
        <w:rPr/>
        <w:t>При этом следует предусматривать не менее двух баков-нейтрализаторов вместимостью каждого, равной суточному количеству сточных вод. Следует предусматривать повторное использование воды от взрыхления и отмывки ионитов.</w:t>
      </w:r>
    </w:p>
    <w:p>
      <w:pPr>
        <w:pStyle w:val="Normal"/>
        <w:ind w:firstLine="225"/>
        <w:jc w:val="both"/>
        <w:rPr/>
      </w:pPr>
      <w:r>
        <w:rPr/>
      </w:r>
    </w:p>
    <w:p>
      <w:pPr>
        <w:pStyle w:val="Normal"/>
        <w:ind w:firstLine="225"/>
        <w:jc w:val="both"/>
        <w:rPr/>
      </w:pPr>
      <w:r>
        <w:rPr/>
        <w:t>Нейтрализованные сточные воды от регенерации ионитных фильтров в зависимости от местных условий следует направлять в бытовую или производственную канализацию или в накопители.</w:t>
      </w:r>
    </w:p>
    <w:p>
      <w:pPr>
        <w:pStyle w:val="Normal"/>
        <w:ind w:firstLine="225"/>
        <w:jc w:val="both"/>
        <w:rPr/>
      </w:pPr>
      <w:r>
        <w:rPr/>
      </w:r>
    </w:p>
    <w:p>
      <w:pPr>
        <w:pStyle w:val="Heading"/>
        <w:jc w:val="center"/>
        <w:rPr/>
      </w:pPr>
      <w:r>
        <w:rPr/>
      </w:r>
    </w:p>
    <w:p>
      <w:pPr>
        <w:pStyle w:val="Heading"/>
        <w:jc w:val="center"/>
        <w:rPr/>
      </w:pPr>
      <w:r>
        <w:rPr/>
        <w:t xml:space="preserve">Электродиализ </w:t>
      </w:r>
    </w:p>
    <w:p>
      <w:pPr>
        <w:pStyle w:val="Normal"/>
        <w:ind w:firstLine="270"/>
        <w:jc w:val="both"/>
        <w:rPr/>
      </w:pPr>
      <w:r>
        <w:rPr/>
      </w:r>
    </w:p>
    <w:p>
      <w:pPr>
        <w:pStyle w:val="Normal"/>
        <w:ind w:firstLine="270"/>
        <w:jc w:val="both"/>
        <w:rPr/>
      </w:pPr>
      <w:r>
        <w:rPr/>
      </w:r>
    </w:p>
    <w:p>
      <w:pPr>
        <w:pStyle w:val="Normal"/>
        <w:ind w:firstLine="225"/>
        <w:jc w:val="both"/>
        <w:rPr/>
      </w:pPr>
      <w:r>
        <w:rPr/>
        <w:t>12. Метод электродиализа (электрохимический) надлежит применять при опреснении подземных и поверхностных вод с содержанием солей от 1500 до 7000 мг/л для получения воды с содержанием солей не ниже 500 мг/л. При необходимости получения воды с меньшим солесодержанием после электродиализной установки следует предусматривать обессоливание воды ионным обменом. В отдельных случаях при обосновании электродиализ допускается применять для опреснения вод с содержанием солей до 10000-15000 мг/л.</w:t>
      </w:r>
    </w:p>
    <w:p>
      <w:pPr>
        <w:pStyle w:val="Normal"/>
        <w:ind w:firstLine="225"/>
        <w:jc w:val="both"/>
        <w:rPr/>
      </w:pPr>
      <w:r>
        <w:rPr/>
      </w:r>
    </w:p>
    <w:p>
      <w:pPr>
        <w:pStyle w:val="Normal"/>
        <w:ind w:firstLine="225"/>
        <w:jc w:val="both"/>
        <w:rPr/>
      </w:pPr>
      <w:r>
        <w:rPr/>
        <w:t>13. Вода, подаваемая на электродиализные опреснительные установки, должна содержать, не более: взвешенных веществ - 1,5 мг/л; цветность - 20 град.; перманганатную окисляемость -  5 мг О/л; железа -  0,05 мг/л; марганца -0,05 мг/л; боратов, считая по ВО(2) -  3 мг/л; брома - 0,4 мг/л.</w:t>
      </w:r>
    </w:p>
    <w:p>
      <w:pPr>
        <w:pStyle w:val="Normal"/>
        <w:ind w:firstLine="225"/>
        <w:jc w:val="both"/>
        <w:rPr/>
      </w:pPr>
      <w:r>
        <w:rPr/>
      </w:r>
    </w:p>
    <w:p>
      <w:pPr>
        <w:pStyle w:val="Normal"/>
        <w:ind w:firstLine="225"/>
        <w:jc w:val="both"/>
        <w:rPr/>
      </w:pPr>
      <w:r>
        <w:rPr/>
        <w:t>Вода, не отвечающая этим требованиям, должна предварительно обрабатываться.</w:t>
      </w:r>
    </w:p>
    <w:p>
      <w:pPr>
        <w:pStyle w:val="Normal"/>
        <w:ind w:firstLine="225"/>
        <w:jc w:val="both"/>
        <w:rPr/>
      </w:pPr>
      <w:r>
        <w:rPr/>
      </w:r>
    </w:p>
    <w:p>
      <w:pPr>
        <w:pStyle w:val="Normal"/>
        <w:ind w:firstLine="225"/>
        <w:jc w:val="both"/>
        <w:rPr/>
      </w:pPr>
      <w:r>
        <w:rPr/>
        <w:t>Необходимость предварительного умягчения опресненной воды при общей жесткости более 20 мг-экв/л должна обосновываться.</w:t>
      </w:r>
    </w:p>
    <w:p>
      <w:pPr>
        <w:pStyle w:val="Normal"/>
        <w:ind w:firstLine="225"/>
        <w:jc w:val="both"/>
        <w:rPr/>
      </w:pPr>
      <w:r>
        <w:rPr/>
      </w:r>
    </w:p>
    <w:p>
      <w:pPr>
        <w:pStyle w:val="Normal"/>
        <w:ind w:firstLine="225"/>
        <w:jc w:val="both"/>
        <w:rPr/>
      </w:pPr>
      <w:r>
        <w:rPr/>
        <w:t>Опресненная электродиализом вода перед подачей ее в систему хозяйственно-питьевого водоснабжения должна быть дезодорирована на фильтрах, загруженных активным углем, и обеззаражена.</w:t>
      </w:r>
    </w:p>
    <w:p>
      <w:pPr>
        <w:pStyle w:val="Normal"/>
        <w:ind w:firstLine="225"/>
        <w:jc w:val="both"/>
        <w:rPr/>
      </w:pPr>
      <w:r>
        <w:rPr/>
      </w:r>
    </w:p>
    <w:p>
      <w:pPr>
        <w:pStyle w:val="Normal"/>
        <w:ind w:firstLine="225"/>
        <w:jc w:val="both"/>
        <w:rPr/>
      </w:pPr>
      <w:r>
        <w:rPr/>
        <w:t>14. Выбор типа аппарата электродиализной установки следует производить по паспортным данным завода-изготовителя. При этом в зависимости от расхода опресненной воды и солесодержания исходной воды определяются число ступеней опреснения, количество параллельных аппаратов в каждой ступени, кратность рециркуляции и расход сбрасываемого рассола, а также напряжение и сила постоянного тока на аппаратах всех ступеней для выбора преобразователя тока.</w:t>
      </w:r>
    </w:p>
    <w:p>
      <w:pPr>
        <w:pStyle w:val="Normal"/>
        <w:ind w:firstLine="225"/>
        <w:jc w:val="both"/>
        <w:rPr/>
      </w:pPr>
      <w:r>
        <w:rPr/>
      </w:r>
    </w:p>
    <w:p>
      <w:pPr>
        <w:pStyle w:val="Normal"/>
        <w:ind w:firstLine="225"/>
        <w:jc w:val="both"/>
        <w:rPr/>
      </w:pPr>
      <w:r>
        <w:rPr/>
        <w:t>Гидравлическим расчетом следует определять потери напора в камерах опреснения, системах распределения и сбора внутри аппаратов, подающих и отводящих трубопроводах диализата и рассола.</w:t>
      </w:r>
    </w:p>
    <w:p>
      <w:pPr>
        <w:pStyle w:val="Normal"/>
        <w:ind w:firstLine="225"/>
        <w:jc w:val="both"/>
        <w:rPr/>
      </w:pPr>
      <w:r>
        <w:rPr/>
      </w:r>
    </w:p>
    <w:p>
      <w:pPr>
        <w:pStyle w:val="Normal"/>
        <w:ind w:firstLine="225"/>
        <w:jc w:val="both"/>
        <w:rPr/>
      </w:pPr>
      <w:r>
        <w:rPr/>
        <w:t>При расходе опресненной воды до 250-400 куб.м/сут надлежит применять комплексные электродиализные опреснительные установки заводского изготовления, включающие электродиализные аппараты, проточно-рециркуляционные контуры диализата и рассола с баками и насосами, блок электропитания и блок контроля и автоматики.</w:t>
      </w:r>
    </w:p>
    <w:p>
      <w:pPr>
        <w:pStyle w:val="Normal"/>
        <w:ind w:firstLine="225"/>
        <w:jc w:val="both"/>
        <w:rPr/>
      </w:pPr>
      <w:r>
        <w:rPr/>
      </w:r>
    </w:p>
    <w:p>
      <w:pPr>
        <w:pStyle w:val="Normal"/>
        <w:ind w:firstLine="225"/>
        <w:jc w:val="both"/>
        <w:rPr/>
      </w:pPr>
      <w:r>
        <w:rPr/>
        <w:t xml:space="preserve">15. Схему опреснения воды рекомендуется принимать прямоточную многоступенчатую с рециркуляцией рассола. В зависимости от солесодержания опресненной воды в схеме прямоточной многоступенчатой установки допускается предусматривать рециркуляцию диализата и емкость-смеситель диализата с исходной водой. </w:t>
      </w:r>
    </w:p>
    <w:p>
      <w:pPr>
        <w:pStyle w:val="Normal"/>
        <w:ind w:firstLine="225"/>
        <w:jc w:val="both"/>
        <w:rPr/>
      </w:pPr>
      <w:r>
        <w:rPr/>
      </w:r>
    </w:p>
    <w:p>
      <w:pPr>
        <w:pStyle w:val="Normal"/>
        <w:ind w:firstLine="225"/>
        <w:jc w:val="both"/>
        <w:rPr/>
      </w:pPr>
      <w:r>
        <w:rPr/>
        <w:t>16. Число ступеней опреснения z прямоточных установок надлежит определять расчетом</w:t>
      </w:r>
    </w:p>
    <w:p>
      <w:pPr>
        <w:pStyle w:val="Normal"/>
        <w:ind w:firstLine="225"/>
        <w:jc w:val="both"/>
        <w:rPr/>
      </w:pPr>
      <w:r>
        <w:rPr/>
      </w:r>
    </w:p>
    <w:p>
      <w:pPr>
        <w:pStyle w:val="Normal"/>
        <w:ind w:firstLine="1395"/>
        <w:jc w:val="both"/>
        <w:rPr/>
      </w:pPr>
      <w:r>
        <w:rPr/>
      </w:r>
    </w:p>
    <w:tbl>
      <w:tblPr>
        <w:tblW w:w="4770" w:type="dxa"/>
        <w:jc w:val="start"/>
        <w:tblInd w:w="165" w:type="dxa"/>
        <w:tblBorders/>
        <w:tblCellMar>
          <w:top w:w="0" w:type="dxa"/>
          <w:start w:w="15" w:type="dxa"/>
          <w:bottom w:w="0" w:type="dxa"/>
          <w:end w:w="15" w:type="dxa"/>
        </w:tblCellMar>
      </w:tblPr>
      <w:tblGrid>
        <w:gridCol w:w="4320"/>
        <w:gridCol w:w="450"/>
      </w:tblGrid>
      <w:tr>
        <w:trPr/>
        <w:tc>
          <w:tcPr>
            <w:tcW w:w="4320" w:type="dxa"/>
            <w:tcBorders/>
            <w:shd w:fill="auto" w:val="clear"/>
          </w:tcPr>
          <w:p>
            <w:pPr>
              <w:pStyle w:val="Normal"/>
              <w:rPr/>
            </w:pPr>
            <w:r>
              <w:rPr>
                <w:vanish/>
              </w:rPr>
              <w:t>#G0</w:t>
            </w:r>
            <w:r>
              <w:rPr/>
              <w:t xml:space="preserve">  </w:t>
            </w:r>
          </w:p>
          <w:p>
            <w:pPr>
              <w:pStyle w:val="Normal"/>
              <w:rPr/>
            </w:pPr>
            <w:r>
              <w:rPr/>
              <w:drawing>
                <wp:inline distT="0" distB="0" distL="0" distR="0">
                  <wp:extent cx="2776220" cy="403225"/>
                  <wp:effectExtent l="0" t="0" r="0" b="0"/>
                  <wp:docPr id="317" name="Изображение3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Изображение317" descr="" title=""/>
                          <pic:cNvPicPr>
                            <a:picLocks noChangeAspect="1" noChangeArrowheads="1"/>
                          </pic:cNvPicPr>
                        </pic:nvPicPr>
                        <pic:blipFill>
                          <a:blip r:embed="rId318"/>
                          <a:stretch>
                            <a:fillRect/>
                          </a:stretch>
                        </pic:blipFill>
                        <pic:spPr bwMode="auto">
                          <a:xfrm>
                            <a:off x="0" y="0"/>
                            <a:ext cx="2776220" cy="403225"/>
                          </a:xfrm>
                          <a:prstGeom prst="rect">
                            <a:avLst/>
                          </a:prstGeom>
                        </pic:spPr>
                      </pic:pic>
                    </a:graphicData>
                  </a:graphic>
                </wp:inline>
              </w:drawing>
            </w:r>
          </w:p>
        </w:tc>
        <w:tc>
          <w:tcPr>
            <w:tcW w:w="450" w:type="dxa"/>
            <w:tcBorders/>
            <w:shd w:fill="auto" w:val="clear"/>
          </w:tcPr>
          <w:p>
            <w:pPr>
              <w:pStyle w:val="Normal"/>
              <w:rPr/>
            </w:pPr>
            <w:r>
              <w:rPr/>
              <w:t xml:space="preserve">  </w:t>
            </w:r>
          </w:p>
          <w:p>
            <w:pPr>
              <w:pStyle w:val="Normal"/>
              <w:rPr/>
            </w:pPr>
            <w:r>
              <w:rPr/>
              <w:t xml:space="preserve"> </w:t>
            </w:r>
            <w:r>
              <w:rPr/>
              <w:t>.</w:t>
            </w:r>
          </w:p>
          <w:p>
            <w:pPr>
              <w:pStyle w:val="Normal"/>
              <w:rPr/>
            </w:pPr>
            <w:r>
              <w:rPr/>
            </w:r>
          </w:p>
        </w:tc>
      </w:tr>
    </w:tbl>
    <w:p>
      <w:pPr>
        <w:pStyle w:val="Normal"/>
        <w:jc w:val="both"/>
        <w:rPr/>
      </w:pPr>
      <w:r>
        <w:rPr/>
      </w:r>
    </w:p>
    <w:p>
      <w:pPr>
        <w:pStyle w:val="Normal"/>
        <w:ind w:firstLine="270"/>
        <w:jc w:val="both"/>
        <w:rPr/>
      </w:pPr>
      <w:r>
        <w:rPr/>
      </w:r>
    </w:p>
    <w:p>
      <w:pPr>
        <w:pStyle w:val="Normal"/>
        <w:ind w:firstLine="270"/>
        <w:jc w:val="both"/>
        <w:rPr/>
      </w:pPr>
      <w:r>
        <w:rPr/>
        <w:t>При этом</w:t>
      </w:r>
    </w:p>
    <w:p>
      <w:pPr>
        <w:pStyle w:val="Normal"/>
        <w:ind w:firstLine="225"/>
        <w:jc w:val="both"/>
        <w:rPr/>
      </w:pPr>
      <w:r>
        <w:rPr/>
      </w:r>
    </w:p>
    <w:tbl>
      <w:tblPr>
        <w:tblW w:w="2655" w:type="dxa"/>
        <w:jc w:val="start"/>
        <w:tblInd w:w="165" w:type="dxa"/>
        <w:tblBorders/>
        <w:tblCellMar>
          <w:top w:w="0" w:type="dxa"/>
          <w:start w:w="15" w:type="dxa"/>
          <w:bottom w:w="0" w:type="dxa"/>
          <w:end w:w="15" w:type="dxa"/>
        </w:tblCellMar>
      </w:tblPr>
      <w:tblGrid>
        <w:gridCol w:w="1305"/>
        <w:gridCol w:w="450"/>
        <w:gridCol w:w="450"/>
        <w:gridCol w:w="450"/>
      </w:tblGrid>
      <w:tr>
        <w:trPr/>
        <w:tc>
          <w:tcPr>
            <w:tcW w:w="1305" w:type="dxa"/>
            <w:tcBorders/>
            <w:shd w:fill="auto" w:val="clear"/>
          </w:tcPr>
          <w:p>
            <w:pPr>
              <w:pStyle w:val="Normal"/>
              <w:rPr/>
            </w:pPr>
            <w:r>
              <w:rPr>
                <w:vanish/>
              </w:rPr>
              <w:t>#G0</w:t>
            </w:r>
            <w:r>
              <w:rPr/>
              <w:t xml:space="preserve">  </w:t>
            </w:r>
          </w:p>
          <w:p>
            <w:pPr>
              <w:pStyle w:val="Normal"/>
              <w:rPr/>
            </w:pPr>
            <w:r>
              <w:rPr/>
              <w:drawing>
                <wp:inline distT="0" distB="0" distL="0" distR="0">
                  <wp:extent cx="909955" cy="241935"/>
                  <wp:effectExtent l="0" t="0" r="0" b="0"/>
                  <wp:docPr id="318" name="Изображение3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Изображение318" descr="" title=""/>
                          <pic:cNvPicPr>
                            <a:picLocks noChangeAspect="1" noChangeArrowheads="1"/>
                          </pic:cNvPicPr>
                        </pic:nvPicPr>
                        <pic:blipFill>
                          <a:blip r:embed="rId319"/>
                          <a:stretch>
                            <a:fillRect/>
                          </a:stretch>
                        </pic:blipFill>
                        <pic:spPr bwMode="auto">
                          <a:xfrm>
                            <a:off x="0" y="0"/>
                            <a:ext cx="909955" cy="241935"/>
                          </a:xfrm>
                          <a:prstGeom prst="rect">
                            <a:avLst/>
                          </a:prstGeom>
                        </pic:spPr>
                      </pic:pic>
                    </a:graphicData>
                  </a:graphic>
                </wp:inline>
              </w:drawing>
            </w:r>
          </w:p>
        </w:tc>
        <w:tc>
          <w:tcPr>
            <w:tcW w:w="450" w:type="dxa"/>
            <w:tcBorders/>
            <w:shd w:fill="auto" w:val="clear"/>
          </w:tcPr>
          <w:p>
            <w:pPr>
              <w:pStyle w:val="Normal"/>
              <w:rPr/>
            </w:pPr>
            <w:r>
              <w:rPr/>
              <w:t xml:space="preserve">  </w:t>
            </w:r>
          </w:p>
          <w:p>
            <w:pPr>
              <w:pStyle w:val="Normal"/>
              <w:rPr/>
            </w:pPr>
            <w:r>
              <w:rPr/>
            </w:r>
          </w:p>
        </w:tc>
        <w:tc>
          <w:tcPr>
            <w:tcW w:w="450" w:type="dxa"/>
            <w:tcBorders/>
            <w:shd w:fill="auto" w:val="clear"/>
          </w:tcPr>
          <w:p>
            <w:pPr>
              <w:pStyle w:val="Normal"/>
              <w:rPr/>
            </w:pPr>
            <w:r>
              <w:rPr/>
              <w:t xml:space="preserve">  </w:t>
            </w:r>
          </w:p>
          <w:p>
            <w:pPr>
              <w:pStyle w:val="Normal"/>
              <w:rPr/>
            </w:pPr>
            <w:r>
              <w:rPr/>
            </w:r>
          </w:p>
        </w:tc>
        <w:tc>
          <w:tcPr>
            <w:tcW w:w="450" w:type="dxa"/>
            <w:tcBorders/>
            <w:shd w:fill="auto" w:val="clear"/>
          </w:tcPr>
          <w:p>
            <w:pPr>
              <w:pStyle w:val="Normal"/>
              <w:rPr/>
            </w:pPr>
            <w:r>
              <w:rPr/>
              <w:t xml:space="preserve">      </w:t>
            </w:r>
            <w:r>
              <w:rPr/>
              <w:t>(4)</w:t>
            </w:r>
          </w:p>
          <w:p>
            <w:pPr>
              <w:pStyle w:val="Normal"/>
              <w:rPr/>
            </w:pPr>
            <w:r>
              <w:rPr/>
            </w:r>
          </w:p>
        </w:tc>
      </w:tr>
    </w:tbl>
    <w:p>
      <w:pPr>
        <w:pStyle w:val="Normal"/>
        <w:jc w:val="both"/>
        <w:rPr/>
      </w:pPr>
      <w:r>
        <w:rPr/>
      </w:r>
    </w:p>
    <w:p>
      <w:pPr>
        <w:pStyle w:val="Normal"/>
        <w:ind w:firstLine="1395"/>
        <w:jc w:val="both"/>
        <w:rPr/>
      </w:pPr>
      <w:r>
        <w:rPr/>
      </w:r>
    </w:p>
    <w:p>
      <w:pPr>
        <w:pStyle w:val="Normal"/>
        <w:ind w:firstLine="585"/>
        <w:jc w:val="both"/>
        <w:rPr/>
      </w:pPr>
      <w:r>
        <w:rPr/>
        <w:tab/>
        <w:tab/>
        <w:t xml:space="preserve">      </w:t>
      </w:r>
    </w:p>
    <w:p>
      <w:pPr>
        <w:pStyle w:val="Normal"/>
        <w:ind w:firstLine="585"/>
        <w:jc w:val="both"/>
        <w:rPr/>
      </w:pPr>
      <w:r>
        <w:rPr/>
        <w:t>где С(исх) - солесодержание исходной воды, мг-экв/л;</w:t>
      </w:r>
    </w:p>
    <w:p>
      <w:pPr>
        <w:pStyle w:val="Normal"/>
        <w:ind w:firstLine="585"/>
        <w:jc w:val="both"/>
        <w:rPr/>
      </w:pPr>
      <w:r>
        <w:rPr/>
      </w:r>
    </w:p>
    <w:p>
      <w:pPr>
        <w:pStyle w:val="Normal"/>
        <w:ind w:firstLine="315"/>
        <w:jc w:val="both"/>
        <w:rPr/>
      </w:pPr>
      <w:r>
        <w:rPr/>
        <w:t xml:space="preserve">С(оп) - солесодержание опресненной воды, мг-экв/л;  </w:t>
      </w:r>
    </w:p>
    <w:tbl>
      <w:tblPr>
        <w:tblW w:w="8370" w:type="dxa"/>
        <w:jc w:val="start"/>
        <w:tblInd w:w="165" w:type="dxa"/>
        <w:tblBorders/>
        <w:tblCellMar>
          <w:top w:w="0" w:type="dxa"/>
          <w:start w:w="15" w:type="dxa"/>
          <w:bottom w:w="0" w:type="dxa"/>
          <w:end w:w="15" w:type="dxa"/>
        </w:tblCellMar>
      </w:tblPr>
      <w:tblGrid>
        <w:gridCol w:w="630"/>
        <w:gridCol w:w="7740"/>
      </w:tblGrid>
      <w:tr>
        <w:trPr/>
        <w:tc>
          <w:tcPr>
            <w:tcW w:w="630" w:type="dxa"/>
            <w:tcBorders/>
            <w:shd w:fill="auto" w:val="clear"/>
          </w:tcPr>
          <w:p>
            <w:pPr>
              <w:pStyle w:val="Normal"/>
              <w:rPr/>
            </w:pPr>
            <w:r>
              <w:rPr>
                <w:vanish/>
              </w:rPr>
              <w:t>#G0</w:t>
            </w:r>
            <w:r>
              <w:rPr/>
              <w:t xml:space="preserve">  </w:t>
            </w:r>
          </w:p>
          <w:p>
            <w:pPr>
              <w:pStyle w:val="Normal"/>
              <w:rPr/>
            </w:pPr>
            <w:r>
              <w:rPr/>
              <w:drawing>
                <wp:inline distT="0" distB="0" distL="0" distR="0">
                  <wp:extent cx="161290" cy="184150"/>
                  <wp:effectExtent l="0" t="0" r="0" b="0"/>
                  <wp:docPr id="319" name="Изображение3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Изображение319" descr="" title=""/>
                          <pic:cNvPicPr>
                            <a:picLocks noChangeAspect="1" noChangeArrowheads="1"/>
                          </pic:cNvPicPr>
                        </pic:nvPicPr>
                        <pic:blipFill>
                          <a:blip r:embed="rId320"/>
                          <a:stretch>
                            <a:fillRect/>
                          </a:stretch>
                        </pic:blipFill>
                        <pic:spPr bwMode="auto">
                          <a:xfrm>
                            <a:off x="0" y="0"/>
                            <a:ext cx="161290" cy="184150"/>
                          </a:xfrm>
                          <a:prstGeom prst="rect">
                            <a:avLst/>
                          </a:prstGeom>
                        </pic:spPr>
                      </pic:pic>
                    </a:graphicData>
                  </a:graphic>
                </wp:inline>
              </w:drawing>
            </w:r>
          </w:p>
        </w:tc>
        <w:tc>
          <w:tcPr>
            <w:tcW w:w="7740" w:type="dxa"/>
            <w:tcBorders/>
            <w:shd w:fill="auto" w:val="clear"/>
          </w:tcPr>
          <w:p>
            <w:pPr>
              <w:pStyle w:val="Normal"/>
              <w:snapToGrid w:val="false"/>
              <w:jc w:val="both"/>
              <w:rPr/>
            </w:pPr>
            <w:r>
              <w:rPr/>
            </w:r>
          </w:p>
          <w:p>
            <w:pPr>
              <w:pStyle w:val="Normal"/>
              <w:jc w:val="both"/>
              <w:rPr/>
            </w:pPr>
            <w:r>
              <w:rPr/>
              <w:t xml:space="preserve">- коэффициент предельного снижения солесодержания диализата в каждой ступени опреснения, принимаемый </w:t>
            </w:r>
          </w:p>
          <w:p>
            <w:pPr>
              <w:pStyle w:val="Normal"/>
              <w:rPr/>
            </w:pPr>
            <w:r>
              <w:rPr/>
              <w:t xml:space="preserve">  </w:t>
            </w:r>
          </w:p>
          <w:p>
            <w:pPr>
              <w:pStyle w:val="Normal"/>
              <w:rPr/>
            </w:pPr>
            <w:r>
              <w:rPr/>
            </w:r>
          </w:p>
        </w:tc>
      </w:tr>
    </w:tbl>
    <w:p>
      <w:pPr>
        <w:pStyle w:val="Normal"/>
        <w:ind w:firstLine="135"/>
        <w:jc w:val="both"/>
        <w:rPr/>
      </w:pPr>
      <w:r>
        <w:rPr/>
      </w:r>
    </w:p>
    <w:tbl>
      <w:tblPr>
        <w:tblW w:w="3930" w:type="dxa"/>
        <w:jc w:val="start"/>
        <w:tblInd w:w="165" w:type="dxa"/>
        <w:tblBorders/>
        <w:tblCellMar>
          <w:top w:w="0" w:type="dxa"/>
          <w:start w:w="15" w:type="dxa"/>
          <w:bottom w:w="0" w:type="dxa"/>
          <w:end w:w="15" w:type="dxa"/>
        </w:tblCellMar>
      </w:tblPr>
      <w:tblGrid>
        <w:gridCol w:w="1785"/>
        <w:gridCol w:w="2145"/>
      </w:tblGrid>
      <w:tr>
        <w:trPr/>
        <w:tc>
          <w:tcPr>
            <w:tcW w:w="1785" w:type="dxa"/>
            <w:tcBorders/>
            <w:shd w:fill="auto" w:val="clear"/>
          </w:tcPr>
          <w:p>
            <w:pPr>
              <w:pStyle w:val="Normal"/>
              <w:rPr/>
            </w:pPr>
            <w:r>
              <w:rPr>
                <w:vanish/>
              </w:rPr>
              <w:t>#G0</w:t>
            </w:r>
            <w:r>
              <w:rPr/>
              <w:t xml:space="preserve">  </w:t>
            </w:r>
          </w:p>
          <w:p>
            <w:pPr>
              <w:pStyle w:val="Normal"/>
              <w:rPr/>
            </w:pPr>
            <w:r>
              <w:rPr/>
              <w:drawing>
                <wp:inline distT="0" distB="0" distL="0" distR="0">
                  <wp:extent cx="1267460" cy="264795"/>
                  <wp:effectExtent l="0" t="0" r="0" b="0"/>
                  <wp:docPr id="320" name="Изображение3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Изображение320" descr="" title=""/>
                          <pic:cNvPicPr>
                            <a:picLocks noChangeAspect="1" noChangeArrowheads="1"/>
                          </pic:cNvPicPr>
                        </pic:nvPicPr>
                        <pic:blipFill>
                          <a:blip r:embed="rId321"/>
                          <a:stretch>
                            <a:fillRect/>
                          </a:stretch>
                        </pic:blipFill>
                        <pic:spPr bwMode="auto">
                          <a:xfrm>
                            <a:off x="0" y="0"/>
                            <a:ext cx="1267460" cy="264795"/>
                          </a:xfrm>
                          <a:prstGeom prst="rect">
                            <a:avLst/>
                          </a:prstGeom>
                        </pic:spPr>
                      </pic:pic>
                    </a:graphicData>
                  </a:graphic>
                </wp:inline>
              </w:drawing>
            </w:r>
          </w:p>
        </w:tc>
        <w:tc>
          <w:tcPr>
            <w:tcW w:w="2145" w:type="dxa"/>
            <w:tcBorders/>
            <w:shd w:fill="auto" w:val="clear"/>
          </w:tcPr>
          <w:p>
            <w:pPr>
              <w:pStyle w:val="Normal"/>
              <w:snapToGrid w:val="false"/>
              <w:rPr/>
            </w:pPr>
            <w:r>
              <w:rPr/>
            </w:r>
          </w:p>
          <w:p>
            <w:pPr>
              <w:pStyle w:val="Normal"/>
              <w:rPr/>
            </w:pPr>
            <w:r>
              <w:rPr/>
              <w:t xml:space="preserve">                              </w:t>
            </w:r>
            <w:r>
              <w:rPr/>
              <w:t>(5)</w:t>
            </w:r>
          </w:p>
          <w:p>
            <w:pPr>
              <w:pStyle w:val="Normal"/>
              <w:rPr/>
            </w:pPr>
            <w:r>
              <w:rPr/>
            </w:r>
          </w:p>
        </w:tc>
      </w:tr>
    </w:tbl>
    <w:p>
      <w:pPr>
        <w:pStyle w:val="Normal"/>
        <w:ind w:firstLine="1395"/>
        <w:jc w:val="both"/>
        <w:rPr/>
      </w:pPr>
      <w:r>
        <w:rPr/>
      </w:r>
    </w:p>
    <w:p>
      <w:pPr>
        <w:pStyle w:val="Normal"/>
        <w:ind w:firstLine="45"/>
        <w:jc w:val="both"/>
        <w:rPr/>
      </w:pPr>
      <w:r>
        <w:rPr/>
        <w:tab/>
        <w:tab/>
      </w:r>
    </w:p>
    <w:p>
      <w:pPr>
        <w:pStyle w:val="Normal"/>
        <w:ind w:firstLine="270"/>
        <w:jc w:val="both"/>
        <w:rPr/>
      </w:pPr>
      <w:r>
        <w:rPr/>
      </w:r>
    </w:p>
    <w:p>
      <w:pPr>
        <w:pStyle w:val="Normal"/>
        <w:ind w:firstLine="270"/>
        <w:jc w:val="both"/>
        <w:rPr/>
      </w:pPr>
      <w:r>
        <w:rPr/>
        <w:t xml:space="preserve">где S(с) - солесъем за один проход опресняемой воды через аппарат, принимаемый по паспортным данным, %. </w:t>
      </w:r>
    </w:p>
    <w:p>
      <w:pPr>
        <w:pStyle w:val="Normal"/>
        <w:ind w:firstLine="45"/>
        <w:jc w:val="both"/>
        <w:rPr/>
      </w:pPr>
      <w:r>
        <w:rPr/>
      </w:r>
    </w:p>
    <w:p>
      <w:pPr>
        <w:pStyle w:val="Normal"/>
        <w:ind w:firstLine="450"/>
        <w:jc w:val="both"/>
        <w:rPr/>
      </w:pPr>
      <w:r>
        <w:rPr/>
        <w:t>17. Количество параллельно работающих аппаратов N(ап) в каждой ступени надлежит определять по формуле</w:t>
      </w:r>
    </w:p>
    <w:p>
      <w:pPr>
        <w:pStyle w:val="Normal"/>
        <w:ind w:firstLine="450"/>
        <w:jc w:val="both"/>
        <w:rPr/>
      </w:pPr>
      <w:r>
        <w:rPr/>
      </w:r>
    </w:p>
    <w:p>
      <w:pPr>
        <w:pStyle w:val="Normal"/>
        <w:ind w:firstLine="1395"/>
        <w:jc w:val="both"/>
        <w:rPr/>
      </w:pPr>
      <w:r>
        <w:rPr/>
      </w:r>
    </w:p>
    <w:tbl>
      <w:tblPr>
        <w:tblW w:w="5055" w:type="dxa"/>
        <w:jc w:val="start"/>
        <w:tblInd w:w="165" w:type="dxa"/>
        <w:tblBorders/>
        <w:tblCellMar>
          <w:top w:w="0" w:type="dxa"/>
          <w:start w:w="15" w:type="dxa"/>
          <w:bottom w:w="0" w:type="dxa"/>
          <w:end w:w="15" w:type="dxa"/>
        </w:tblCellMar>
      </w:tblPr>
      <w:tblGrid>
        <w:gridCol w:w="3285"/>
        <w:gridCol w:w="1770"/>
      </w:tblGrid>
      <w:tr>
        <w:trPr/>
        <w:tc>
          <w:tcPr>
            <w:tcW w:w="3285" w:type="dxa"/>
            <w:tcBorders/>
            <w:shd w:fill="auto" w:val="clear"/>
          </w:tcPr>
          <w:p>
            <w:pPr>
              <w:pStyle w:val="Normal"/>
              <w:rPr/>
            </w:pPr>
            <w:r>
              <w:rPr>
                <w:vanish/>
              </w:rPr>
              <w:t>#G0</w:t>
            </w:r>
            <w:r>
              <w:rPr/>
              <w:t xml:space="preserve">  </w:t>
            </w:r>
          </w:p>
          <w:p>
            <w:pPr>
              <w:pStyle w:val="Normal"/>
              <w:rPr/>
            </w:pPr>
            <w:r>
              <w:rPr/>
              <w:drawing>
                <wp:inline distT="0" distB="0" distL="0" distR="0">
                  <wp:extent cx="2200275" cy="276225"/>
                  <wp:effectExtent l="0" t="0" r="0" b="0"/>
                  <wp:docPr id="321" name="Изображение3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Изображение321" descr="" title=""/>
                          <pic:cNvPicPr>
                            <a:picLocks noChangeAspect="1" noChangeArrowheads="1"/>
                          </pic:cNvPicPr>
                        </pic:nvPicPr>
                        <pic:blipFill>
                          <a:blip r:embed="rId322"/>
                          <a:stretch>
                            <a:fillRect/>
                          </a:stretch>
                        </pic:blipFill>
                        <pic:spPr bwMode="auto">
                          <a:xfrm>
                            <a:off x="0" y="0"/>
                            <a:ext cx="2200275" cy="276225"/>
                          </a:xfrm>
                          <a:prstGeom prst="rect">
                            <a:avLst/>
                          </a:prstGeom>
                        </pic:spPr>
                      </pic:pic>
                    </a:graphicData>
                  </a:graphic>
                </wp:inline>
              </w:drawing>
            </w:r>
          </w:p>
        </w:tc>
        <w:tc>
          <w:tcPr>
            <w:tcW w:w="1770" w:type="dxa"/>
            <w:tcBorders/>
            <w:shd w:fill="auto" w:val="clear"/>
          </w:tcPr>
          <w:p>
            <w:pPr>
              <w:pStyle w:val="Normal"/>
              <w:snapToGrid w:val="false"/>
              <w:rPr/>
            </w:pPr>
            <w:r>
              <w:rPr/>
            </w:r>
          </w:p>
          <w:p>
            <w:pPr>
              <w:pStyle w:val="Normal"/>
              <w:rPr/>
            </w:pPr>
            <w:r>
              <w:rPr/>
              <w:t xml:space="preserve">                   </w:t>
            </w:r>
            <w:r>
              <w:rPr/>
              <w:t>(6)</w:t>
            </w:r>
          </w:p>
          <w:p>
            <w:pPr>
              <w:pStyle w:val="Normal"/>
              <w:rPr/>
            </w:pPr>
            <w:r>
              <w:rPr/>
            </w:r>
          </w:p>
        </w:tc>
      </w:tr>
    </w:tbl>
    <w:p>
      <w:pPr>
        <w:pStyle w:val="Normal"/>
        <w:ind w:firstLine="180"/>
        <w:jc w:val="both"/>
        <w:rPr/>
      </w:pPr>
      <w:r>
        <w:rPr/>
        <w:tab/>
      </w:r>
    </w:p>
    <w:p>
      <w:pPr>
        <w:pStyle w:val="Normal"/>
        <w:ind w:firstLine="270"/>
        <w:jc w:val="both"/>
        <w:rPr/>
      </w:pPr>
      <w:r>
        <w:rPr/>
      </w:r>
    </w:p>
    <w:p>
      <w:pPr>
        <w:pStyle w:val="Normal"/>
        <w:ind w:firstLine="270"/>
        <w:jc w:val="both"/>
        <w:rPr/>
      </w:pPr>
      <w:r>
        <w:rPr/>
        <w:t xml:space="preserve">где q - производительность установки, куб.м/ч; </w:t>
      </w:r>
    </w:p>
    <w:p>
      <w:pPr>
        <w:pStyle w:val="Normal"/>
        <w:ind w:firstLine="135"/>
        <w:jc w:val="both"/>
        <w:rPr/>
      </w:pPr>
      <w:r>
        <w:rPr/>
      </w:r>
    </w:p>
    <w:p>
      <w:pPr>
        <w:pStyle w:val="Normal"/>
        <w:ind w:firstLine="315"/>
        <w:jc w:val="both"/>
        <w:rPr/>
      </w:pPr>
      <w:r>
        <w:rPr/>
        <w:t>С(вх) -  концентрация диализата, входящего в аппарат каждой ступени (для первой ступени равная солесодержанию исходной воды), мг-экв/л;</w:t>
      </w:r>
    </w:p>
    <w:p>
      <w:pPr>
        <w:pStyle w:val="Normal"/>
        <w:ind w:firstLine="315"/>
        <w:jc w:val="both"/>
        <w:rPr/>
      </w:pPr>
      <w:r>
        <w:rPr/>
      </w:r>
    </w:p>
    <w:p>
      <w:pPr>
        <w:pStyle w:val="Normal"/>
        <w:ind w:firstLine="270"/>
        <w:jc w:val="both"/>
        <w:rPr/>
      </w:pPr>
      <w:r>
        <w:rPr/>
        <w:t xml:space="preserve">С(вых) - концентрация диализата, выходящего из аппарата той же ступени (для последней ступени равная солесодержанию опресненной воды), мг-экв/л; </w:t>
      </w:r>
    </w:p>
    <w:p>
      <w:pPr>
        <w:pStyle w:val="Normal"/>
        <w:ind w:firstLine="270"/>
        <w:jc w:val="both"/>
        <w:rPr/>
      </w:pPr>
      <w:r>
        <w:rPr/>
      </w:r>
    </w:p>
    <w:p>
      <w:pPr>
        <w:pStyle w:val="Normal"/>
        <w:ind w:firstLine="225"/>
        <w:jc w:val="both"/>
        <w:rPr/>
      </w:pPr>
      <w:r>
        <w:rPr/>
        <w:t xml:space="preserve">i(p)  - рабочая плотность тока, А/кв.см; </w:t>
      </w:r>
    </w:p>
    <w:p>
      <w:pPr>
        <w:pStyle w:val="Normal"/>
        <w:ind w:firstLine="225"/>
        <w:jc w:val="both"/>
        <w:rPr/>
      </w:pPr>
      <w:r>
        <w:rPr/>
      </w:r>
    </w:p>
    <w:p>
      <w:pPr>
        <w:pStyle w:val="Normal"/>
        <w:ind w:firstLine="225"/>
        <w:jc w:val="both"/>
        <w:rPr/>
      </w:pPr>
      <w:r>
        <w:rPr/>
        <w:t xml:space="preserve">F(м) - рабочая (нетто) площадь каждой мембраны, кв.см;      </w:t>
      </w:r>
    </w:p>
    <w:tbl>
      <w:tblPr>
        <w:tblW w:w="8565" w:type="dxa"/>
        <w:jc w:val="start"/>
        <w:tblInd w:w="165" w:type="dxa"/>
        <w:tblBorders/>
        <w:tblCellMar>
          <w:top w:w="0" w:type="dxa"/>
          <w:start w:w="15" w:type="dxa"/>
          <w:bottom w:w="0" w:type="dxa"/>
          <w:end w:w="15" w:type="dxa"/>
        </w:tblCellMar>
      </w:tblPr>
      <w:tblGrid>
        <w:gridCol w:w="585"/>
        <w:gridCol w:w="7980"/>
      </w:tblGrid>
      <w:tr>
        <w:trPr/>
        <w:tc>
          <w:tcPr>
            <w:tcW w:w="585" w:type="dxa"/>
            <w:tcBorders/>
            <w:shd w:fill="auto" w:val="clear"/>
          </w:tcPr>
          <w:p>
            <w:pPr>
              <w:pStyle w:val="Normal"/>
              <w:rPr/>
            </w:pPr>
            <w:r>
              <w:rPr>
                <w:vanish/>
              </w:rPr>
              <w:t>#G0</w:t>
            </w:r>
            <w:r>
              <w:rPr/>
              <w:t xml:space="preserve">  </w:t>
            </w:r>
          </w:p>
          <w:p>
            <w:pPr>
              <w:pStyle w:val="Normal"/>
              <w:rPr/>
            </w:pPr>
            <w:r>
              <w:rPr/>
              <w:drawing>
                <wp:inline distT="0" distB="0" distL="0" distR="0">
                  <wp:extent cx="127000" cy="161290"/>
                  <wp:effectExtent l="0" t="0" r="0" b="0"/>
                  <wp:docPr id="322" name="Изображение3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Изображение322" descr="" title=""/>
                          <pic:cNvPicPr>
                            <a:picLocks noChangeAspect="1" noChangeArrowheads="1"/>
                          </pic:cNvPicPr>
                        </pic:nvPicPr>
                        <pic:blipFill>
                          <a:blip r:embed="rId323"/>
                          <a:stretch>
                            <a:fillRect/>
                          </a:stretch>
                        </pic:blipFill>
                        <pic:spPr bwMode="auto">
                          <a:xfrm>
                            <a:off x="0" y="0"/>
                            <a:ext cx="127000" cy="161290"/>
                          </a:xfrm>
                          <a:prstGeom prst="rect">
                            <a:avLst/>
                          </a:prstGeom>
                        </pic:spPr>
                      </pic:pic>
                    </a:graphicData>
                  </a:graphic>
                </wp:inline>
              </w:drawing>
            </w:r>
          </w:p>
        </w:tc>
        <w:tc>
          <w:tcPr>
            <w:tcW w:w="7980" w:type="dxa"/>
            <w:tcBorders/>
            <w:shd w:fill="auto" w:val="clear"/>
          </w:tcPr>
          <w:p>
            <w:pPr>
              <w:pStyle w:val="Normal"/>
              <w:snapToGrid w:val="false"/>
              <w:rPr/>
            </w:pPr>
            <w:r>
              <w:rPr/>
            </w:r>
          </w:p>
          <w:p>
            <w:pPr>
              <w:pStyle w:val="Normal"/>
              <w:rPr/>
            </w:pPr>
            <w:r>
              <w:rPr/>
              <w:t xml:space="preserve">-   коэффициент выхода по току, принимаемый для аппаратов с мембранами МА-40 и МК-40 равным 0,85; </w:t>
            </w:r>
          </w:p>
          <w:p>
            <w:pPr>
              <w:pStyle w:val="Normal"/>
              <w:rPr/>
            </w:pPr>
            <w:r>
              <w:rPr/>
            </w:r>
          </w:p>
        </w:tc>
      </w:tr>
    </w:tbl>
    <w:p>
      <w:pPr>
        <w:pStyle w:val="Normal"/>
        <w:jc w:val="both"/>
        <w:rPr/>
      </w:pPr>
      <w:r>
        <w:rPr/>
      </w:r>
    </w:p>
    <w:p>
      <w:pPr>
        <w:pStyle w:val="Normal"/>
        <w:ind w:firstLine="225"/>
        <w:jc w:val="both"/>
        <w:rPr/>
      </w:pPr>
      <w:r>
        <w:rPr/>
        <w:t xml:space="preserve">n(я) - количество ячеек в аппарате, принимаемое не более 200-250 шт. </w:t>
      </w:r>
    </w:p>
    <w:p>
      <w:pPr>
        <w:pStyle w:val="Normal"/>
        <w:ind w:firstLine="225"/>
        <w:jc w:val="both"/>
        <w:rPr/>
      </w:pPr>
      <w:r>
        <w:rPr/>
      </w:r>
    </w:p>
    <w:p>
      <w:pPr>
        <w:pStyle w:val="Normal"/>
        <w:ind w:firstLine="225"/>
        <w:jc w:val="both"/>
        <w:rPr/>
      </w:pPr>
      <w:r>
        <w:rPr/>
        <w:t>18. Рабочая плотность тока в аппаратах каждой ступени должна приниматься равной оптимальной плотности тока, определяемой технико-экономическим расчетом. При этом необходимо принимать величину рабочей плотности тока в аппаратах каждой ступени не более величины предельной плотности тока, определяемой по формуле</w:t>
      </w:r>
    </w:p>
    <w:p>
      <w:pPr>
        <w:pStyle w:val="Normal"/>
        <w:ind w:firstLine="225"/>
        <w:jc w:val="both"/>
        <w:rPr/>
      </w:pPr>
      <w:r>
        <w:rPr/>
      </w:r>
    </w:p>
    <w:p>
      <w:pPr>
        <w:pStyle w:val="Normal"/>
        <w:ind w:firstLine="225"/>
        <w:jc w:val="both"/>
        <w:rPr/>
      </w:pPr>
      <w:r>
        <w:rPr/>
      </w:r>
    </w:p>
    <w:p>
      <w:pPr>
        <w:pStyle w:val="Normal"/>
        <w:ind w:firstLine="1395"/>
        <w:jc w:val="both"/>
        <w:rPr/>
      </w:pPr>
      <w:r>
        <w:rPr/>
        <w:drawing>
          <wp:inline distT="0" distB="0" distL="0" distR="0">
            <wp:extent cx="3801745" cy="230505"/>
            <wp:effectExtent l="0" t="0" r="0" b="0"/>
            <wp:docPr id="323" name="Изображение3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Изображение323" descr="" title=""/>
                    <pic:cNvPicPr>
                      <a:picLocks noChangeAspect="1" noChangeArrowheads="1"/>
                    </pic:cNvPicPr>
                  </pic:nvPicPr>
                  <pic:blipFill>
                    <a:blip r:embed="rId324"/>
                    <a:stretch>
                      <a:fillRect/>
                    </a:stretch>
                  </pic:blipFill>
                  <pic:spPr bwMode="auto">
                    <a:xfrm>
                      <a:off x="0" y="0"/>
                      <a:ext cx="3801745" cy="230505"/>
                    </a:xfrm>
                    <a:prstGeom prst="rect">
                      <a:avLst/>
                    </a:prstGeom>
                  </pic:spPr>
                </pic:pic>
              </a:graphicData>
            </a:graphic>
          </wp:inline>
        </w:drawing>
      </w:r>
    </w:p>
    <w:p>
      <w:pPr>
        <w:pStyle w:val="Normal"/>
        <w:ind w:firstLine="45"/>
        <w:jc w:val="both"/>
        <w:rPr/>
      </w:pPr>
      <w:r>
        <w:rPr/>
        <w:tab/>
        <w:tab/>
      </w:r>
    </w:p>
    <w:p>
      <w:pPr>
        <w:pStyle w:val="Normal"/>
        <w:ind w:firstLine="270"/>
        <w:jc w:val="both"/>
        <w:rPr/>
      </w:pPr>
      <w:r>
        <w:rPr/>
      </w:r>
    </w:p>
    <w:p>
      <w:pPr>
        <w:pStyle w:val="Normal"/>
        <w:ind w:firstLine="270"/>
        <w:jc w:val="both"/>
        <w:rPr/>
      </w:pPr>
      <w:r>
        <w:rPr/>
        <w:t>где С(д) - расчетное значение концентрации диализата в камере опреснения, определяемое из выражения</w:t>
      </w:r>
    </w:p>
    <w:p>
      <w:pPr>
        <w:pStyle w:val="Normal"/>
        <w:ind w:firstLine="270"/>
        <w:jc w:val="both"/>
        <w:rPr/>
      </w:pPr>
      <w:r>
        <w:rPr/>
      </w:r>
    </w:p>
    <w:p>
      <w:pPr>
        <w:pStyle w:val="Normal"/>
        <w:ind w:firstLine="1395"/>
        <w:jc w:val="both"/>
        <w:rPr/>
      </w:pPr>
      <w:r>
        <w:rPr/>
      </w:r>
    </w:p>
    <w:tbl>
      <w:tblPr>
        <w:tblW w:w="4860" w:type="dxa"/>
        <w:jc w:val="start"/>
        <w:tblInd w:w="165" w:type="dxa"/>
        <w:tblBorders/>
        <w:tblCellMar>
          <w:top w:w="0" w:type="dxa"/>
          <w:start w:w="15" w:type="dxa"/>
          <w:bottom w:w="0" w:type="dxa"/>
          <w:end w:w="15" w:type="dxa"/>
        </w:tblCellMar>
      </w:tblPr>
      <w:tblGrid>
        <w:gridCol w:w="3195"/>
        <w:gridCol w:w="1665"/>
      </w:tblGrid>
      <w:tr>
        <w:trPr/>
        <w:tc>
          <w:tcPr>
            <w:tcW w:w="3195" w:type="dxa"/>
            <w:tcBorders/>
            <w:shd w:fill="auto" w:val="clear"/>
          </w:tcPr>
          <w:p>
            <w:pPr>
              <w:pStyle w:val="Normal"/>
              <w:rPr/>
            </w:pPr>
            <w:r>
              <w:rPr>
                <w:vanish/>
              </w:rPr>
              <w:t>#G0</w:t>
            </w:r>
            <w:r>
              <w:rPr/>
              <w:t xml:space="preserve">  </w:t>
            </w:r>
          </w:p>
          <w:p>
            <w:pPr>
              <w:pStyle w:val="Normal"/>
              <w:rPr/>
            </w:pPr>
            <w:r>
              <w:rPr/>
              <w:drawing>
                <wp:inline distT="0" distB="0" distL="0" distR="0">
                  <wp:extent cx="2200275" cy="264795"/>
                  <wp:effectExtent l="0" t="0" r="0" b="0"/>
                  <wp:docPr id="324" name="Изображение3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Изображение324" descr="" title=""/>
                          <pic:cNvPicPr>
                            <a:picLocks noChangeAspect="1" noChangeArrowheads="1"/>
                          </pic:cNvPicPr>
                        </pic:nvPicPr>
                        <pic:blipFill>
                          <a:blip r:embed="rId325"/>
                          <a:stretch>
                            <a:fillRect/>
                          </a:stretch>
                        </pic:blipFill>
                        <pic:spPr bwMode="auto">
                          <a:xfrm>
                            <a:off x="0" y="0"/>
                            <a:ext cx="2200275" cy="264795"/>
                          </a:xfrm>
                          <a:prstGeom prst="rect">
                            <a:avLst/>
                          </a:prstGeom>
                        </pic:spPr>
                      </pic:pic>
                    </a:graphicData>
                  </a:graphic>
                </wp:inline>
              </w:drawing>
            </w:r>
          </w:p>
        </w:tc>
        <w:tc>
          <w:tcPr>
            <w:tcW w:w="1665" w:type="dxa"/>
            <w:tcBorders/>
            <w:shd w:fill="auto" w:val="clear"/>
          </w:tcPr>
          <w:p>
            <w:pPr>
              <w:pStyle w:val="Normal"/>
              <w:rPr/>
            </w:pPr>
            <w:r>
              <w:rPr/>
              <w:t xml:space="preserve">   </w:t>
            </w:r>
          </w:p>
          <w:p>
            <w:pPr>
              <w:pStyle w:val="Normal"/>
              <w:rPr/>
            </w:pPr>
            <w:r>
              <w:rPr/>
              <w:t xml:space="preserve">                             </w:t>
            </w:r>
            <w:r>
              <w:rPr/>
              <w:t>(8)</w:t>
            </w:r>
          </w:p>
          <w:p>
            <w:pPr>
              <w:pStyle w:val="Normal"/>
              <w:rPr/>
            </w:pPr>
            <w:r>
              <w:rPr/>
            </w:r>
          </w:p>
        </w:tc>
      </w:tr>
    </w:tbl>
    <w:p>
      <w:pPr>
        <w:pStyle w:val="Normal"/>
        <w:ind w:firstLine="135"/>
        <w:jc w:val="both"/>
        <w:rPr/>
      </w:pPr>
      <w:r>
        <w:rPr/>
        <w:tab/>
      </w:r>
    </w:p>
    <w:p>
      <w:pPr>
        <w:pStyle w:val="Normal"/>
        <w:ind w:firstLine="270"/>
        <w:jc w:val="both"/>
        <w:rPr/>
      </w:pPr>
      <w:r>
        <w:rPr/>
      </w:r>
    </w:p>
    <w:p>
      <w:pPr>
        <w:pStyle w:val="Normal"/>
        <w:ind w:firstLine="270"/>
        <w:jc w:val="both"/>
        <w:rPr/>
      </w:pPr>
      <w:r>
        <w:rPr/>
        <w:t xml:space="preserve">где v’ - скорость в камере опреснения (средняя по свободному сечению), см/с; </w:t>
      </w:r>
    </w:p>
    <w:p>
      <w:pPr>
        <w:pStyle w:val="Normal"/>
        <w:ind w:firstLine="90"/>
        <w:jc w:val="both"/>
        <w:rPr/>
      </w:pPr>
      <w:r>
        <w:rPr/>
      </w:r>
    </w:p>
    <w:p>
      <w:pPr>
        <w:pStyle w:val="Normal"/>
        <w:ind w:firstLine="405"/>
        <w:jc w:val="both"/>
        <w:rPr/>
      </w:pPr>
      <w:r>
        <w:rPr/>
        <w:t xml:space="preserve">К’, p’ - коэффициенты, характеризующие деполяризационные свойства сепаратора-турбулизатора, используемого в аппарате рассматриваемого типа. </w:t>
      </w:r>
    </w:p>
    <w:p>
      <w:pPr>
        <w:pStyle w:val="Normal"/>
        <w:ind w:firstLine="225"/>
        <w:jc w:val="both"/>
        <w:rPr/>
      </w:pPr>
      <w:r>
        <w:rPr/>
      </w:r>
    </w:p>
    <w:p>
      <w:pPr>
        <w:pStyle w:val="Normal"/>
        <w:ind w:firstLine="225"/>
        <w:jc w:val="both"/>
        <w:rPr/>
      </w:pPr>
      <w:r>
        <w:rPr/>
        <w:t>Рабочие плотности тока по ступеням прямоточной многоступенчатой установки определяются по формуле</w:t>
      </w:r>
    </w:p>
    <w:p>
      <w:pPr>
        <w:pStyle w:val="Normal"/>
        <w:ind w:firstLine="225"/>
        <w:jc w:val="both"/>
        <w:rPr/>
      </w:pPr>
      <w:r>
        <w:rPr/>
      </w:r>
    </w:p>
    <w:p>
      <w:pPr>
        <w:pStyle w:val="Normal"/>
        <w:ind w:firstLine="225"/>
        <w:jc w:val="both"/>
        <w:rPr/>
      </w:pPr>
      <w:r>
        <w:rPr/>
      </w:r>
    </w:p>
    <w:tbl>
      <w:tblPr>
        <w:tblW w:w="4725" w:type="dxa"/>
        <w:jc w:val="start"/>
        <w:tblInd w:w="165" w:type="dxa"/>
        <w:tblBorders/>
        <w:tblCellMar>
          <w:top w:w="0" w:type="dxa"/>
          <w:start w:w="15" w:type="dxa"/>
          <w:bottom w:w="0" w:type="dxa"/>
          <w:end w:w="15" w:type="dxa"/>
        </w:tblCellMar>
      </w:tblPr>
      <w:tblGrid>
        <w:gridCol w:w="3360"/>
        <w:gridCol w:w="1365"/>
      </w:tblGrid>
      <w:tr>
        <w:trPr/>
        <w:tc>
          <w:tcPr>
            <w:tcW w:w="3360" w:type="dxa"/>
            <w:tcBorders/>
            <w:shd w:fill="auto" w:val="clear"/>
          </w:tcPr>
          <w:p>
            <w:pPr>
              <w:pStyle w:val="Normal"/>
              <w:rPr/>
            </w:pPr>
            <w:r>
              <w:rPr>
                <w:vanish/>
              </w:rPr>
              <w:t>#G0</w:t>
            </w:r>
            <w:r>
              <w:rPr/>
              <w:t xml:space="preserve">  </w:t>
            </w:r>
          </w:p>
          <w:p>
            <w:pPr>
              <w:pStyle w:val="Normal"/>
              <w:rPr/>
            </w:pPr>
            <w:r>
              <w:rPr/>
              <w:drawing>
                <wp:inline distT="0" distB="0" distL="0" distR="0">
                  <wp:extent cx="2280920" cy="241935"/>
                  <wp:effectExtent l="0" t="0" r="0" b="0"/>
                  <wp:docPr id="325" name="Изображение3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Изображение325" descr="" title=""/>
                          <pic:cNvPicPr>
                            <a:picLocks noChangeAspect="1" noChangeArrowheads="1"/>
                          </pic:cNvPicPr>
                        </pic:nvPicPr>
                        <pic:blipFill>
                          <a:blip r:embed="rId326"/>
                          <a:stretch>
                            <a:fillRect/>
                          </a:stretch>
                        </pic:blipFill>
                        <pic:spPr bwMode="auto">
                          <a:xfrm>
                            <a:off x="0" y="0"/>
                            <a:ext cx="2280920" cy="241935"/>
                          </a:xfrm>
                          <a:prstGeom prst="rect">
                            <a:avLst/>
                          </a:prstGeom>
                        </pic:spPr>
                      </pic:pic>
                    </a:graphicData>
                  </a:graphic>
                </wp:inline>
              </w:drawing>
            </w:r>
          </w:p>
        </w:tc>
        <w:tc>
          <w:tcPr>
            <w:tcW w:w="1365" w:type="dxa"/>
            <w:tcBorders/>
            <w:shd w:fill="auto" w:val="clear"/>
          </w:tcPr>
          <w:p>
            <w:pPr>
              <w:pStyle w:val="Normal"/>
              <w:snapToGrid w:val="false"/>
              <w:rPr/>
            </w:pPr>
            <w:r>
              <w:rPr/>
            </w:r>
          </w:p>
          <w:p>
            <w:pPr>
              <w:pStyle w:val="Normal"/>
              <w:rPr/>
            </w:pPr>
            <w:r>
              <w:rPr/>
              <w:t xml:space="preserve">             </w:t>
            </w:r>
            <w:r>
              <w:rPr/>
              <w:t>(9)</w:t>
            </w:r>
          </w:p>
          <w:p>
            <w:pPr>
              <w:pStyle w:val="Normal"/>
              <w:rPr/>
            </w:pPr>
            <w:r>
              <w:rPr/>
            </w:r>
          </w:p>
        </w:tc>
      </w:tr>
    </w:tbl>
    <w:p>
      <w:pPr>
        <w:pStyle w:val="Normal"/>
        <w:ind w:firstLine="1395"/>
        <w:jc w:val="both"/>
        <w:rPr/>
      </w:pPr>
      <w:r>
        <w:rPr/>
      </w:r>
    </w:p>
    <w:p>
      <w:pPr>
        <w:pStyle w:val="Normal"/>
        <w:ind w:firstLine="135"/>
        <w:jc w:val="both"/>
        <w:rPr/>
      </w:pPr>
      <w:r>
        <w:rPr/>
        <w:tab/>
      </w:r>
    </w:p>
    <w:p>
      <w:pPr>
        <w:pStyle w:val="Normal"/>
        <w:ind w:firstLine="270"/>
        <w:jc w:val="both"/>
        <w:rPr/>
      </w:pPr>
      <w:r>
        <w:rPr/>
      </w:r>
    </w:p>
    <w:p>
      <w:pPr>
        <w:pStyle w:val="Normal"/>
        <w:ind w:firstLine="270"/>
        <w:jc w:val="both"/>
        <w:rPr/>
      </w:pPr>
      <w:r>
        <w:rPr/>
        <w:t xml:space="preserve">где i(p1) -  рабочая плотность тока на аппарате первой ступени; </w:t>
      </w:r>
    </w:p>
    <w:p>
      <w:pPr>
        <w:pStyle w:val="Normal"/>
        <w:ind w:firstLine="270"/>
        <w:jc w:val="both"/>
        <w:rPr/>
      </w:pPr>
      <w:r>
        <w:rPr/>
      </w:r>
    </w:p>
    <w:p>
      <w:pPr>
        <w:pStyle w:val="Normal"/>
        <w:ind w:firstLine="225"/>
        <w:jc w:val="both"/>
        <w:rPr/>
      </w:pPr>
      <w:r>
        <w:rPr/>
        <w:t>i(p2), i(p3), i(p4) и т.д. - рабочие плотности тока на аппаратах 2, 3, 4 и других ступеней.</w:t>
      </w:r>
    </w:p>
    <w:p>
      <w:pPr>
        <w:pStyle w:val="Normal"/>
        <w:ind w:firstLine="225"/>
        <w:jc w:val="both"/>
        <w:rPr/>
      </w:pPr>
      <w:r>
        <w:rPr/>
      </w:r>
    </w:p>
    <w:p>
      <w:pPr>
        <w:pStyle w:val="Normal"/>
        <w:ind w:firstLine="225"/>
        <w:jc w:val="both"/>
        <w:rPr/>
      </w:pPr>
      <w:r>
        <w:rPr/>
        <w:t xml:space="preserve">19. При определении напряжения на электродах аппаратов всех ступеней (для выбора типа преобразователя тока) надлежит учитывать: падение напряжения на электродной системе, падение напряжения в мембранном пакете за счет омического сопротивления (обратной величины электропроводности) растворов и мембран, суммарный мембранный потенциал с учетом концентрационной поляризации. Расчет должен производиться для заданной температуры растворов.  </w:t>
      </w:r>
    </w:p>
    <w:tbl>
      <w:tblPr>
        <w:tblW w:w="8745" w:type="dxa"/>
        <w:jc w:val="start"/>
        <w:tblInd w:w="30" w:type="dxa"/>
        <w:tblBorders/>
        <w:tblCellMar>
          <w:top w:w="0" w:type="dxa"/>
          <w:start w:w="15" w:type="dxa"/>
          <w:bottom w:w="0" w:type="dxa"/>
          <w:end w:w="15" w:type="dxa"/>
        </w:tblCellMar>
      </w:tblPr>
      <w:tblGrid>
        <w:gridCol w:w="4020"/>
        <w:gridCol w:w="390"/>
        <w:gridCol w:w="1725"/>
        <w:gridCol w:w="660"/>
        <w:gridCol w:w="1950"/>
      </w:tblGrid>
      <w:tr>
        <w:trPr/>
        <w:tc>
          <w:tcPr>
            <w:tcW w:w="4020" w:type="dxa"/>
            <w:tcBorders/>
            <w:shd w:fill="auto" w:val="clear"/>
          </w:tcPr>
          <w:p>
            <w:pPr>
              <w:pStyle w:val="Normal"/>
              <w:rPr>
                <w:vanish/>
              </w:rPr>
            </w:pPr>
            <w:r>
              <w:rPr>
                <w:vanish/>
              </w:rPr>
              <w:t>#G0</w:t>
            </w:r>
          </w:p>
          <w:p>
            <w:pPr>
              <w:pStyle w:val="Normal"/>
              <w:rPr/>
            </w:pPr>
            <w:r>
              <w:rPr/>
              <w:t xml:space="preserve">     </w:t>
            </w:r>
            <w:r>
              <w:rPr/>
              <w:t xml:space="preserve">Величину удельной электропроводности </w:t>
            </w:r>
          </w:p>
          <w:p>
            <w:pPr>
              <w:pStyle w:val="Normal"/>
              <w:rPr/>
            </w:pPr>
            <w:r>
              <w:rPr/>
            </w:r>
          </w:p>
        </w:tc>
        <w:tc>
          <w:tcPr>
            <w:tcW w:w="390" w:type="dxa"/>
            <w:tcBorders/>
            <w:shd w:fill="auto" w:val="clear"/>
          </w:tcPr>
          <w:p>
            <w:pPr>
              <w:pStyle w:val="Normal"/>
              <w:rPr/>
            </w:pPr>
            <w:r>
              <w:rPr/>
              <w:t xml:space="preserve">  </w:t>
            </w:r>
          </w:p>
          <w:p>
            <w:pPr>
              <w:pStyle w:val="Normal"/>
              <w:rPr/>
            </w:pPr>
            <w:r>
              <w:rPr/>
              <w:drawing>
                <wp:inline distT="0" distB="0" distL="0" distR="0">
                  <wp:extent cx="207645" cy="184150"/>
                  <wp:effectExtent l="0" t="0" r="0" b="0"/>
                  <wp:docPr id="326" name="Изображение3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Изображение326" descr="" title=""/>
                          <pic:cNvPicPr>
                            <a:picLocks noChangeAspect="1" noChangeArrowheads="1"/>
                          </pic:cNvPicPr>
                        </pic:nvPicPr>
                        <pic:blipFill>
                          <a:blip r:embed="rId327"/>
                          <a:stretch>
                            <a:fillRect/>
                          </a:stretch>
                        </pic:blipFill>
                        <pic:spPr bwMode="auto">
                          <a:xfrm>
                            <a:off x="0" y="0"/>
                            <a:ext cx="207645" cy="184150"/>
                          </a:xfrm>
                          <a:prstGeom prst="rect">
                            <a:avLst/>
                          </a:prstGeom>
                        </pic:spPr>
                      </pic:pic>
                    </a:graphicData>
                  </a:graphic>
                </wp:inline>
              </w:drawing>
            </w:r>
          </w:p>
        </w:tc>
        <w:tc>
          <w:tcPr>
            <w:tcW w:w="4335" w:type="dxa"/>
            <w:gridSpan w:val="3"/>
            <w:tcBorders/>
            <w:shd w:fill="auto" w:val="clear"/>
          </w:tcPr>
          <w:p>
            <w:pPr>
              <w:pStyle w:val="Normal"/>
              <w:snapToGrid w:val="false"/>
              <w:rPr/>
            </w:pPr>
            <w:r>
              <w:rPr/>
            </w:r>
          </w:p>
          <w:p>
            <w:pPr>
              <w:pStyle w:val="Normal"/>
              <w:rPr/>
            </w:pPr>
            <w:r>
              <w:rPr/>
              <w:t xml:space="preserve">  </w:t>
            </w:r>
            <w:r>
              <w:rPr/>
              <w:t xml:space="preserve">диализата и рассола надлежит определять по </w:t>
            </w:r>
          </w:p>
          <w:p>
            <w:pPr>
              <w:pStyle w:val="Normal"/>
              <w:rPr/>
            </w:pPr>
            <w:r>
              <w:rPr/>
            </w:r>
          </w:p>
        </w:tc>
      </w:tr>
      <w:tr>
        <w:trPr/>
        <w:tc>
          <w:tcPr>
            <w:tcW w:w="6135" w:type="dxa"/>
            <w:gridSpan w:val="3"/>
            <w:tcBorders/>
            <w:shd w:fill="auto" w:val="clear"/>
          </w:tcPr>
          <w:p>
            <w:pPr>
              <w:pStyle w:val="Normal"/>
              <w:rPr/>
            </w:pPr>
            <w:r>
              <w:rPr/>
              <w:t xml:space="preserve">  </w:t>
            </w:r>
            <w:r>
              <w:rPr/>
              <w:t xml:space="preserve">номограмме в зависимости от отношения содержания сульфатов   </w:t>
            </w:r>
          </w:p>
          <w:p>
            <w:pPr>
              <w:pStyle w:val="Normal"/>
              <w:rPr/>
            </w:pPr>
            <w:r>
              <w:rPr/>
            </w:r>
          </w:p>
        </w:tc>
        <w:tc>
          <w:tcPr>
            <w:tcW w:w="660" w:type="dxa"/>
            <w:tcBorders/>
            <w:shd w:fill="auto" w:val="clear"/>
          </w:tcPr>
          <w:p>
            <w:pPr>
              <w:pStyle w:val="Normal"/>
              <w:rPr/>
            </w:pPr>
            <w:r>
              <w:rPr/>
              <w:drawing>
                <wp:inline distT="0" distB="0" distL="0" distR="0">
                  <wp:extent cx="322580" cy="207645"/>
                  <wp:effectExtent l="0" t="0" r="0" b="0"/>
                  <wp:docPr id="327" name="Изображение3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Изображение327" descr="" title=""/>
                          <pic:cNvPicPr>
                            <a:picLocks noChangeAspect="1" noChangeArrowheads="1"/>
                          </pic:cNvPicPr>
                        </pic:nvPicPr>
                        <pic:blipFill>
                          <a:blip r:embed="rId328"/>
                          <a:stretch>
                            <a:fillRect/>
                          </a:stretch>
                        </pic:blipFill>
                        <pic:spPr bwMode="auto">
                          <a:xfrm>
                            <a:off x="0" y="0"/>
                            <a:ext cx="322580" cy="207645"/>
                          </a:xfrm>
                          <a:prstGeom prst="rect">
                            <a:avLst/>
                          </a:prstGeom>
                        </pic:spPr>
                      </pic:pic>
                    </a:graphicData>
                  </a:graphic>
                </wp:inline>
              </w:drawing>
            </w:r>
            <w:r>
              <w:rPr/>
              <w:t xml:space="preserve">  </w:t>
            </w:r>
          </w:p>
          <w:p>
            <w:pPr>
              <w:pStyle w:val="Normal"/>
              <w:rPr/>
            </w:pPr>
            <w:r>
              <w:rPr/>
            </w:r>
          </w:p>
        </w:tc>
        <w:tc>
          <w:tcPr>
            <w:tcW w:w="1950" w:type="dxa"/>
            <w:tcBorders/>
            <w:shd w:fill="auto" w:val="clear"/>
            <w:tcMar>
              <w:start w:w="0" w:type="dxa"/>
              <w:end w:w="0" w:type="dxa"/>
            </w:tcMar>
          </w:tcPr>
          <w:p>
            <w:pPr>
              <w:pStyle w:val="Normal"/>
              <w:snapToGrid w:val="false"/>
              <w:rPr/>
            </w:pPr>
            <w:r>
              <w:rPr/>
            </w:r>
          </w:p>
        </w:tc>
      </w:tr>
    </w:tbl>
    <w:p>
      <w:pPr>
        <w:pStyle w:val="Normal"/>
        <w:ind w:firstLine="45"/>
        <w:jc w:val="both"/>
        <w:rPr/>
      </w:pPr>
      <w:r>
        <w:rPr/>
      </w:r>
    </w:p>
    <w:tbl>
      <w:tblPr>
        <w:tblW w:w="8385" w:type="dxa"/>
        <w:jc w:val="start"/>
        <w:tblInd w:w="45" w:type="dxa"/>
        <w:tblBorders/>
        <w:tblCellMar>
          <w:top w:w="0" w:type="dxa"/>
          <w:start w:w="15" w:type="dxa"/>
          <w:bottom w:w="0" w:type="dxa"/>
          <w:end w:w="15" w:type="dxa"/>
        </w:tblCellMar>
      </w:tblPr>
      <w:tblGrid>
        <w:gridCol w:w="165"/>
        <w:gridCol w:w="2565"/>
        <w:gridCol w:w="780"/>
        <w:gridCol w:w="1170"/>
        <w:gridCol w:w="540"/>
        <w:gridCol w:w="3165"/>
      </w:tblGrid>
      <w:tr>
        <w:trPr/>
        <w:tc>
          <w:tcPr>
            <w:tcW w:w="165" w:type="dxa"/>
            <w:tcBorders/>
            <w:shd w:fill="auto" w:val="clear"/>
          </w:tcPr>
          <w:p>
            <w:pPr>
              <w:pStyle w:val="Normal"/>
              <w:rPr/>
            </w:pPr>
            <w:r>
              <w:rPr>
                <w:vanish/>
              </w:rPr>
              <w:t>#G0</w:t>
            </w:r>
            <w:r>
              <w:rPr/>
              <w:t xml:space="preserve">к </w:t>
            </w:r>
          </w:p>
          <w:p>
            <w:pPr>
              <w:pStyle w:val="Normal"/>
              <w:rPr/>
            </w:pPr>
            <w:r>
              <w:rPr/>
            </w:r>
          </w:p>
        </w:tc>
        <w:tc>
          <w:tcPr>
            <w:tcW w:w="2565" w:type="dxa"/>
            <w:tcBorders/>
            <w:shd w:fill="auto" w:val="clear"/>
          </w:tcPr>
          <w:p>
            <w:pPr>
              <w:pStyle w:val="Normal"/>
              <w:rPr/>
            </w:pPr>
            <w:r>
              <w:rPr/>
              <w:t xml:space="preserve">общему количеству анионов </w:t>
            </w:r>
          </w:p>
          <w:p>
            <w:pPr>
              <w:pStyle w:val="Normal"/>
              <w:rPr/>
            </w:pPr>
            <w:r>
              <w:rPr/>
            </w:r>
          </w:p>
        </w:tc>
        <w:tc>
          <w:tcPr>
            <w:tcW w:w="780" w:type="dxa"/>
            <w:tcBorders/>
            <w:shd w:fill="auto" w:val="clear"/>
          </w:tcPr>
          <w:p>
            <w:pPr>
              <w:pStyle w:val="Normal"/>
              <w:rPr/>
            </w:pPr>
            <w:r>
              <w:rPr/>
              <w:drawing>
                <wp:inline distT="0" distB="0" distL="0" distR="0">
                  <wp:extent cx="241935" cy="172720"/>
                  <wp:effectExtent l="0" t="0" r="0" b="0"/>
                  <wp:docPr id="328" name="Изображение3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Изображение328" descr="" title=""/>
                          <pic:cNvPicPr>
                            <a:picLocks noChangeAspect="1" noChangeArrowheads="1"/>
                          </pic:cNvPicPr>
                        </pic:nvPicPr>
                        <pic:blipFill>
                          <a:blip r:embed="rId329"/>
                          <a:stretch>
                            <a:fillRect/>
                          </a:stretch>
                        </pic:blipFill>
                        <pic:spPr bwMode="auto">
                          <a:xfrm>
                            <a:off x="0" y="0"/>
                            <a:ext cx="241935" cy="172720"/>
                          </a:xfrm>
                          <a:prstGeom prst="rect">
                            <a:avLst/>
                          </a:prstGeom>
                        </pic:spPr>
                      </pic:pic>
                    </a:graphicData>
                  </a:graphic>
                </wp:inline>
              </w:drawing>
            </w:r>
            <w:r>
              <w:rPr/>
              <w:t xml:space="preserve">  </w:t>
            </w:r>
          </w:p>
          <w:p>
            <w:pPr>
              <w:pStyle w:val="Normal"/>
              <w:rPr/>
            </w:pPr>
            <w:r>
              <w:rPr/>
            </w:r>
          </w:p>
        </w:tc>
        <w:tc>
          <w:tcPr>
            <w:tcW w:w="1170" w:type="dxa"/>
            <w:tcBorders/>
            <w:shd w:fill="auto" w:val="clear"/>
          </w:tcPr>
          <w:p>
            <w:pPr>
              <w:pStyle w:val="Normal"/>
              <w:rPr/>
            </w:pPr>
            <w:r>
              <w:rPr/>
              <w:t xml:space="preserve">температуры </w:t>
            </w:r>
          </w:p>
          <w:p>
            <w:pPr>
              <w:pStyle w:val="Normal"/>
              <w:rPr/>
            </w:pPr>
            <w:r>
              <w:rPr/>
            </w:r>
          </w:p>
        </w:tc>
        <w:tc>
          <w:tcPr>
            <w:tcW w:w="540" w:type="dxa"/>
            <w:tcBorders/>
            <w:shd w:fill="auto" w:val="clear"/>
          </w:tcPr>
          <w:p>
            <w:pPr>
              <w:pStyle w:val="Normal"/>
              <w:rPr/>
            </w:pPr>
            <w:r>
              <w:rPr/>
              <w:drawing>
                <wp:inline distT="0" distB="0" distL="0" distR="0">
                  <wp:extent cx="127000" cy="184150"/>
                  <wp:effectExtent l="0" t="0" r="0" b="0"/>
                  <wp:docPr id="329" name="Изображение3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Изображение329" descr="" title=""/>
                          <pic:cNvPicPr>
                            <a:picLocks noChangeAspect="1" noChangeArrowheads="1"/>
                          </pic:cNvPicPr>
                        </pic:nvPicPr>
                        <pic:blipFill>
                          <a:blip r:embed="rId330"/>
                          <a:stretch>
                            <a:fillRect/>
                          </a:stretch>
                        </pic:blipFill>
                        <pic:spPr bwMode="auto">
                          <a:xfrm>
                            <a:off x="0" y="0"/>
                            <a:ext cx="127000" cy="184150"/>
                          </a:xfrm>
                          <a:prstGeom prst="rect">
                            <a:avLst/>
                          </a:prstGeom>
                        </pic:spPr>
                      </pic:pic>
                    </a:graphicData>
                  </a:graphic>
                </wp:inline>
              </w:drawing>
            </w:r>
            <w:r>
              <w:rPr/>
              <w:t xml:space="preserve">  </w:t>
            </w:r>
          </w:p>
          <w:p>
            <w:pPr>
              <w:pStyle w:val="Normal"/>
              <w:rPr/>
            </w:pPr>
            <w:r>
              <w:rPr/>
            </w:r>
          </w:p>
        </w:tc>
        <w:tc>
          <w:tcPr>
            <w:tcW w:w="3165" w:type="dxa"/>
            <w:tcBorders/>
            <w:shd w:fill="auto" w:val="clear"/>
          </w:tcPr>
          <w:p>
            <w:pPr>
              <w:pStyle w:val="Normal"/>
              <w:rPr/>
            </w:pPr>
            <w:r>
              <w:rPr/>
              <w:t>и концентрации солей Сс (рисунок).</w:t>
            </w:r>
          </w:p>
          <w:p>
            <w:pPr>
              <w:pStyle w:val="Normal"/>
              <w:rPr/>
            </w:pPr>
            <w:r>
              <w:rPr/>
            </w:r>
          </w:p>
        </w:tc>
      </w:tr>
    </w:tbl>
    <w:p>
      <w:pPr>
        <w:pStyle w:val="Normal"/>
        <w:jc w:val="both"/>
        <w:rPr/>
      </w:pPr>
      <w:r>
        <w:rPr/>
      </w:r>
    </w:p>
    <w:p>
      <w:pPr>
        <w:pStyle w:val="Normal"/>
        <w:jc w:val="both"/>
        <w:rPr/>
      </w:pPr>
      <w:r>
        <w:rPr/>
      </w:r>
    </w:p>
    <w:p>
      <w:pPr>
        <w:pStyle w:val="Normal"/>
        <w:jc w:val="center"/>
        <w:rPr/>
      </w:pPr>
      <w:r>
        <w:rPr/>
        <w:drawing>
          <wp:inline distT="0" distB="0" distL="0" distR="0">
            <wp:extent cx="6629400" cy="11649075"/>
            <wp:effectExtent l="0" t="0" r="0" b="0"/>
            <wp:docPr id="330" name="Изображение3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Изображение330" descr="" title=""/>
                    <pic:cNvPicPr>
                      <a:picLocks noChangeAspect="1" noChangeArrowheads="1"/>
                    </pic:cNvPicPr>
                  </pic:nvPicPr>
                  <pic:blipFill>
                    <a:blip r:embed="rId331"/>
                    <a:stretch>
                      <a:fillRect/>
                    </a:stretch>
                  </pic:blipFill>
                  <pic:spPr bwMode="auto">
                    <a:xfrm>
                      <a:off x="0" y="0"/>
                      <a:ext cx="6629400" cy="11649075"/>
                    </a:xfrm>
                    <a:prstGeom prst="rect">
                      <a:avLst/>
                    </a:prstGeom>
                  </pic:spPr>
                </pic:pic>
              </a:graphicData>
            </a:graphic>
          </wp:inline>
        </w:drawing>
      </w:r>
    </w:p>
    <w:p>
      <w:pPr>
        <w:pStyle w:val="Normal"/>
        <w:jc w:val="center"/>
        <w:rPr/>
      </w:pPr>
      <w:r>
        <w:rPr/>
        <w:t xml:space="preserve">Пример. Дано: С = 40 мг-экв/л; </w:t>
      </w:r>
    </w:p>
    <w:tbl>
      <w:tblPr>
        <w:tblW w:w="3210" w:type="dxa"/>
        <w:jc w:val="start"/>
        <w:tblInd w:w="165" w:type="dxa"/>
        <w:tblBorders/>
        <w:tblCellMar>
          <w:top w:w="0" w:type="dxa"/>
          <w:start w:w="15" w:type="dxa"/>
          <w:bottom w:w="0" w:type="dxa"/>
          <w:end w:w="15" w:type="dxa"/>
        </w:tblCellMar>
      </w:tblPr>
      <w:tblGrid>
        <w:gridCol w:w="720"/>
        <w:gridCol w:w="780"/>
        <w:gridCol w:w="210"/>
        <w:gridCol w:w="255"/>
        <w:gridCol w:w="645"/>
        <w:gridCol w:w="600"/>
      </w:tblGrid>
      <w:tr>
        <w:trPr/>
        <w:tc>
          <w:tcPr>
            <w:tcW w:w="720" w:type="dxa"/>
            <w:tcBorders/>
            <w:shd w:fill="auto" w:val="clear"/>
          </w:tcPr>
          <w:p>
            <w:pPr>
              <w:pStyle w:val="Normal"/>
              <w:rPr>
                <w:vanish/>
              </w:rPr>
            </w:pPr>
            <w:r>
              <w:rPr>
                <w:vanish/>
              </w:rPr>
              <w:t>#G0</w:t>
            </w:r>
          </w:p>
          <w:p>
            <w:pPr>
              <w:pStyle w:val="Normal"/>
              <w:rPr/>
            </w:pPr>
            <w:r>
              <w:rPr/>
              <w:t xml:space="preserve">            </w:t>
            </w:r>
            <w:r>
              <w:rPr/>
              <w:t>[</w:t>
            </w:r>
          </w:p>
          <w:p>
            <w:pPr>
              <w:pStyle w:val="Normal"/>
              <w:rPr/>
            </w:pPr>
            <w:r>
              <w:rPr/>
            </w:r>
          </w:p>
        </w:tc>
        <w:tc>
          <w:tcPr>
            <w:tcW w:w="780" w:type="dxa"/>
            <w:tcBorders/>
            <w:shd w:fill="auto" w:val="clear"/>
          </w:tcPr>
          <w:p>
            <w:pPr>
              <w:pStyle w:val="Normal"/>
              <w:rPr/>
            </w:pPr>
            <w:r>
              <w:rPr/>
              <w:t xml:space="preserve">  </w:t>
            </w:r>
          </w:p>
          <w:p>
            <w:pPr>
              <w:pStyle w:val="Normal"/>
              <w:rPr/>
            </w:pPr>
            <w:r>
              <w:rPr/>
              <w:drawing>
                <wp:inline distT="0" distB="0" distL="0" distR="0">
                  <wp:extent cx="391795" cy="241935"/>
                  <wp:effectExtent l="0" t="0" r="0" b="0"/>
                  <wp:docPr id="331" name="Изображение3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Изображение331" descr="" title=""/>
                          <pic:cNvPicPr>
                            <a:picLocks noChangeAspect="1" noChangeArrowheads="1"/>
                          </pic:cNvPicPr>
                        </pic:nvPicPr>
                        <pic:blipFill>
                          <a:blip r:embed="rId332"/>
                          <a:stretch>
                            <a:fillRect/>
                          </a:stretch>
                        </pic:blipFill>
                        <pic:spPr bwMode="auto">
                          <a:xfrm>
                            <a:off x="0" y="0"/>
                            <a:ext cx="391795" cy="241935"/>
                          </a:xfrm>
                          <a:prstGeom prst="rect">
                            <a:avLst/>
                          </a:prstGeom>
                        </pic:spPr>
                      </pic:pic>
                    </a:graphicData>
                  </a:graphic>
                </wp:inline>
              </w:drawing>
            </w:r>
          </w:p>
        </w:tc>
        <w:tc>
          <w:tcPr>
            <w:tcW w:w="210" w:type="dxa"/>
            <w:tcBorders/>
            <w:shd w:fill="auto" w:val="clear"/>
          </w:tcPr>
          <w:p>
            <w:pPr>
              <w:pStyle w:val="Normal"/>
              <w:rPr/>
            </w:pPr>
            <w:r>
              <w:rPr/>
              <w:t xml:space="preserve">     </w:t>
            </w:r>
            <w:r>
              <w:rPr/>
              <w:t xml:space="preserve">]  </w:t>
            </w:r>
          </w:p>
          <w:p>
            <w:pPr>
              <w:pStyle w:val="Normal"/>
              <w:rPr/>
            </w:pPr>
            <w:r>
              <w:rPr/>
            </w:r>
          </w:p>
        </w:tc>
        <w:tc>
          <w:tcPr>
            <w:tcW w:w="255" w:type="dxa"/>
            <w:tcBorders/>
            <w:shd w:fill="auto" w:val="clear"/>
          </w:tcPr>
          <w:p>
            <w:pPr>
              <w:pStyle w:val="Normal"/>
              <w:snapToGrid w:val="false"/>
              <w:rPr/>
            </w:pPr>
            <w:r>
              <w:rPr/>
            </w:r>
          </w:p>
          <w:p>
            <w:pPr>
              <w:pStyle w:val="Normal"/>
              <w:rPr/>
            </w:pPr>
            <w:r>
              <w:rPr/>
              <w:t xml:space="preserve">  </w:t>
            </w:r>
            <w:r>
              <w:rPr/>
              <w:t xml:space="preserve">/  </w:t>
            </w:r>
          </w:p>
          <w:p>
            <w:pPr>
              <w:pStyle w:val="Normal"/>
              <w:rPr/>
            </w:pPr>
            <w:r>
              <w:rPr/>
            </w:r>
          </w:p>
        </w:tc>
        <w:tc>
          <w:tcPr>
            <w:tcW w:w="645" w:type="dxa"/>
            <w:tcBorders/>
            <w:shd w:fill="auto" w:val="clear"/>
          </w:tcPr>
          <w:p>
            <w:pPr>
              <w:pStyle w:val="Normal"/>
              <w:rPr/>
            </w:pPr>
            <w:r>
              <w:rPr/>
              <w:t xml:space="preserve">  </w:t>
            </w:r>
          </w:p>
          <w:p>
            <w:pPr>
              <w:pStyle w:val="Normal"/>
              <w:rPr/>
            </w:pPr>
            <w:r>
              <w:rPr/>
              <w:drawing>
                <wp:inline distT="0" distB="0" distL="0" distR="0">
                  <wp:extent cx="207645" cy="149860"/>
                  <wp:effectExtent l="0" t="0" r="0" b="0"/>
                  <wp:docPr id="332" name="Изображение3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Изображение332" descr="" title=""/>
                          <pic:cNvPicPr>
                            <a:picLocks noChangeAspect="1" noChangeArrowheads="1"/>
                          </pic:cNvPicPr>
                        </pic:nvPicPr>
                        <pic:blipFill>
                          <a:blip r:embed="rId333"/>
                          <a:stretch>
                            <a:fillRect/>
                          </a:stretch>
                        </pic:blipFill>
                        <pic:spPr bwMode="auto">
                          <a:xfrm>
                            <a:off x="0" y="0"/>
                            <a:ext cx="207645" cy="149860"/>
                          </a:xfrm>
                          <a:prstGeom prst="rect">
                            <a:avLst/>
                          </a:prstGeom>
                        </pic:spPr>
                      </pic:pic>
                    </a:graphicData>
                  </a:graphic>
                </wp:inline>
              </w:drawing>
            </w:r>
          </w:p>
        </w:tc>
        <w:tc>
          <w:tcPr>
            <w:tcW w:w="600" w:type="dxa"/>
            <w:tcBorders/>
            <w:shd w:fill="auto" w:val="clear"/>
          </w:tcPr>
          <w:p>
            <w:pPr>
              <w:pStyle w:val="Normal"/>
              <w:rPr/>
            </w:pPr>
            <w:r>
              <w:rPr/>
              <w:t xml:space="preserve">       </w:t>
            </w:r>
            <w:r>
              <w:rPr/>
              <w:t>=0,2;</w:t>
            </w:r>
          </w:p>
          <w:p>
            <w:pPr>
              <w:pStyle w:val="Normal"/>
              <w:rPr/>
            </w:pPr>
            <w:r>
              <w:rPr/>
            </w:r>
          </w:p>
        </w:tc>
      </w:tr>
    </w:tbl>
    <w:p>
      <w:pPr>
        <w:pStyle w:val="Normal"/>
        <w:jc w:val="center"/>
        <w:rPr/>
      </w:pPr>
      <w:r>
        <w:rPr/>
        <w:t xml:space="preserve">                     </w:t>
      </w:r>
      <w:r>
        <w:rPr/>
        <w:t>t = 10  град.C.</w:t>
      </w:r>
    </w:p>
    <w:p>
      <w:pPr>
        <w:pStyle w:val="Normal"/>
        <w:jc w:val="center"/>
        <w:rPr/>
      </w:pPr>
      <w:r>
        <w:rPr/>
      </w:r>
    </w:p>
    <w:p>
      <w:pPr>
        <w:pStyle w:val="Normal"/>
        <w:ind w:firstLine="1890"/>
        <w:jc w:val="both"/>
        <w:rPr/>
      </w:pPr>
      <w:r>
        <w:rPr/>
        <w:t xml:space="preserve">Ответ: </w:t>
      </w:r>
    </w:p>
    <w:p>
      <w:pPr>
        <w:pStyle w:val="Normal"/>
        <w:ind w:firstLine="225"/>
        <w:jc w:val="both"/>
        <w:rPr/>
      </w:pPr>
      <w:r>
        <w:rPr/>
      </w:r>
    </w:p>
    <w:tbl>
      <w:tblPr>
        <w:tblW w:w="3750" w:type="dxa"/>
        <w:jc w:val="start"/>
        <w:tblInd w:w="165" w:type="dxa"/>
        <w:tblBorders/>
        <w:tblCellMar>
          <w:top w:w="0" w:type="dxa"/>
          <w:start w:w="15" w:type="dxa"/>
          <w:bottom w:w="0" w:type="dxa"/>
          <w:end w:w="15" w:type="dxa"/>
        </w:tblCellMar>
      </w:tblPr>
      <w:tblGrid>
        <w:gridCol w:w="450"/>
        <w:gridCol w:w="2460"/>
        <w:gridCol w:w="450"/>
        <w:gridCol w:w="390"/>
      </w:tblGrid>
      <w:tr>
        <w:trPr/>
        <w:tc>
          <w:tcPr>
            <w:tcW w:w="450" w:type="dxa"/>
            <w:tcBorders/>
            <w:shd w:fill="auto" w:val="clear"/>
          </w:tcPr>
          <w:p>
            <w:pPr>
              <w:pStyle w:val="Normal"/>
              <w:rPr/>
            </w:pPr>
            <w:r>
              <w:rPr>
                <w:vanish/>
              </w:rPr>
              <w:t>#G0</w:t>
            </w:r>
            <w:r>
              <w:rPr/>
              <w:t xml:space="preserve"> </w:t>
            </w:r>
          </w:p>
          <w:p>
            <w:pPr>
              <w:pStyle w:val="Normal"/>
              <w:rPr/>
            </w:pPr>
            <w:r>
              <w:rPr/>
              <w:drawing>
                <wp:inline distT="0" distB="0" distL="0" distR="0">
                  <wp:extent cx="207645" cy="184150"/>
                  <wp:effectExtent l="0" t="0" r="0" b="0"/>
                  <wp:docPr id="333" name="Изображение3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Изображение333" descr="" title=""/>
                          <pic:cNvPicPr>
                            <a:picLocks noChangeAspect="1" noChangeArrowheads="1"/>
                          </pic:cNvPicPr>
                        </pic:nvPicPr>
                        <pic:blipFill>
                          <a:blip r:embed="rId334"/>
                          <a:stretch>
                            <a:fillRect/>
                          </a:stretch>
                        </pic:blipFill>
                        <pic:spPr bwMode="auto">
                          <a:xfrm>
                            <a:off x="0" y="0"/>
                            <a:ext cx="207645" cy="184150"/>
                          </a:xfrm>
                          <a:prstGeom prst="rect">
                            <a:avLst/>
                          </a:prstGeom>
                        </pic:spPr>
                      </pic:pic>
                    </a:graphicData>
                  </a:graphic>
                </wp:inline>
              </w:drawing>
            </w:r>
          </w:p>
          <w:p>
            <w:pPr>
              <w:pStyle w:val="Normal"/>
              <w:rPr/>
            </w:pPr>
            <w:r>
              <w:rPr/>
            </w:r>
          </w:p>
        </w:tc>
        <w:tc>
          <w:tcPr>
            <w:tcW w:w="2460" w:type="dxa"/>
            <w:tcBorders/>
            <w:shd w:fill="auto" w:val="clear"/>
          </w:tcPr>
          <w:p>
            <w:pPr>
              <w:pStyle w:val="Normal"/>
              <w:rPr/>
            </w:pPr>
            <w:r>
              <w:rPr/>
              <w:t xml:space="preserve">        </w:t>
            </w:r>
          </w:p>
          <w:p>
            <w:pPr>
              <w:pStyle w:val="Normal"/>
              <w:rPr/>
            </w:pPr>
            <w:r>
              <w:rPr/>
              <w:drawing>
                <wp:inline distT="0" distB="0" distL="0" distR="0">
                  <wp:extent cx="1082675" cy="195580"/>
                  <wp:effectExtent l="0" t="0" r="0" b="0"/>
                  <wp:docPr id="334" name="Изображение3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Изображение334" descr="" title=""/>
                          <pic:cNvPicPr>
                            <a:picLocks noChangeAspect="1" noChangeArrowheads="1"/>
                          </pic:cNvPicPr>
                        </pic:nvPicPr>
                        <pic:blipFill>
                          <a:blip r:embed="rId335"/>
                          <a:stretch>
                            <a:fillRect/>
                          </a:stretch>
                        </pic:blipFill>
                        <pic:spPr bwMode="auto">
                          <a:xfrm>
                            <a:off x="0" y="0"/>
                            <a:ext cx="1082675" cy="195580"/>
                          </a:xfrm>
                          <a:prstGeom prst="rect">
                            <a:avLst/>
                          </a:prstGeom>
                        </pic:spPr>
                      </pic:pic>
                    </a:graphicData>
                  </a:graphic>
                </wp:inline>
              </w:drawing>
            </w:r>
            <w:r>
              <w:rPr/>
              <w:t xml:space="preserve">  </w:t>
            </w:r>
          </w:p>
          <w:p>
            <w:pPr>
              <w:pStyle w:val="Normal"/>
              <w:rPr/>
            </w:pPr>
            <w:r>
              <w:rPr/>
            </w:r>
          </w:p>
        </w:tc>
        <w:tc>
          <w:tcPr>
            <w:tcW w:w="450" w:type="dxa"/>
            <w:tcBorders/>
            <w:shd w:fill="auto" w:val="clear"/>
          </w:tcPr>
          <w:p>
            <w:pPr>
              <w:pStyle w:val="Normal"/>
              <w:rPr/>
            </w:pPr>
            <w:r>
              <w:rPr/>
              <w:t xml:space="preserve">  </w:t>
            </w:r>
          </w:p>
          <w:p>
            <w:pPr>
              <w:pStyle w:val="Normal"/>
              <w:rPr/>
            </w:pPr>
            <w:r>
              <w:rPr/>
            </w:r>
          </w:p>
        </w:tc>
        <w:tc>
          <w:tcPr>
            <w:tcW w:w="390" w:type="dxa"/>
            <w:tcBorders/>
            <w:shd w:fill="auto" w:val="clear"/>
            <w:tcMar>
              <w:start w:w="0" w:type="dxa"/>
              <w:end w:w="0" w:type="dxa"/>
            </w:tcMar>
          </w:tcPr>
          <w:p>
            <w:pPr>
              <w:pStyle w:val="Normal"/>
              <w:snapToGrid w:val="false"/>
              <w:rPr/>
            </w:pPr>
            <w:r>
              <w:rPr/>
            </w:r>
          </w:p>
        </w:tc>
      </w:tr>
      <w:tr>
        <w:trPr/>
        <w:tc>
          <w:tcPr>
            <w:tcW w:w="450" w:type="dxa"/>
            <w:tcBorders/>
            <w:shd w:fill="auto" w:val="clear"/>
          </w:tcPr>
          <w:p>
            <w:pPr>
              <w:pStyle w:val="Normal"/>
              <w:rPr/>
            </w:pPr>
            <w:r>
              <w:rPr/>
              <w:t xml:space="preserve">      </w:t>
            </w:r>
          </w:p>
          <w:p>
            <w:pPr>
              <w:pStyle w:val="Normal"/>
              <w:rPr/>
            </w:pPr>
            <w:r>
              <w:rPr/>
              <w:drawing>
                <wp:inline distT="0" distB="0" distL="0" distR="0">
                  <wp:extent cx="207645" cy="184150"/>
                  <wp:effectExtent l="0" t="0" r="0" b="0"/>
                  <wp:docPr id="335" name="Изображение3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Изображение335" descr="" title=""/>
                          <pic:cNvPicPr>
                            <a:picLocks noChangeAspect="1" noChangeArrowheads="1"/>
                          </pic:cNvPicPr>
                        </pic:nvPicPr>
                        <pic:blipFill>
                          <a:blip r:embed="rId336"/>
                          <a:stretch>
                            <a:fillRect/>
                          </a:stretch>
                        </pic:blipFill>
                        <pic:spPr bwMode="auto">
                          <a:xfrm>
                            <a:off x="0" y="0"/>
                            <a:ext cx="207645" cy="184150"/>
                          </a:xfrm>
                          <a:prstGeom prst="rect">
                            <a:avLst/>
                          </a:prstGeom>
                        </pic:spPr>
                      </pic:pic>
                    </a:graphicData>
                  </a:graphic>
                </wp:inline>
              </w:drawing>
            </w:r>
          </w:p>
        </w:tc>
        <w:tc>
          <w:tcPr>
            <w:tcW w:w="3300" w:type="dxa"/>
            <w:gridSpan w:val="3"/>
            <w:tcBorders/>
            <w:shd w:fill="auto" w:val="clear"/>
          </w:tcPr>
          <w:p>
            <w:pPr>
              <w:pStyle w:val="Normal"/>
              <w:rPr/>
            </w:pPr>
            <w:r>
              <w:rPr/>
              <w:t xml:space="preserve">  </w:t>
            </w:r>
          </w:p>
          <w:p>
            <w:pPr>
              <w:pStyle w:val="Normal"/>
              <w:rPr/>
            </w:pPr>
            <w:r>
              <w:rPr/>
              <w:drawing>
                <wp:inline distT="0" distB="0" distL="0" distR="0">
                  <wp:extent cx="1590040" cy="207645"/>
                  <wp:effectExtent l="0" t="0" r="0" b="0"/>
                  <wp:docPr id="336" name="Изображение3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Изображение336" descr="" title=""/>
                          <pic:cNvPicPr>
                            <a:picLocks noChangeAspect="1" noChangeArrowheads="1"/>
                          </pic:cNvPicPr>
                        </pic:nvPicPr>
                        <pic:blipFill>
                          <a:blip r:embed="rId337"/>
                          <a:stretch>
                            <a:fillRect/>
                          </a:stretch>
                        </pic:blipFill>
                        <pic:spPr bwMode="auto">
                          <a:xfrm>
                            <a:off x="0" y="0"/>
                            <a:ext cx="1590040" cy="207645"/>
                          </a:xfrm>
                          <a:prstGeom prst="rect">
                            <a:avLst/>
                          </a:prstGeom>
                        </pic:spPr>
                      </pic:pic>
                    </a:graphicData>
                  </a:graphic>
                </wp:inline>
              </w:drawing>
            </w:r>
          </w:p>
        </w:tc>
      </w:tr>
    </w:tbl>
    <w:p>
      <w:pPr>
        <w:pStyle w:val="Normal"/>
        <w:ind w:firstLine="1800"/>
        <w:jc w:val="both"/>
        <w:rPr/>
      </w:pPr>
      <w:r>
        <w:rPr/>
      </w:r>
    </w:p>
    <w:p>
      <w:pPr>
        <w:pStyle w:val="Normal"/>
        <w:jc w:val="center"/>
        <w:rPr/>
      </w:pPr>
      <w:r>
        <w:rPr/>
        <w:t>(мг-экв/л)/(мг-экв/л)</w:t>
      </w:r>
    </w:p>
    <w:p>
      <w:pPr>
        <w:pStyle w:val="Normal"/>
        <w:jc w:val="both"/>
        <w:rPr/>
      </w:pPr>
      <w:r>
        <w:rPr/>
      </w:r>
    </w:p>
    <w:p>
      <w:pPr>
        <w:pStyle w:val="Normal"/>
        <w:ind w:firstLine="225"/>
        <w:jc w:val="both"/>
        <w:rPr/>
      </w:pPr>
      <w:r>
        <w:rPr/>
        <w:t>20. Концентрация рассола на выходе из последней ступени не должна быть выше предельной концентрации, определяемой из условий невыпадения соединений сульфата кальция (произведение активных концентраций сульфатов и кальция в рассоле не должно превышать произведения растворимости сульфата кальция при температуре рассола в аппарате).</w:t>
      </w:r>
    </w:p>
    <w:p>
      <w:pPr>
        <w:pStyle w:val="Normal"/>
        <w:ind w:firstLine="225"/>
        <w:jc w:val="both"/>
        <w:rPr/>
      </w:pPr>
      <w:r>
        <w:rPr/>
      </w:r>
    </w:p>
    <w:p>
      <w:pPr>
        <w:pStyle w:val="Normal"/>
        <w:ind w:firstLine="225"/>
        <w:jc w:val="both"/>
        <w:rPr/>
      </w:pPr>
      <w:r>
        <w:rPr/>
        <w:t>Расчетные концентрации рассола в каждой ступени определяются так же, как и концентрации диализата. Концентрации рассола на входе в аппарат и выходе из него, а также кратность рециркуляции рассола определяются на основе балансовых расчетов.</w:t>
      </w:r>
    </w:p>
    <w:p>
      <w:pPr>
        <w:pStyle w:val="Normal"/>
        <w:ind w:firstLine="225"/>
        <w:jc w:val="both"/>
        <w:rPr/>
      </w:pPr>
      <w:r>
        <w:rPr/>
      </w:r>
    </w:p>
    <w:p>
      <w:pPr>
        <w:pStyle w:val="Normal"/>
        <w:ind w:firstLine="225"/>
        <w:jc w:val="both"/>
        <w:rPr/>
      </w:pPr>
      <w:r>
        <w:rPr/>
        <w:t>21. Борьба с отложениями солей на поверхности мембран со стороны рассольного тракта и в катодной камере должна предусматриваться переполюсовкой электродов с одновременным переключением трактов диализата рассола, а также подкислением рассола и католита.</w:t>
      </w:r>
    </w:p>
    <w:p>
      <w:pPr>
        <w:pStyle w:val="Normal"/>
        <w:ind w:firstLine="225"/>
        <w:jc w:val="both"/>
        <w:rPr/>
      </w:pPr>
      <w:r>
        <w:rPr/>
      </w:r>
    </w:p>
    <w:p>
      <w:pPr>
        <w:pStyle w:val="Normal"/>
        <w:ind w:firstLine="225"/>
        <w:jc w:val="both"/>
        <w:rPr/>
      </w:pPr>
      <w:r>
        <w:rPr/>
        <w:t>Дозу кислоты необходимо принимать равной щелочности исходной воды.</w:t>
      </w:r>
    </w:p>
    <w:p>
      <w:pPr>
        <w:pStyle w:val="Normal"/>
        <w:ind w:firstLine="225"/>
        <w:jc w:val="both"/>
        <w:rPr/>
      </w:pPr>
      <w:r>
        <w:rPr/>
      </w:r>
    </w:p>
    <w:p>
      <w:pPr>
        <w:pStyle w:val="Normal"/>
        <w:ind w:firstLine="225"/>
        <w:jc w:val="both"/>
        <w:rPr/>
      </w:pPr>
      <w:r>
        <w:rPr/>
        <w:t>Допускается при обосновании периодическая отмывка трактов с повышенными дозами кислоты.</w:t>
      </w:r>
    </w:p>
    <w:p>
      <w:pPr>
        <w:pStyle w:val="Normal"/>
        <w:ind w:firstLine="225"/>
        <w:jc w:val="both"/>
        <w:rPr/>
      </w:pPr>
      <w:r>
        <w:rPr/>
      </w:r>
    </w:p>
    <w:p>
      <w:pPr>
        <w:pStyle w:val="Normal"/>
        <w:ind w:firstLine="225"/>
        <w:jc w:val="both"/>
        <w:rPr/>
      </w:pPr>
      <w:r>
        <w:rPr/>
        <w:t>22. Трубопроводы опреснительных установок должны приниматься из полиэтиленовых труб, арматура - футерованная полиэтиленом или эмалированная.</w:t>
      </w:r>
    </w:p>
    <w:p>
      <w:pPr>
        <w:pStyle w:val="Normal"/>
        <w:ind w:firstLine="225"/>
        <w:jc w:val="both"/>
        <w:rPr/>
      </w:pPr>
      <w:r>
        <w:rPr/>
      </w:r>
    </w:p>
    <w:p>
      <w:pPr>
        <w:pStyle w:val="Normal"/>
        <w:ind w:firstLine="225"/>
        <w:jc w:val="both"/>
        <w:rPr/>
      </w:pPr>
      <w:r>
        <w:rPr/>
        <w:t>23. В каждом из трактов прямоточной установки должен предусматриваться контроль за расходами, температурой, солесодержанием и рН.</w:t>
      </w:r>
    </w:p>
    <w:p>
      <w:pPr>
        <w:pStyle w:val="Normal"/>
        <w:ind w:firstLine="225"/>
        <w:jc w:val="both"/>
        <w:rPr/>
      </w:pPr>
      <w:r>
        <w:rPr/>
      </w:r>
    </w:p>
    <w:p>
      <w:pPr>
        <w:pStyle w:val="Normal"/>
        <w:ind w:firstLine="225"/>
        <w:jc w:val="both"/>
        <w:rPr/>
      </w:pPr>
      <w:r>
        <w:rPr/>
        <w:t>24. Для установок производительностью более 400 куб.м/сут электросиловое оборудование и КИП надлежит монтировать в отдельном помещении, изолированном от помещения электродиализных аппаратов.</w:t>
      </w:r>
    </w:p>
    <w:p>
      <w:pPr>
        <w:pStyle w:val="Normal"/>
        <w:ind w:firstLine="225"/>
        <w:jc w:val="both"/>
        <w:rPr/>
      </w:pPr>
      <w:r>
        <w:rPr/>
      </w:r>
    </w:p>
    <w:p>
      <w:pPr>
        <w:pStyle w:val="Normal"/>
        <w:ind w:firstLine="225"/>
        <w:jc w:val="both"/>
        <w:rPr/>
      </w:pPr>
      <w:r>
        <w:rPr/>
      </w:r>
    </w:p>
    <w:p>
      <w:pPr>
        <w:pStyle w:val="Normal"/>
        <w:jc w:val="end"/>
        <w:rPr/>
      </w:pPr>
      <w:r>
        <w:rPr/>
        <w:t xml:space="preserve">Приложение 9 </w:t>
      </w:r>
    </w:p>
    <w:p>
      <w:pPr>
        <w:pStyle w:val="Normal"/>
        <w:jc w:val="end"/>
        <w:rPr/>
      </w:pPr>
      <w:r>
        <w:rPr/>
        <w:t xml:space="preserve">Рекомендуемое </w:t>
      </w:r>
    </w:p>
    <w:p>
      <w:pPr>
        <w:pStyle w:val="Normal"/>
        <w:ind w:firstLine="270"/>
        <w:jc w:val="both"/>
        <w:rPr/>
      </w:pPr>
      <w:r>
        <w:rPr/>
      </w:r>
    </w:p>
    <w:p>
      <w:pPr>
        <w:pStyle w:val="Heading"/>
        <w:jc w:val="center"/>
        <w:rPr/>
      </w:pPr>
      <w:r>
        <w:rPr/>
      </w:r>
    </w:p>
    <w:p>
      <w:pPr>
        <w:pStyle w:val="Heading"/>
        <w:jc w:val="center"/>
        <w:rPr/>
      </w:pPr>
      <w:r>
        <w:rPr/>
        <w:t>ОБРАБОТКА ПРОМЫВНЫХ ВОД</w:t>
      </w:r>
    </w:p>
    <w:p>
      <w:pPr>
        <w:pStyle w:val="Heading"/>
        <w:jc w:val="center"/>
        <w:rPr/>
      </w:pPr>
      <w:r>
        <w:rPr/>
        <w:t>И ОСАДКА СТАНЦИЙ ВОДОПОДГОТОВКИ</w:t>
      </w:r>
    </w:p>
    <w:p>
      <w:pPr>
        <w:pStyle w:val="Heading"/>
        <w:jc w:val="center"/>
        <w:rPr/>
      </w:pPr>
      <w:r>
        <w:rPr/>
      </w:r>
    </w:p>
    <w:p>
      <w:pPr>
        <w:pStyle w:val="Heading"/>
        <w:jc w:val="center"/>
        <w:rPr/>
      </w:pPr>
      <w:r>
        <w:rPr/>
        <w:t xml:space="preserve">Резервуары промывных вод </w:t>
      </w:r>
    </w:p>
    <w:p>
      <w:pPr>
        <w:pStyle w:val="Normal"/>
        <w:ind w:firstLine="270"/>
        <w:jc w:val="both"/>
        <w:rPr/>
      </w:pPr>
      <w:r>
        <w:rPr/>
      </w:r>
    </w:p>
    <w:p>
      <w:pPr>
        <w:pStyle w:val="Normal"/>
        <w:ind w:firstLine="270"/>
        <w:jc w:val="both"/>
        <w:rPr/>
      </w:pPr>
      <w:r>
        <w:rPr/>
      </w:r>
    </w:p>
    <w:p>
      <w:pPr>
        <w:pStyle w:val="Normal"/>
        <w:ind w:firstLine="225"/>
        <w:jc w:val="both"/>
        <w:rPr/>
      </w:pPr>
      <w:r>
        <w:rPr/>
        <w:t>1. Резервуары промывных вод надлежит предусматривать на станциях подготовки воды с отстаиванием и последующим фильтрованием для приема воды от промывки фильтров и ее равномерной перекачки без отстаивания в трубопроводы перед смесителями или в смесители.</w:t>
      </w:r>
    </w:p>
    <w:p>
      <w:pPr>
        <w:pStyle w:val="Normal"/>
        <w:ind w:firstLine="225"/>
        <w:jc w:val="both"/>
        <w:rPr/>
      </w:pPr>
      <w:r>
        <w:rPr/>
      </w:r>
    </w:p>
    <w:p>
      <w:pPr>
        <w:pStyle w:val="Normal"/>
        <w:ind w:firstLine="225"/>
        <w:jc w:val="both"/>
        <w:rPr/>
      </w:pPr>
      <w:r>
        <w:rPr/>
      </w:r>
    </w:p>
    <w:p>
      <w:pPr>
        <w:pStyle w:val="Normal"/>
        <w:ind w:firstLine="225"/>
        <w:jc w:val="both"/>
        <w:rPr/>
      </w:pPr>
      <w:r>
        <w:rPr/>
        <w:t>Примечание. Следует предусматривать возможность сброса в эти резервуары воды над осадком в отстойниках при их опорожнении.</w:t>
      </w:r>
    </w:p>
    <w:p>
      <w:pPr>
        <w:pStyle w:val="Normal"/>
        <w:ind w:firstLine="225"/>
        <w:jc w:val="both"/>
        <w:rPr/>
      </w:pPr>
      <w:r>
        <w:rPr/>
      </w:r>
    </w:p>
    <w:p>
      <w:pPr>
        <w:pStyle w:val="Normal"/>
        <w:ind w:firstLine="225"/>
        <w:jc w:val="both"/>
        <w:rPr/>
      </w:pPr>
      <w:r>
        <w:rPr/>
        <w:t>2. Количество резервуаров надлежит принимать не менее двух. Объем каждого резервуара следует определять по графику поступления и равномерной перекачки промывной воды и принимать не менее объема воды от одной промывки фильтра.</w:t>
      </w:r>
    </w:p>
    <w:p>
      <w:pPr>
        <w:pStyle w:val="Normal"/>
        <w:ind w:firstLine="225"/>
        <w:jc w:val="both"/>
        <w:rPr/>
      </w:pPr>
      <w:r>
        <w:rPr/>
      </w:r>
    </w:p>
    <w:p>
      <w:pPr>
        <w:pStyle w:val="Normal"/>
        <w:ind w:firstLine="225"/>
        <w:jc w:val="both"/>
        <w:rPr/>
      </w:pPr>
      <w:r>
        <w:rPr/>
        <w:t>3. Насосы и трубопроводы перекачки промывной воды должны проверяться на работу фильтров при форсированном режиме.</w:t>
      </w:r>
    </w:p>
    <w:p>
      <w:pPr>
        <w:pStyle w:val="Normal"/>
        <w:ind w:firstLine="225"/>
        <w:jc w:val="both"/>
        <w:rPr/>
      </w:pPr>
      <w:r>
        <w:rPr/>
      </w:r>
    </w:p>
    <w:p>
      <w:pPr>
        <w:pStyle w:val="Normal"/>
        <w:ind w:firstLine="225"/>
        <w:jc w:val="both"/>
        <w:rPr/>
      </w:pPr>
      <w:r>
        <w:rPr/>
      </w:r>
    </w:p>
    <w:p>
      <w:pPr>
        <w:pStyle w:val="Heading"/>
        <w:jc w:val="center"/>
        <w:rPr/>
      </w:pPr>
      <w:r>
        <w:rPr/>
        <w:t xml:space="preserve">Отстойники промывных вод </w:t>
      </w:r>
    </w:p>
    <w:p>
      <w:pPr>
        <w:pStyle w:val="Normal"/>
        <w:ind w:firstLine="270"/>
        <w:jc w:val="both"/>
        <w:rPr/>
      </w:pPr>
      <w:r>
        <w:rPr/>
      </w:r>
    </w:p>
    <w:p>
      <w:pPr>
        <w:pStyle w:val="Normal"/>
        <w:ind w:firstLine="270"/>
        <w:jc w:val="both"/>
        <w:rPr/>
      </w:pPr>
      <w:r>
        <w:rPr/>
      </w:r>
    </w:p>
    <w:p>
      <w:pPr>
        <w:pStyle w:val="Normal"/>
        <w:ind w:firstLine="225"/>
        <w:jc w:val="both"/>
        <w:rPr/>
      </w:pPr>
      <w:r>
        <w:rPr/>
        <w:t>4. Отстойники промывных вод надлежит предусматривать при одноступенчатом фильтровании (фильтры, контактные осветлители) и обезжелезивание воды.</w:t>
      </w:r>
    </w:p>
    <w:p>
      <w:pPr>
        <w:pStyle w:val="Normal"/>
        <w:ind w:firstLine="225"/>
        <w:jc w:val="both"/>
        <w:rPr/>
      </w:pPr>
      <w:r>
        <w:rPr/>
      </w:r>
    </w:p>
    <w:p>
      <w:pPr>
        <w:pStyle w:val="Normal"/>
        <w:ind w:firstLine="225"/>
        <w:jc w:val="both"/>
        <w:rPr/>
      </w:pPr>
      <w:r>
        <w:rPr/>
        <w:t>5. Отстойники промывных вод, насосы и трубопроводы следует рассчитывать, исходя из периодического поступления промывных вод, отстаивания и равномерного перекачивания осветленной воды в трубопроводы перед смесителями или в смесители с учетом требований п. 3.</w:t>
      </w:r>
    </w:p>
    <w:p>
      <w:pPr>
        <w:pStyle w:val="Normal"/>
        <w:ind w:firstLine="225"/>
        <w:jc w:val="both"/>
        <w:rPr/>
      </w:pPr>
      <w:r>
        <w:rPr/>
      </w:r>
    </w:p>
    <w:p>
      <w:pPr>
        <w:pStyle w:val="Normal"/>
        <w:ind w:firstLine="225"/>
        <w:jc w:val="both"/>
        <w:rPr/>
      </w:pPr>
      <w:r>
        <w:rPr/>
        <w:t>Накопившийся осадок следует направлять в сгустители на дополнительное уплотнение или на сооружения обезвоживания осадка.</w:t>
      </w:r>
    </w:p>
    <w:p>
      <w:pPr>
        <w:pStyle w:val="Normal"/>
        <w:ind w:firstLine="225"/>
        <w:jc w:val="both"/>
        <w:rPr/>
      </w:pPr>
      <w:r>
        <w:rPr/>
      </w:r>
    </w:p>
    <w:p>
      <w:pPr>
        <w:pStyle w:val="Normal"/>
        <w:ind w:firstLine="225"/>
        <w:jc w:val="both"/>
        <w:rPr/>
      </w:pPr>
      <w:r>
        <w:rPr/>
        <w:t>6. Продолжительность отстаивания промывных вод надлежит принимать для станций безреагентного обезжелезивания воды - 4 ч, для станций осветления воды и реагентного обезжелезивания - 2 ч.</w:t>
      </w:r>
    </w:p>
    <w:p>
      <w:pPr>
        <w:pStyle w:val="Normal"/>
        <w:ind w:firstLine="225"/>
        <w:jc w:val="both"/>
        <w:rPr/>
      </w:pPr>
      <w:r>
        <w:rPr/>
      </w:r>
    </w:p>
    <w:p>
      <w:pPr>
        <w:pStyle w:val="Normal"/>
        <w:ind w:firstLine="225"/>
        <w:jc w:val="both"/>
        <w:rPr/>
      </w:pPr>
      <w:r>
        <w:rPr/>
        <w:t>Примечание. При применении полиакриламида дозой 0,08-0,16 мг/л продолжительность отстаивания вод следует снижать до 1 ч.</w:t>
      </w:r>
    </w:p>
    <w:p>
      <w:pPr>
        <w:pStyle w:val="Normal"/>
        <w:ind w:firstLine="225"/>
        <w:jc w:val="both"/>
        <w:rPr/>
      </w:pPr>
      <w:r>
        <w:rPr/>
      </w:r>
    </w:p>
    <w:p>
      <w:pPr>
        <w:pStyle w:val="Normal"/>
        <w:ind w:firstLine="225"/>
        <w:jc w:val="both"/>
        <w:rPr/>
      </w:pPr>
      <w:r>
        <w:rPr/>
      </w:r>
    </w:p>
    <w:p>
      <w:pPr>
        <w:pStyle w:val="Normal"/>
        <w:ind w:firstLine="225"/>
        <w:jc w:val="both"/>
        <w:rPr/>
      </w:pPr>
      <w:r>
        <w:rPr/>
        <w:t>7. При определении объема зоны накопления осадка в отстойниках влажность осадка следует принимать 99% для станций осветления воды и реагентного обезжелезивания и 96,5% - для станций безреагентного обезжелезивания.</w:t>
      </w:r>
    </w:p>
    <w:p>
      <w:pPr>
        <w:pStyle w:val="Normal"/>
        <w:ind w:firstLine="225"/>
        <w:jc w:val="both"/>
        <w:rPr/>
      </w:pPr>
      <w:r>
        <w:rPr/>
      </w:r>
    </w:p>
    <w:p>
      <w:pPr>
        <w:pStyle w:val="Normal"/>
        <w:ind w:firstLine="225"/>
        <w:jc w:val="both"/>
        <w:rPr/>
      </w:pPr>
      <w:r>
        <w:rPr/>
        <w:t>Общую продолжительность накопления осадка при многократном периодическом наполнении отстойников надлежит принимать не менее 8 ч.</w:t>
      </w:r>
    </w:p>
    <w:p>
      <w:pPr>
        <w:pStyle w:val="Normal"/>
        <w:ind w:firstLine="225"/>
        <w:jc w:val="both"/>
        <w:rPr/>
      </w:pPr>
      <w:r>
        <w:rPr/>
      </w:r>
    </w:p>
    <w:p>
      <w:pPr>
        <w:pStyle w:val="Heading"/>
        <w:jc w:val="center"/>
        <w:rPr/>
      </w:pPr>
      <w:r>
        <w:rPr/>
      </w:r>
    </w:p>
    <w:p>
      <w:pPr>
        <w:pStyle w:val="Heading"/>
        <w:jc w:val="center"/>
        <w:rPr/>
      </w:pPr>
      <w:r>
        <w:rPr/>
        <w:t xml:space="preserve">Сгустители </w:t>
      </w:r>
    </w:p>
    <w:p>
      <w:pPr>
        <w:pStyle w:val="Normal"/>
        <w:ind w:firstLine="270"/>
        <w:jc w:val="both"/>
        <w:rPr/>
      </w:pPr>
      <w:r>
        <w:rPr/>
      </w:r>
    </w:p>
    <w:p>
      <w:pPr>
        <w:pStyle w:val="Normal"/>
        <w:ind w:firstLine="270"/>
        <w:jc w:val="both"/>
        <w:rPr/>
      </w:pPr>
      <w:r>
        <w:rPr/>
      </w:r>
    </w:p>
    <w:p>
      <w:pPr>
        <w:pStyle w:val="Normal"/>
        <w:ind w:firstLine="225"/>
        <w:jc w:val="both"/>
        <w:rPr/>
      </w:pPr>
      <w:r>
        <w:rPr/>
        <w:t>8. Сгустители с медленным механическим перемешиванием надлежит применять для ускорения уплотнения осадка из горизонтальных и вертикальных отстойников, осветлителей, реагентного хозяйства и осадка из отстойников промывных вод на станциях водоподготовки при среднегодовой мутности исходной воды до 300 мг/л.</w:t>
      </w:r>
    </w:p>
    <w:p>
      <w:pPr>
        <w:pStyle w:val="Normal"/>
        <w:ind w:firstLine="225"/>
        <w:jc w:val="both"/>
        <w:rPr/>
      </w:pPr>
      <w:r>
        <w:rPr/>
      </w:r>
    </w:p>
    <w:p>
      <w:pPr>
        <w:pStyle w:val="Normal"/>
        <w:ind w:firstLine="225"/>
        <w:jc w:val="both"/>
        <w:rPr/>
      </w:pPr>
      <w:r>
        <w:rPr/>
        <w:t>Примечание. При обосновании осадок допускается направлять на сооружения обезвоживания без предварительного уплотнения в сгустителях.</w:t>
      </w:r>
    </w:p>
    <w:p>
      <w:pPr>
        <w:pStyle w:val="Normal"/>
        <w:ind w:firstLine="225"/>
        <w:jc w:val="both"/>
        <w:rPr/>
      </w:pPr>
      <w:r>
        <w:rPr/>
      </w:r>
    </w:p>
    <w:p>
      <w:pPr>
        <w:pStyle w:val="Normal"/>
        <w:ind w:firstLine="225"/>
        <w:jc w:val="both"/>
        <w:rPr/>
      </w:pPr>
      <w:r>
        <w:rPr/>
      </w:r>
    </w:p>
    <w:p>
      <w:pPr>
        <w:pStyle w:val="Normal"/>
        <w:ind w:firstLine="225"/>
        <w:jc w:val="both"/>
        <w:rPr/>
      </w:pPr>
      <w:r>
        <w:rPr/>
        <w:t>9. Для сгустителей надлежит принимать: диаметр - до 18 м; среднюю рабочую глубину - не менее 3,5 м; уклон дна к центральному приямку - 8 град.; вращающуюся ферму - с вертикальными лопастями треугольного или круглого сечения и скребками для перемещения уплотненного осадка к центральному приямку; лобовую поверхность лопастей - от 25 до 30% площади поперечного сечения перемешиваемого объема осадка; верх лопастей - на отметке, равной половине слоя воды в середине вращающейся фермы; подачу осадка в сгуститель  периодическую по графику удаления осадка из сооружений; ввод осадка - на 1 м выше отметки дна в центре сгустителя; забор осветленной воды - устройствами, не зависящими от уровня воды в сгустителях (через плавающий шланг и т.п.).</w:t>
      </w:r>
    </w:p>
    <w:p>
      <w:pPr>
        <w:pStyle w:val="Normal"/>
        <w:ind w:firstLine="225"/>
        <w:jc w:val="both"/>
        <w:rPr/>
      </w:pPr>
      <w:r>
        <w:rPr/>
      </w:r>
    </w:p>
    <w:p>
      <w:pPr>
        <w:pStyle w:val="Normal"/>
        <w:ind w:firstLine="225"/>
        <w:jc w:val="both"/>
        <w:rPr/>
      </w:pPr>
      <w:r>
        <w:rPr/>
        <w:t>10. Продолжительность цикла сгущения осадка следует определять по общей длительности следующих операций: наполнения сгустителя - от 10 до 30 мин в зависимости от длительности удаления осадка из сооружений; сгущения - по данным технологических изысканий или аналогичных станций водоподготовки, а при их отсутствии по таблице; последовательной перекачки осветленной воды и сгущенного осадка - от 30 до 40 мин.</w:t>
      </w:r>
    </w:p>
    <w:p>
      <w:pPr>
        <w:pStyle w:val="Normal"/>
        <w:ind w:firstLine="225"/>
        <w:jc w:val="both"/>
        <w:rPr/>
      </w:pPr>
      <w:r>
        <w:rPr/>
      </w:r>
    </w:p>
    <w:p>
      <w:pPr>
        <w:pStyle w:val="Normal"/>
        <w:ind w:firstLine="225"/>
        <w:jc w:val="both"/>
        <w:rPr/>
      </w:pPr>
      <w:r>
        <w:rPr/>
        <w:t>Перекачку осадка допускается предусматривать через несколько циклов сгущения.</w:t>
      </w:r>
    </w:p>
    <w:p>
      <w:pPr>
        <w:pStyle w:val="Normal"/>
        <w:ind w:firstLine="225"/>
        <w:jc w:val="both"/>
        <w:rPr/>
      </w:pPr>
      <w:r>
        <w:rPr/>
      </w:r>
    </w:p>
    <w:p>
      <w:pPr>
        <w:pStyle w:val="Normal"/>
        <w:ind w:firstLine="225"/>
        <w:jc w:val="both"/>
        <w:rPr/>
      </w:pPr>
      <w:r>
        <w:rPr/>
        <w:t>11. Наибольшую скорость движения вращающейся фермы и среднюю влажность осадка после сгущения следует определять технологическими изысканиями, а при их отсутствии по таблице.</w:t>
      </w:r>
    </w:p>
    <w:p>
      <w:pPr>
        <w:pStyle w:val="Normal"/>
        <w:ind w:firstLine="225"/>
        <w:jc w:val="both"/>
        <w:rPr/>
      </w:pPr>
      <w:r>
        <w:rPr/>
      </w:r>
    </w:p>
    <w:p>
      <w:pPr>
        <w:pStyle w:val="Normal"/>
        <w:jc w:val="end"/>
        <w:rPr/>
      </w:pPr>
      <w:r>
        <w:rPr/>
        <w:t xml:space="preserve">Таблица </w:t>
      </w:r>
    </w:p>
    <w:p>
      <w:pPr>
        <w:pStyle w:val="Normal"/>
        <w:ind w:firstLine="270"/>
        <w:jc w:val="both"/>
        <w:rPr/>
      </w:pPr>
      <w:r>
        <w:rPr/>
      </w:r>
    </w:p>
    <w:p>
      <w:pPr>
        <w:pStyle w:val="Normal"/>
        <w:ind w:firstLine="270"/>
        <w:jc w:val="both"/>
        <w:rPr/>
      </w:pPr>
      <w:r>
        <w:rPr/>
      </w:r>
    </w:p>
    <w:tbl>
      <w:tblPr>
        <w:tblW w:w="7400" w:type="dxa"/>
        <w:jc w:val="start"/>
        <w:tblInd w:w="45" w:type="dxa"/>
        <w:tblBorders>
          <w:top w:val="single" w:sz="2" w:space="0" w:color="000000"/>
          <w:start w:val="single" w:sz="2" w:space="0" w:color="000000"/>
          <w:bottom w:val="single" w:sz="2" w:space="0" w:color="000000"/>
          <w:insideH w:val="single" w:sz="2" w:space="0" w:color="000000"/>
        </w:tblBorders>
        <w:tblCellMar>
          <w:top w:w="0" w:type="dxa"/>
          <w:start w:w="42" w:type="dxa"/>
          <w:bottom w:w="0" w:type="dxa"/>
          <w:end w:w="45" w:type="dxa"/>
        </w:tblCellMar>
      </w:tblPr>
      <w:tblGrid>
        <w:gridCol w:w="3120"/>
        <w:gridCol w:w="1365"/>
        <w:gridCol w:w="1860"/>
        <w:gridCol w:w="1055"/>
      </w:tblGrid>
      <w:tr>
        <w:trPr/>
        <w:tc>
          <w:tcPr>
            <w:tcW w:w="31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vanish/>
              </w:rPr>
            </w:pPr>
            <w:r>
              <w:rPr>
                <w:vanish/>
              </w:rPr>
              <w:t>#G0</w:t>
            </w:r>
          </w:p>
          <w:p>
            <w:pPr>
              <w:pStyle w:val="Normal"/>
              <w:jc w:val="center"/>
              <w:rPr/>
            </w:pPr>
            <w:r>
              <w:rPr/>
              <w:t xml:space="preserve">Характеристика обрабатываемой воды </w:t>
            </w:r>
          </w:p>
          <w:p>
            <w:pPr>
              <w:pStyle w:val="Normal"/>
              <w:jc w:val="center"/>
              <w:rPr/>
            </w:pPr>
            <w:r>
              <w:rPr/>
              <w:t xml:space="preserve">и способ обработки </w:t>
            </w:r>
          </w:p>
          <w:p>
            <w:pPr>
              <w:pStyle w:val="Normal"/>
              <w:jc w:val="center"/>
              <w:rPr/>
            </w:pPr>
            <w:r>
              <w:rPr/>
            </w:r>
          </w:p>
        </w:tc>
        <w:tc>
          <w:tcPr>
            <w:tcW w:w="136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Наибольшая скорость движения конца вращающейся фермы, м/с </w:t>
            </w:r>
          </w:p>
          <w:p>
            <w:pPr>
              <w:pStyle w:val="Normal"/>
              <w:rPr/>
            </w:pPr>
            <w:r>
              <w:rPr/>
            </w:r>
          </w:p>
        </w:tc>
        <w:tc>
          <w:tcPr>
            <w:tcW w:w="186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Продолжительность цикла сгущения, ч </w:t>
            </w:r>
          </w:p>
          <w:p>
            <w:pPr>
              <w:pStyle w:val="Normal"/>
              <w:rPr/>
            </w:pPr>
            <w:r>
              <w:rPr/>
            </w:r>
          </w:p>
        </w:tc>
        <w:tc>
          <w:tcPr>
            <w:tcW w:w="105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Средняя влажность осадка на выпуске из сгустителя, %</w:t>
            </w:r>
          </w:p>
          <w:p>
            <w:pPr>
              <w:pStyle w:val="Normal"/>
              <w:rPr/>
            </w:pPr>
            <w:r>
              <w:rPr/>
            </w:r>
          </w:p>
        </w:tc>
      </w:tr>
      <w:tr>
        <w:trPr/>
        <w:tc>
          <w:tcPr>
            <w:tcW w:w="3120" w:type="dxa"/>
            <w:tcBorders>
              <w:start w:val="single" w:sz="2" w:space="0" w:color="000000"/>
            </w:tcBorders>
            <w:shd w:fill="auto" w:val="clear"/>
            <w:tcMar>
              <w:start w:w="42" w:type="dxa"/>
            </w:tcMar>
          </w:tcPr>
          <w:p>
            <w:pPr>
              <w:pStyle w:val="Normal"/>
              <w:snapToGrid w:val="false"/>
              <w:jc w:val="both"/>
              <w:rPr/>
            </w:pPr>
            <w:r>
              <w:rPr/>
            </w:r>
          </w:p>
          <w:p>
            <w:pPr>
              <w:pStyle w:val="Normal"/>
              <w:jc w:val="both"/>
              <w:rPr/>
            </w:pPr>
            <w:r>
              <w:rPr/>
              <w:t xml:space="preserve">Маломутные воды, обрабатываемые коагулянтом </w:t>
            </w:r>
          </w:p>
          <w:p>
            <w:pPr>
              <w:pStyle w:val="Normal"/>
              <w:jc w:val="both"/>
              <w:rPr/>
            </w:pPr>
            <w:r>
              <w:rPr/>
            </w:r>
          </w:p>
        </w:tc>
        <w:tc>
          <w:tcPr>
            <w:tcW w:w="1365" w:type="dxa"/>
            <w:tcBorders>
              <w:start w:val="single" w:sz="2" w:space="0" w:color="000000"/>
            </w:tcBorders>
            <w:shd w:fill="auto" w:val="clear"/>
            <w:tcMar>
              <w:start w:w="42" w:type="dxa"/>
            </w:tcMar>
          </w:tcPr>
          <w:p>
            <w:pPr>
              <w:pStyle w:val="Normal"/>
              <w:snapToGrid w:val="false"/>
              <w:jc w:val="center"/>
              <w:rPr/>
            </w:pPr>
            <w:r>
              <w:rPr/>
            </w:r>
          </w:p>
          <w:p>
            <w:pPr>
              <w:pStyle w:val="Normal"/>
              <w:jc w:val="center"/>
              <w:rPr/>
            </w:pPr>
            <w:r>
              <w:rPr/>
              <w:t xml:space="preserve">0,015 </w:t>
            </w:r>
          </w:p>
          <w:p>
            <w:pPr>
              <w:pStyle w:val="Normal"/>
              <w:jc w:val="center"/>
              <w:rPr/>
            </w:pPr>
            <w:r>
              <w:rPr/>
            </w:r>
          </w:p>
        </w:tc>
        <w:tc>
          <w:tcPr>
            <w:tcW w:w="1860" w:type="dxa"/>
            <w:tcBorders>
              <w:start w:val="single" w:sz="2" w:space="0" w:color="000000"/>
            </w:tcBorders>
            <w:shd w:fill="auto" w:val="clear"/>
            <w:tcMar>
              <w:start w:w="42" w:type="dxa"/>
            </w:tcMar>
          </w:tcPr>
          <w:p>
            <w:pPr>
              <w:pStyle w:val="Normal"/>
              <w:snapToGrid w:val="false"/>
              <w:rPr/>
            </w:pPr>
            <w:r>
              <w:rPr/>
            </w:r>
          </w:p>
          <w:p>
            <w:pPr>
              <w:pStyle w:val="Normal"/>
              <w:rPr/>
            </w:pPr>
            <w:r>
              <w:rPr/>
              <w:t xml:space="preserve">10 </w:t>
            </w:r>
          </w:p>
          <w:p>
            <w:pPr>
              <w:pStyle w:val="Normal"/>
              <w:rPr/>
            </w:pPr>
            <w:r>
              <w:rPr/>
            </w:r>
          </w:p>
        </w:tc>
        <w:tc>
          <w:tcPr>
            <w:tcW w:w="1055" w:type="dxa"/>
            <w:tcBorders>
              <w:start w:val="single" w:sz="2" w:space="0" w:color="000000"/>
              <w:end w:val="single" w:sz="2" w:space="0" w:color="000000"/>
              <w:insideV w:val="single" w:sz="2" w:space="0" w:color="000000"/>
            </w:tcBorders>
            <w:shd w:fill="auto" w:val="clear"/>
            <w:tcMar>
              <w:start w:w="42" w:type="dxa"/>
            </w:tcMar>
          </w:tcPr>
          <w:p>
            <w:pPr>
              <w:pStyle w:val="Normal"/>
              <w:snapToGrid w:val="false"/>
              <w:rPr/>
            </w:pPr>
            <w:r>
              <w:rPr/>
            </w:r>
          </w:p>
          <w:p>
            <w:pPr>
              <w:pStyle w:val="Normal"/>
              <w:rPr/>
            </w:pPr>
            <w:r>
              <w:rPr/>
              <w:t xml:space="preserve">97,7-98,2 </w:t>
            </w:r>
          </w:p>
          <w:p>
            <w:pPr>
              <w:pStyle w:val="Normal"/>
              <w:rPr/>
            </w:pPr>
            <w:r>
              <w:rPr/>
            </w:r>
          </w:p>
        </w:tc>
      </w:tr>
      <w:tr>
        <w:trPr/>
        <w:tc>
          <w:tcPr>
            <w:tcW w:w="3120" w:type="dxa"/>
            <w:tcBorders>
              <w:start w:val="single" w:sz="2" w:space="0" w:color="000000"/>
            </w:tcBorders>
            <w:shd w:fill="auto" w:val="clear"/>
            <w:tcMar>
              <w:start w:w="42" w:type="dxa"/>
            </w:tcMar>
          </w:tcPr>
          <w:p>
            <w:pPr>
              <w:pStyle w:val="Normal"/>
              <w:jc w:val="both"/>
              <w:rPr/>
            </w:pPr>
            <w:r>
              <w:rPr/>
              <w:t xml:space="preserve">Воды средней мутности, обрабатываемые коагулянтом </w:t>
            </w:r>
          </w:p>
          <w:p>
            <w:pPr>
              <w:pStyle w:val="Normal"/>
              <w:jc w:val="both"/>
              <w:rPr/>
            </w:pPr>
            <w:r>
              <w:rPr/>
            </w:r>
          </w:p>
        </w:tc>
        <w:tc>
          <w:tcPr>
            <w:tcW w:w="1365" w:type="dxa"/>
            <w:tcBorders>
              <w:start w:val="single" w:sz="2" w:space="0" w:color="000000"/>
            </w:tcBorders>
            <w:shd w:fill="auto" w:val="clear"/>
            <w:tcMar>
              <w:start w:w="42" w:type="dxa"/>
            </w:tcMar>
          </w:tcPr>
          <w:p>
            <w:pPr>
              <w:pStyle w:val="Normal"/>
              <w:jc w:val="center"/>
              <w:rPr/>
            </w:pPr>
            <w:r>
              <w:rPr/>
              <w:t xml:space="preserve">0,025 </w:t>
            </w:r>
          </w:p>
          <w:p>
            <w:pPr>
              <w:pStyle w:val="Normal"/>
              <w:jc w:val="center"/>
              <w:rPr/>
            </w:pPr>
            <w:r>
              <w:rPr/>
            </w:r>
          </w:p>
        </w:tc>
        <w:tc>
          <w:tcPr>
            <w:tcW w:w="1860" w:type="dxa"/>
            <w:tcBorders>
              <w:start w:val="single" w:sz="2" w:space="0" w:color="000000"/>
            </w:tcBorders>
            <w:shd w:fill="auto" w:val="clear"/>
            <w:tcMar>
              <w:start w:w="42" w:type="dxa"/>
            </w:tcMar>
          </w:tcPr>
          <w:p>
            <w:pPr>
              <w:pStyle w:val="Normal"/>
              <w:rPr/>
            </w:pPr>
            <w:r>
              <w:rPr/>
              <w:t xml:space="preserve">8 </w:t>
            </w:r>
          </w:p>
          <w:p>
            <w:pPr>
              <w:pStyle w:val="Normal"/>
              <w:rPr/>
            </w:pPr>
            <w:r>
              <w:rPr/>
            </w:r>
          </w:p>
        </w:tc>
        <w:tc>
          <w:tcPr>
            <w:tcW w:w="1055"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96,8-97,3 </w:t>
            </w:r>
          </w:p>
          <w:p>
            <w:pPr>
              <w:pStyle w:val="Normal"/>
              <w:rPr/>
            </w:pPr>
            <w:r>
              <w:rPr/>
            </w:r>
          </w:p>
        </w:tc>
      </w:tr>
      <w:tr>
        <w:trPr/>
        <w:tc>
          <w:tcPr>
            <w:tcW w:w="3120" w:type="dxa"/>
            <w:tcBorders>
              <w:start w:val="single" w:sz="2" w:space="0" w:color="000000"/>
            </w:tcBorders>
            <w:shd w:fill="auto" w:val="clear"/>
            <w:tcMar>
              <w:start w:w="42" w:type="dxa"/>
            </w:tcMar>
          </w:tcPr>
          <w:p>
            <w:pPr>
              <w:pStyle w:val="Normal"/>
              <w:jc w:val="both"/>
              <w:rPr/>
            </w:pPr>
            <w:r>
              <w:rPr/>
              <w:t xml:space="preserve">Мутные воды, обрабатываемые коагулянтом </w:t>
            </w:r>
          </w:p>
          <w:p>
            <w:pPr>
              <w:pStyle w:val="Normal"/>
              <w:jc w:val="both"/>
              <w:rPr/>
            </w:pPr>
            <w:r>
              <w:rPr/>
            </w:r>
          </w:p>
        </w:tc>
        <w:tc>
          <w:tcPr>
            <w:tcW w:w="1365" w:type="dxa"/>
            <w:tcBorders>
              <w:start w:val="single" w:sz="2" w:space="0" w:color="000000"/>
            </w:tcBorders>
            <w:shd w:fill="auto" w:val="clear"/>
            <w:tcMar>
              <w:start w:w="42" w:type="dxa"/>
            </w:tcMar>
          </w:tcPr>
          <w:p>
            <w:pPr>
              <w:pStyle w:val="Normal"/>
              <w:jc w:val="center"/>
              <w:rPr/>
            </w:pPr>
            <w:r>
              <w:rPr/>
              <w:t xml:space="preserve">0,03 </w:t>
            </w:r>
          </w:p>
          <w:p>
            <w:pPr>
              <w:pStyle w:val="Normal"/>
              <w:jc w:val="center"/>
              <w:rPr/>
            </w:pPr>
            <w:r>
              <w:rPr/>
            </w:r>
          </w:p>
        </w:tc>
        <w:tc>
          <w:tcPr>
            <w:tcW w:w="1860" w:type="dxa"/>
            <w:tcBorders>
              <w:start w:val="single" w:sz="2" w:space="0" w:color="000000"/>
            </w:tcBorders>
            <w:shd w:fill="auto" w:val="clear"/>
            <w:tcMar>
              <w:start w:w="42" w:type="dxa"/>
            </w:tcMar>
          </w:tcPr>
          <w:p>
            <w:pPr>
              <w:pStyle w:val="Normal"/>
              <w:rPr/>
            </w:pPr>
            <w:r>
              <w:rPr/>
              <w:t xml:space="preserve">6 </w:t>
            </w:r>
          </w:p>
          <w:p>
            <w:pPr>
              <w:pStyle w:val="Normal"/>
              <w:rPr/>
            </w:pPr>
            <w:r>
              <w:rPr/>
            </w:r>
          </w:p>
        </w:tc>
        <w:tc>
          <w:tcPr>
            <w:tcW w:w="1055"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85,5-91,8 </w:t>
            </w:r>
          </w:p>
          <w:p>
            <w:pPr>
              <w:pStyle w:val="Normal"/>
              <w:rPr/>
            </w:pPr>
            <w:r>
              <w:rPr/>
            </w:r>
          </w:p>
        </w:tc>
      </w:tr>
      <w:tr>
        <w:trPr/>
        <w:tc>
          <w:tcPr>
            <w:tcW w:w="3120" w:type="dxa"/>
            <w:tcBorders>
              <w:start w:val="single" w:sz="2" w:space="0" w:color="000000"/>
            </w:tcBorders>
            <w:shd w:fill="auto" w:val="clear"/>
            <w:tcMar>
              <w:start w:w="42" w:type="dxa"/>
            </w:tcMar>
          </w:tcPr>
          <w:p>
            <w:pPr>
              <w:pStyle w:val="Normal"/>
              <w:jc w:val="both"/>
              <w:rPr/>
            </w:pPr>
            <w:r>
              <w:rPr/>
              <w:t>Умягчение при магниевой жесткости до 25 %</w:t>
            </w:r>
          </w:p>
          <w:p>
            <w:pPr>
              <w:pStyle w:val="Normal"/>
              <w:jc w:val="both"/>
              <w:rPr/>
            </w:pPr>
            <w:r>
              <w:rPr/>
            </w:r>
          </w:p>
        </w:tc>
        <w:tc>
          <w:tcPr>
            <w:tcW w:w="1365" w:type="dxa"/>
            <w:tcBorders>
              <w:start w:val="single" w:sz="2" w:space="0" w:color="000000"/>
            </w:tcBorders>
            <w:shd w:fill="auto" w:val="clear"/>
            <w:tcMar>
              <w:start w:w="42" w:type="dxa"/>
            </w:tcMar>
          </w:tcPr>
          <w:p>
            <w:pPr>
              <w:pStyle w:val="Normal"/>
              <w:jc w:val="center"/>
              <w:rPr/>
            </w:pPr>
            <w:r>
              <w:rPr/>
              <w:t xml:space="preserve">0,025 </w:t>
            </w:r>
          </w:p>
          <w:p>
            <w:pPr>
              <w:pStyle w:val="Normal"/>
              <w:jc w:val="center"/>
              <w:rPr/>
            </w:pPr>
            <w:r>
              <w:rPr/>
            </w:r>
          </w:p>
        </w:tc>
        <w:tc>
          <w:tcPr>
            <w:tcW w:w="1860" w:type="dxa"/>
            <w:tcBorders>
              <w:start w:val="single" w:sz="2" w:space="0" w:color="000000"/>
            </w:tcBorders>
            <w:shd w:fill="auto" w:val="clear"/>
            <w:tcMar>
              <w:start w:w="42" w:type="dxa"/>
            </w:tcMar>
          </w:tcPr>
          <w:p>
            <w:pPr>
              <w:pStyle w:val="Normal"/>
              <w:rPr/>
            </w:pPr>
            <w:r>
              <w:rPr/>
              <w:t xml:space="preserve">5 </w:t>
            </w:r>
          </w:p>
          <w:p>
            <w:pPr>
              <w:pStyle w:val="Normal"/>
              <w:rPr/>
            </w:pPr>
            <w:r>
              <w:rPr/>
            </w:r>
          </w:p>
        </w:tc>
        <w:tc>
          <w:tcPr>
            <w:tcW w:w="1055"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80-82,7 </w:t>
            </w:r>
          </w:p>
          <w:p>
            <w:pPr>
              <w:pStyle w:val="Normal"/>
              <w:rPr/>
            </w:pPr>
            <w:r>
              <w:rPr/>
            </w:r>
          </w:p>
        </w:tc>
      </w:tr>
      <w:tr>
        <w:trPr/>
        <w:tc>
          <w:tcPr>
            <w:tcW w:w="3120" w:type="dxa"/>
            <w:tcBorders>
              <w:start w:val="single" w:sz="2" w:space="0" w:color="000000"/>
            </w:tcBorders>
            <w:shd w:fill="auto" w:val="clear"/>
            <w:tcMar>
              <w:start w:w="42" w:type="dxa"/>
            </w:tcMar>
          </w:tcPr>
          <w:p>
            <w:pPr>
              <w:pStyle w:val="Normal"/>
              <w:jc w:val="both"/>
              <w:rPr/>
            </w:pPr>
            <w:r>
              <w:rPr/>
              <w:t>Умягчение при магниевой жесткости более 25 %</w:t>
            </w:r>
          </w:p>
          <w:p>
            <w:pPr>
              <w:pStyle w:val="Normal"/>
              <w:jc w:val="both"/>
              <w:rPr/>
            </w:pPr>
            <w:r>
              <w:rPr/>
            </w:r>
          </w:p>
        </w:tc>
        <w:tc>
          <w:tcPr>
            <w:tcW w:w="1365" w:type="dxa"/>
            <w:tcBorders>
              <w:start w:val="single" w:sz="2" w:space="0" w:color="000000"/>
            </w:tcBorders>
            <w:shd w:fill="auto" w:val="clear"/>
            <w:tcMar>
              <w:start w:w="42" w:type="dxa"/>
            </w:tcMar>
          </w:tcPr>
          <w:p>
            <w:pPr>
              <w:pStyle w:val="Normal"/>
              <w:jc w:val="center"/>
              <w:rPr/>
            </w:pPr>
            <w:r>
              <w:rPr/>
              <w:t xml:space="preserve">0,015 </w:t>
            </w:r>
          </w:p>
          <w:p>
            <w:pPr>
              <w:pStyle w:val="Normal"/>
              <w:jc w:val="center"/>
              <w:rPr/>
            </w:pPr>
            <w:r>
              <w:rPr/>
            </w:r>
          </w:p>
        </w:tc>
        <w:tc>
          <w:tcPr>
            <w:tcW w:w="1860" w:type="dxa"/>
            <w:tcBorders>
              <w:start w:val="single" w:sz="2" w:space="0" w:color="000000"/>
            </w:tcBorders>
            <w:shd w:fill="auto" w:val="clear"/>
            <w:tcMar>
              <w:start w:w="42" w:type="dxa"/>
            </w:tcMar>
          </w:tcPr>
          <w:p>
            <w:pPr>
              <w:pStyle w:val="Normal"/>
              <w:rPr/>
            </w:pPr>
            <w:r>
              <w:rPr/>
              <w:t xml:space="preserve">8 </w:t>
            </w:r>
          </w:p>
          <w:p>
            <w:pPr>
              <w:pStyle w:val="Normal"/>
              <w:rPr/>
            </w:pPr>
            <w:r>
              <w:rPr/>
            </w:r>
          </w:p>
        </w:tc>
        <w:tc>
          <w:tcPr>
            <w:tcW w:w="1055"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87,3-90,9 </w:t>
            </w:r>
          </w:p>
          <w:p>
            <w:pPr>
              <w:pStyle w:val="Normal"/>
              <w:rPr/>
            </w:pPr>
            <w:r>
              <w:rPr/>
            </w:r>
          </w:p>
        </w:tc>
      </w:tr>
      <w:tr>
        <w:trPr/>
        <w:tc>
          <w:tcPr>
            <w:tcW w:w="3120" w:type="dxa"/>
            <w:tcBorders>
              <w:start w:val="single" w:sz="2" w:space="0" w:color="000000"/>
            </w:tcBorders>
            <w:shd w:fill="auto" w:val="clear"/>
            <w:tcMar>
              <w:start w:w="42" w:type="dxa"/>
            </w:tcMar>
          </w:tcPr>
          <w:p>
            <w:pPr>
              <w:pStyle w:val="Normal"/>
              <w:jc w:val="both"/>
              <w:rPr/>
            </w:pPr>
            <w:r>
              <w:rPr/>
              <w:t xml:space="preserve">Обезжелезивание без применения реагентов </w:t>
            </w:r>
          </w:p>
          <w:p>
            <w:pPr>
              <w:pStyle w:val="Normal"/>
              <w:jc w:val="both"/>
              <w:rPr/>
            </w:pPr>
            <w:r>
              <w:rPr/>
            </w:r>
          </w:p>
        </w:tc>
        <w:tc>
          <w:tcPr>
            <w:tcW w:w="1365" w:type="dxa"/>
            <w:tcBorders>
              <w:start w:val="single" w:sz="2" w:space="0" w:color="000000"/>
            </w:tcBorders>
            <w:shd w:fill="auto" w:val="clear"/>
            <w:tcMar>
              <w:start w:w="42" w:type="dxa"/>
            </w:tcMar>
          </w:tcPr>
          <w:p>
            <w:pPr>
              <w:pStyle w:val="Normal"/>
              <w:jc w:val="center"/>
              <w:rPr/>
            </w:pPr>
            <w:r>
              <w:rPr/>
              <w:t xml:space="preserve">0,015 </w:t>
            </w:r>
          </w:p>
          <w:p>
            <w:pPr>
              <w:pStyle w:val="Normal"/>
              <w:jc w:val="center"/>
              <w:rPr/>
            </w:pPr>
            <w:r>
              <w:rPr/>
            </w:r>
          </w:p>
        </w:tc>
        <w:tc>
          <w:tcPr>
            <w:tcW w:w="1860" w:type="dxa"/>
            <w:tcBorders>
              <w:start w:val="single" w:sz="2" w:space="0" w:color="000000"/>
            </w:tcBorders>
            <w:shd w:fill="auto" w:val="clear"/>
            <w:tcMar>
              <w:start w:w="42" w:type="dxa"/>
            </w:tcMar>
          </w:tcPr>
          <w:p>
            <w:pPr>
              <w:pStyle w:val="Normal"/>
              <w:rPr/>
            </w:pPr>
            <w:r>
              <w:rPr/>
              <w:t xml:space="preserve">8 </w:t>
            </w:r>
          </w:p>
          <w:p>
            <w:pPr>
              <w:pStyle w:val="Normal"/>
              <w:rPr/>
            </w:pPr>
            <w:r>
              <w:rPr/>
            </w:r>
          </w:p>
        </w:tc>
        <w:tc>
          <w:tcPr>
            <w:tcW w:w="1055"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91,4-93,2 </w:t>
            </w:r>
          </w:p>
          <w:p>
            <w:pPr>
              <w:pStyle w:val="Normal"/>
              <w:rPr/>
            </w:pPr>
            <w:r>
              <w:rPr/>
            </w:r>
          </w:p>
        </w:tc>
      </w:tr>
      <w:tr>
        <w:trPr/>
        <w:tc>
          <w:tcPr>
            <w:tcW w:w="3120" w:type="dxa"/>
            <w:tcBorders>
              <w:start w:val="single" w:sz="2" w:space="0" w:color="000000"/>
              <w:bottom w:val="single" w:sz="2" w:space="0" w:color="000000"/>
              <w:insideH w:val="single" w:sz="2" w:space="0" w:color="000000"/>
            </w:tcBorders>
            <w:shd w:fill="auto" w:val="clear"/>
            <w:tcMar>
              <w:start w:w="42" w:type="dxa"/>
            </w:tcMar>
          </w:tcPr>
          <w:p>
            <w:pPr>
              <w:pStyle w:val="Normal"/>
              <w:jc w:val="both"/>
              <w:rPr/>
            </w:pPr>
            <w:r>
              <w:rPr/>
              <w:t>Обезжелезивание с применением реагентов (коагулянта, извести, перманганата калия и др.)</w:t>
            </w:r>
          </w:p>
          <w:p>
            <w:pPr>
              <w:pStyle w:val="Normal"/>
              <w:jc w:val="both"/>
              <w:rPr/>
            </w:pPr>
            <w:r>
              <w:rPr/>
            </w:r>
          </w:p>
        </w:tc>
        <w:tc>
          <w:tcPr>
            <w:tcW w:w="1365"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0,025 </w:t>
            </w:r>
          </w:p>
          <w:p>
            <w:pPr>
              <w:pStyle w:val="Normal"/>
              <w:jc w:val="center"/>
              <w:rPr/>
            </w:pPr>
            <w:r>
              <w:rPr/>
            </w:r>
          </w:p>
        </w:tc>
        <w:tc>
          <w:tcPr>
            <w:tcW w:w="186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10 </w:t>
            </w:r>
          </w:p>
          <w:p>
            <w:pPr>
              <w:pStyle w:val="Normal"/>
              <w:rPr/>
            </w:pPr>
            <w:r>
              <w:rPr/>
            </w:r>
          </w:p>
        </w:tc>
        <w:tc>
          <w:tcPr>
            <w:tcW w:w="105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96,8-97,7 </w:t>
            </w:r>
          </w:p>
          <w:p>
            <w:pPr>
              <w:pStyle w:val="Normal"/>
              <w:rPr/>
            </w:pPr>
            <w:r>
              <w:rPr/>
            </w:r>
          </w:p>
        </w:tc>
      </w:tr>
    </w:tbl>
    <w:p>
      <w:pPr>
        <w:pStyle w:val="Normal"/>
        <w:ind w:firstLine="270"/>
        <w:jc w:val="both"/>
        <w:rPr/>
      </w:pPr>
      <w:r>
        <w:rPr/>
      </w:r>
    </w:p>
    <w:p>
      <w:pPr>
        <w:pStyle w:val="Normal"/>
        <w:ind w:firstLine="225"/>
        <w:jc w:val="both"/>
        <w:rPr/>
      </w:pPr>
      <w:r>
        <w:rPr/>
        <w:t>12. Объем сгустителя Wсг, куб.м, следует определять по формуле</w:t>
      </w:r>
    </w:p>
    <w:p>
      <w:pPr>
        <w:pStyle w:val="Normal"/>
        <w:ind w:firstLine="225"/>
        <w:jc w:val="both"/>
        <w:rPr/>
      </w:pPr>
      <w:r>
        <w:rPr/>
      </w:r>
    </w:p>
    <w:p>
      <w:pPr>
        <w:pStyle w:val="Normal"/>
        <w:ind w:firstLine="225"/>
        <w:jc w:val="both"/>
        <w:rPr/>
      </w:pPr>
      <w:r>
        <w:rPr/>
      </w:r>
    </w:p>
    <w:tbl>
      <w:tblPr>
        <w:tblW w:w="3090" w:type="dxa"/>
        <w:jc w:val="start"/>
        <w:tblInd w:w="165" w:type="dxa"/>
        <w:tblBorders/>
        <w:tblCellMar>
          <w:top w:w="0" w:type="dxa"/>
          <w:start w:w="15" w:type="dxa"/>
          <w:bottom w:w="0" w:type="dxa"/>
          <w:end w:w="15" w:type="dxa"/>
        </w:tblCellMar>
      </w:tblPr>
      <w:tblGrid>
        <w:gridCol w:w="1725"/>
        <w:gridCol w:w="1365"/>
      </w:tblGrid>
      <w:tr>
        <w:trPr/>
        <w:tc>
          <w:tcPr>
            <w:tcW w:w="1725" w:type="dxa"/>
            <w:tcBorders/>
            <w:shd w:fill="auto" w:val="clear"/>
          </w:tcPr>
          <w:p>
            <w:pPr>
              <w:pStyle w:val="Normal"/>
              <w:rPr/>
            </w:pPr>
            <w:r>
              <w:rPr>
                <w:vanish/>
              </w:rPr>
              <w:t>#G0</w:t>
            </w:r>
            <w:r>
              <w:rPr/>
              <w:t xml:space="preserve">  </w:t>
            </w:r>
          </w:p>
          <w:p>
            <w:pPr>
              <w:pStyle w:val="Normal"/>
              <w:rPr/>
            </w:pPr>
            <w:r>
              <w:rPr/>
              <w:drawing>
                <wp:inline distT="0" distB="0" distL="0" distR="0">
                  <wp:extent cx="979170" cy="207645"/>
                  <wp:effectExtent l="0" t="0" r="0" b="0"/>
                  <wp:docPr id="337" name="Изображение3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Изображение337" descr="" title=""/>
                          <pic:cNvPicPr>
                            <a:picLocks noChangeAspect="1" noChangeArrowheads="1"/>
                          </pic:cNvPicPr>
                        </pic:nvPicPr>
                        <pic:blipFill>
                          <a:blip r:embed="rId338"/>
                          <a:stretch>
                            <a:fillRect/>
                          </a:stretch>
                        </pic:blipFill>
                        <pic:spPr bwMode="auto">
                          <a:xfrm>
                            <a:off x="0" y="0"/>
                            <a:ext cx="979170" cy="207645"/>
                          </a:xfrm>
                          <a:prstGeom prst="rect">
                            <a:avLst/>
                          </a:prstGeom>
                        </pic:spPr>
                      </pic:pic>
                    </a:graphicData>
                  </a:graphic>
                </wp:inline>
              </w:drawing>
            </w:r>
          </w:p>
        </w:tc>
        <w:tc>
          <w:tcPr>
            <w:tcW w:w="1365" w:type="dxa"/>
            <w:tcBorders/>
            <w:shd w:fill="auto" w:val="clear"/>
          </w:tcPr>
          <w:p>
            <w:pPr>
              <w:pStyle w:val="Normal"/>
              <w:rPr/>
            </w:pPr>
            <w:r>
              <w:rPr/>
              <w:t xml:space="preserve">  </w:t>
            </w:r>
          </w:p>
          <w:p>
            <w:pPr>
              <w:pStyle w:val="Normal"/>
              <w:rPr/>
            </w:pPr>
            <w:r>
              <w:rPr/>
              <w:t xml:space="preserve">                </w:t>
            </w:r>
            <w:r>
              <w:rPr/>
              <w:t>(1)</w:t>
            </w:r>
          </w:p>
          <w:p>
            <w:pPr>
              <w:pStyle w:val="Normal"/>
              <w:rPr/>
            </w:pPr>
            <w:r>
              <w:rPr/>
            </w:r>
          </w:p>
        </w:tc>
      </w:tr>
    </w:tbl>
    <w:p>
      <w:pPr>
        <w:pStyle w:val="Normal"/>
        <w:jc w:val="both"/>
        <w:rPr/>
      </w:pPr>
      <w:r>
        <w:rPr/>
      </w:r>
    </w:p>
    <w:p>
      <w:pPr>
        <w:pStyle w:val="Normal"/>
        <w:ind w:firstLine="1395"/>
        <w:jc w:val="both"/>
        <w:rPr/>
      </w:pPr>
      <w:r>
        <w:rPr/>
      </w:r>
    </w:p>
    <w:p>
      <w:pPr>
        <w:pStyle w:val="Normal"/>
        <w:ind w:firstLine="405"/>
        <w:jc w:val="both"/>
        <w:rPr/>
      </w:pPr>
      <w:r>
        <w:rPr/>
        <w:tab/>
        <w:t xml:space="preserve">      </w:t>
      </w:r>
    </w:p>
    <w:p>
      <w:pPr>
        <w:pStyle w:val="Normal"/>
        <w:ind w:firstLine="225"/>
        <w:jc w:val="both"/>
        <w:rPr/>
      </w:pPr>
      <w:r>
        <w:rPr/>
        <w:t>К(р.о) - коэффициент разбавления осадка при выпуске из сооружений подготовки воды, принимаемый по п. 6.74;</w:t>
      </w:r>
    </w:p>
    <w:p>
      <w:pPr>
        <w:pStyle w:val="Normal"/>
        <w:ind w:firstLine="225"/>
        <w:jc w:val="both"/>
        <w:rPr/>
      </w:pPr>
      <w:r>
        <w:rPr/>
      </w:r>
    </w:p>
    <w:p>
      <w:pPr>
        <w:pStyle w:val="Normal"/>
        <w:ind w:firstLine="225"/>
        <w:jc w:val="both"/>
        <w:rPr/>
      </w:pPr>
      <w:r>
        <w:rPr/>
        <w:t>W(ос.ч) - объем осадочной части сооружения подготовки воды, куб.м.</w:t>
      </w:r>
    </w:p>
    <w:p>
      <w:pPr>
        <w:pStyle w:val="Normal"/>
        <w:ind w:firstLine="225"/>
        <w:jc w:val="both"/>
        <w:rPr/>
      </w:pPr>
      <w:r>
        <w:rPr/>
      </w:r>
    </w:p>
    <w:p>
      <w:pPr>
        <w:pStyle w:val="Normal"/>
        <w:ind w:firstLine="225"/>
        <w:jc w:val="both"/>
        <w:rPr/>
      </w:pPr>
      <w:r>
        <w:rPr/>
        <w:t>13. Число сгустителей необходимо принимать из условий обеспечения периодического приема осадка в соответствии с режимом удаления его из сооружений и длительностью цикла сгущения.</w:t>
      </w:r>
    </w:p>
    <w:p>
      <w:pPr>
        <w:pStyle w:val="Normal"/>
        <w:ind w:firstLine="225"/>
        <w:jc w:val="both"/>
        <w:rPr/>
      </w:pPr>
      <w:r>
        <w:rPr/>
      </w:r>
    </w:p>
    <w:p>
      <w:pPr>
        <w:pStyle w:val="Normal"/>
        <w:ind w:firstLine="225"/>
        <w:jc w:val="both"/>
        <w:rPr/>
      </w:pPr>
      <w:r>
        <w:rPr/>
        <w:t>14. На станциях одноступенчатого фильтрования и обезжелезивания воды сгустители допускается применять в качестве отстойников промывных вод.</w:t>
      </w:r>
    </w:p>
    <w:p>
      <w:pPr>
        <w:pStyle w:val="Normal"/>
        <w:ind w:firstLine="225"/>
        <w:jc w:val="both"/>
        <w:rPr/>
      </w:pPr>
      <w:r>
        <w:rPr/>
      </w:r>
    </w:p>
    <w:p>
      <w:pPr>
        <w:pStyle w:val="Normal"/>
        <w:ind w:firstLine="225"/>
        <w:jc w:val="both"/>
        <w:rPr/>
      </w:pPr>
      <w:r>
        <w:rPr/>
        <w:t>15. Подачу осадка к сгустителям, как правило, следует предусматривать самотеком. Для подачи сгущенного осадка на сооружения механического обезвоживания рекомендуется принимать монжусы или насосы плунжерного типа.</w:t>
      </w:r>
    </w:p>
    <w:p>
      <w:pPr>
        <w:pStyle w:val="Normal"/>
        <w:ind w:firstLine="225"/>
        <w:jc w:val="both"/>
        <w:rPr/>
      </w:pPr>
      <w:r>
        <w:rPr/>
      </w:r>
    </w:p>
    <w:p>
      <w:pPr>
        <w:pStyle w:val="Normal"/>
        <w:ind w:firstLine="225"/>
        <w:jc w:val="both"/>
        <w:rPr/>
      </w:pPr>
      <w:r>
        <w:rPr/>
        <w:t>16. Гидравлический расчет трубопроводов следует производить с учетом свойств транспортируемого осадка.</w:t>
      </w:r>
    </w:p>
    <w:p>
      <w:pPr>
        <w:pStyle w:val="Normal"/>
        <w:ind w:firstLine="225"/>
        <w:jc w:val="both"/>
        <w:rPr/>
      </w:pPr>
      <w:r>
        <w:rPr/>
      </w:r>
    </w:p>
    <w:p>
      <w:pPr>
        <w:pStyle w:val="Normal"/>
        <w:ind w:firstLine="225"/>
        <w:jc w:val="both"/>
        <w:rPr/>
      </w:pPr>
      <w:r>
        <w:rPr/>
      </w:r>
    </w:p>
    <w:p>
      <w:pPr>
        <w:pStyle w:val="Heading"/>
        <w:jc w:val="center"/>
        <w:rPr/>
      </w:pPr>
      <w:r>
        <w:rPr/>
        <w:t xml:space="preserve">Накопители </w:t>
      </w:r>
    </w:p>
    <w:p>
      <w:pPr>
        <w:pStyle w:val="Normal"/>
        <w:ind w:firstLine="270"/>
        <w:jc w:val="both"/>
        <w:rPr/>
      </w:pPr>
      <w:r>
        <w:rPr/>
      </w:r>
    </w:p>
    <w:p>
      <w:pPr>
        <w:pStyle w:val="Normal"/>
        <w:ind w:firstLine="270"/>
        <w:jc w:val="both"/>
        <w:rPr/>
      </w:pPr>
      <w:r>
        <w:rPr/>
      </w:r>
    </w:p>
    <w:p>
      <w:pPr>
        <w:pStyle w:val="Normal"/>
        <w:ind w:firstLine="225"/>
        <w:jc w:val="both"/>
        <w:rPr/>
      </w:pPr>
      <w:r>
        <w:rPr/>
        <w:t>17. Накопители следует предусматривать для обезвоживания и складирования осадка с удалением осветленной воды и воды, выделившейся при его уплотнении. Расчетный период подачи осадка в накопитель следует принимать не менее пяти лет.</w:t>
      </w:r>
    </w:p>
    <w:p>
      <w:pPr>
        <w:pStyle w:val="Normal"/>
        <w:ind w:firstLine="225"/>
        <w:jc w:val="both"/>
        <w:rPr/>
      </w:pPr>
      <w:r>
        <w:rPr/>
      </w:r>
    </w:p>
    <w:p>
      <w:pPr>
        <w:pStyle w:val="Normal"/>
        <w:ind w:firstLine="225"/>
        <w:jc w:val="both"/>
        <w:rPr/>
      </w:pPr>
      <w:r>
        <w:rPr/>
        <w:t>В качестве накопителей надлежит использовать овраги, отработавшие карьеры или обвалованные грунтом спланированные площадки на естественном основании глубиной не менее 2 м. При наличии в осадке токсичных веществ в накопителях следует предусматривать противофильтрационные экраны.</w:t>
      </w:r>
    </w:p>
    <w:p>
      <w:pPr>
        <w:pStyle w:val="Normal"/>
        <w:ind w:firstLine="225"/>
        <w:jc w:val="both"/>
        <w:rPr/>
      </w:pPr>
      <w:r>
        <w:rPr/>
      </w:r>
    </w:p>
    <w:p>
      <w:pPr>
        <w:pStyle w:val="Normal"/>
        <w:ind w:firstLine="225"/>
        <w:jc w:val="both"/>
        <w:rPr/>
      </w:pPr>
      <w:r>
        <w:rPr/>
        <w:t>18. Объем накопителя W(нак), куб.м, надлежит определять по формуле</w:t>
      </w:r>
    </w:p>
    <w:p>
      <w:pPr>
        <w:pStyle w:val="Normal"/>
        <w:ind w:firstLine="225"/>
        <w:jc w:val="both"/>
        <w:rPr/>
      </w:pPr>
      <w:r>
        <w:rPr/>
      </w:r>
    </w:p>
    <w:p>
      <w:pPr>
        <w:pStyle w:val="Normal"/>
        <w:ind w:firstLine="225"/>
        <w:jc w:val="both"/>
        <w:rPr/>
      </w:pPr>
      <w:r>
        <w:rPr/>
      </w:r>
    </w:p>
    <w:tbl>
      <w:tblPr>
        <w:tblW w:w="7470" w:type="dxa"/>
        <w:jc w:val="start"/>
        <w:tblInd w:w="165" w:type="dxa"/>
        <w:tblBorders/>
        <w:tblCellMar>
          <w:top w:w="0" w:type="dxa"/>
          <w:start w:w="15" w:type="dxa"/>
          <w:bottom w:w="0" w:type="dxa"/>
          <w:end w:w="15" w:type="dxa"/>
        </w:tblCellMar>
      </w:tblPr>
      <w:tblGrid>
        <w:gridCol w:w="6105"/>
        <w:gridCol w:w="1365"/>
      </w:tblGrid>
      <w:tr>
        <w:trPr/>
        <w:tc>
          <w:tcPr>
            <w:tcW w:w="6105" w:type="dxa"/>
            <w:tcBorders/>
            <w:shd w:fill="auto" w:val="clear"/>
          </w:tcPr>
          <w:p>
            <w:pPr>
              <w:pStyle w:val="Normal"/>
              <w:rPr/>
            </w:pPr>
            <w:r>
              <w:rPr>
                <w:vanish/>
              </w:rPr>
              <w:t>#G0</w:t>
            </w:r>
            <w:r>
              <w:rPr/>
              <w:t xml:space="preserve">  </w:t>
            </w:r>
          </w:p>
          <w:p>
            <w:pPr>
              <w:pStyle w:val="Normal"/>
              <w:rPr/>
            </w:pPr>
            <w:r>
              <w:rPr/>
              <w:drawing>
                <wp:inline distT="0" distB="0" distL="0" distR="0">
                  <wp:extent cx="4734560" cy="311150"/>
                  <wp:effectExtent l="0" t="0" r="0" b="0"/>
                  <wp:docPr id="338" name="Изображение3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Изображение338" descr="" title=""/>
                          <pic:cNvPicPr>
                            <a:picLocks noChangeAspect="1" noChangeArrowheads="1"/>
                          </pic:cNvPicPr>
                        </pic:nvPicPr>
                        <pic:blipFill>
                          <a:blip r:embed="rId339"/>
                          <a:stretch>
                            <a:fillRect/>
                          </a:stretch>
                        </pic:blipFill>
                        <pic:spPr bwMode="auto">
                          <a:xfrm>
                            <a:off x="0" y="0"/>
                            <a:ext cx="4734560" cy="311150"/>
                          </a:xfrm>
                          <a:prstGeom prst="rect">
                            <a:avLst/>
                          </a:prstGeom>
                        </pic:spPr>
                      </pic:pic>
                    </a:graphicData>
                  </a:graphic>
                </wp:inline>
              </w:drawing>
            </w:r>
          </w:p>
        </w:tc>
        <w:tc>
          <w:tcPr>
            <w:tcW w:w="1365" w:type="dxa"/>
            <w:tcBorders/>
            <w:shd w:fill="auto" w:val="clear"/>
          </w:tcPr>
          <w:p>
            <w:pPr>
              <w:pStyle w:val="Normal"/>
              <w:snapToGrid w:val="false"/>
              <w:rPr/>
            </w:pPr>
            <w:r>
              <w:rPr/>
            </w:r>
          </w:p>
          <w:p>
            <w:pPr>
              <w:pStyle w:val="Normal"/>
              <w:rPr/>
            </w:pPr>
            <w:r>
              <w:rPr/>
              <w:t xml:space="preserve">            </w:t>
            </w:r>
            <w:r>
              <w:rPr/>
              <w:t>(2)</w:t>
            </w:r>
          </w:p>
          <w:p>
            <w:pPr>
              <w:pStyle w:val="Normal"/>
              <w:rPr/>
            </w:pPr>
            <w:r>
              <w:rPr/>
            </w:r>
          </w:p>
        </w:tc>
      </w:tr>
    </w:tbl>
    <w:p>
      <w:pPr>
        <w:pStyle w:val="Normal"/>
        <w:jc w:val="both"/>
        <w:rPr/>
      </w:pPr>
      <w:r>
        <w:rPr/>
      </w:r>
    </w:p>
    <w:p>
      <w:pPr>
        <w:pStyle w:val="Normal"/>
        <w:ind w:firstLine="270"/>
        <w:jc w:val="both"/>
        <w:rPr/>
      </w:pPr>
      <w:r>
        <w:rPr/>
      </w:r>
    </w:p>
    <w:p>
      <w:pPr>
        <w:pStyle w:val="Normal"/>
        <w:ind w:firstLine="270"/>
        <w:jc w:val="both"/>
        <w:rPr/>
      </w:pPr>
      <w:r>
        <w:rPr/>
        <w:t xml:space="preserve">где q - расчетный расход воды станции водоподготовки, куб.м/ч; </w:t>
      </w:r>
    </w:p>
    <w:p>
      <w:pPr>
        <w:pStyle w:val="Normal"/>
        <w:ind w:firstLine="135"/>
        <w:jc w:val="both"/>
        <w:rPr/>
      </w:pPr>
      <w:r>
        <w:rPr/>
      </w:r>
    </w:p>
    <w:p>
      <w:pPr>
        <w:pStyle w:val="Normal"/>
        <w:ind w:firstLine="360"/>
        <w:jc w:val="both"/>
        <w:rPr/>
      </w:pPr>
      <w:r>
        <w:rPr/>
        <w:t>С(в) -  среднегодовая концентрация взвешенных веществ в исходной воде, г/куб.м, определяемая по формуле (11) п. 6.65;</w:t>
      </w:r>
    </w:p>
    <w:p>
      <w:pPr>
        <w:pStyle w:val="Normal"/>
        <w:ind w:firstLine="360"/>
        <w:jc w:val="both"/>
        <w:rPr/>
      </w:pPr>
      <w:r>
        <w:rPr/>
      </w:r>
    </w:p>
    <w:p>
      <w:pPr>
        <w:pStyle w:val="Normal"/>
        <w:ind w:firstLine="225"/>
        <w:jc w:val="both"/>
        <w:rPr/>
      </w:pPr>
      <w:r>
        <w:rPr/>
        <w:t xml:space="preserve">Р(ос1), Р(ос2),..., Р(осn)  - соответственно средние значения влажности в процентах    </w:t>
      </w:r>
    </w:p>
    <w:tbl>
      <w:tblPr>
        <w:tblW w:w="7995" w:type="dxa"/>
        <w:jc w:val="start"/>
        <w:tblInd w:w="15" w:type="dxa"/>
        <w:tblBorders/>
        <w:tblCellMar>
          <w:top w:w="0" w:type="dxa"/>
          <w:start w:w="15" w:type="dxa"/>
          <w:bottom w:w="0" w:type="dxa"/>
          <w:end w:w="15" w:type="dxa"/>
        </w:tblCellMar>
      </w:tblPr>
      <w:tblGrid>
        <w:gridCol w:w="1365"/>
        <w:gridCol w:w="6630"/>
      </w:tblGrid>
      <w:tr>
        <w:trPr/>
        <w:tc>
          <w:tcPr>
            <w:tcW w:w="1365" w:type="dxa"/>
            <w:tcBorders/>
            <w:shd w:fill="auto" w:val="clear"/>
          </w:tcPr>
          <w:p>
            <w:pPr>
              <w:pStyle w:val="Normal"/>
              <w:rPr/>
            </w:pPr>
            <w:r>
              <w:rPr>
                <w:vanish/>
              </w:rPr>
              <w:t>#G0</w:t>
            </w:r>
            <w:r>
              <w:rPr/>
              <w:t xml:space="preserve"> </w:t>
            </w:r>
          </w:p>
          <w:p>
            <w:pPr>
              <w:pStyle w:val="Normal"/>
              <w:rPr/>
            </w:pPr>
            <w:r>
              <w:rPr/>
              <w:drawing>
                <wp:inline distT="0" distB="0" distL="0" distR="0">
                  <wp:extent cx="691515" cy="184150"/>
                  <wp:effectExtent l="0" t="0" r="0" b="0"/>
                  <wp:docPr id="339" name="Изображение3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Изображение339" descr="" title=""/>
                          <pic:cNvPicPr>
                            <a:picLocks noChangeAspect="1" noChangeArrowheads="1"/>
                          </pic:cNvPicPr>
                        </pic:nvPicPr>
                        <pic:blipFill>
                          <a:blip r:embed="rId340"/>
                          <a:stretch>
                            <a:fillRect/>
                          </a:stretch>
                        </pic:blipFill>
                        <pic:spPr bwMode="auto">
                          <a:xfrm>
                            <a:off x="0" y="0"/>
                            <a:ext cx="691515" cy="184150"/>
                          </a:xfrm>
                          <a:prstGeom prst="rect">
                            <a:avLst/>
                          </a:prstGeom>
                        </pic:spPr>
                      </pic:pic>
                    </a:graphicData>
                  </a:graphic>
                </wp:inline>
              </w:drawing>
            </w:r>
            <w:r>
              <w:rPr/>
              <w:t xml:space="preserve"> </w:t>
            </w:r>
          </w:p>
          <w:p>
            <w:pPr>
              <w:pStyle w:val="Normal"/>
              <w:rPr/>
            </w:pPr>
            <w:r>
              <w:rPr/>
            </w:r>
          </w:p>
        </w:tc>
        <w:tc>
          <w:tcPr>
            <w:tcW w:w="6630" w:type="dxa"/>
            <w:tcBorders/>
            <w:shd w:fill="auto" w:val="clear"/>
          </w:tcPr>
          <w:p>
            <w:pPr>
              <w:pStyle w:val="Normal"/>
              <w:snapToGrid w:val="false"/>
              <w:rPr/>
            </w:pPr>
            <w:r>
              <w:rPr/>
            </w:r>
          </w:p>
          <w:p>
            <w:pPr>
              <w:pStyle w:val="Normal"/>
              <w:rPr/>
            </w:pPr>
            <w:r>
              <w:rPr/>
              <w:t xml:space="preserve"> </w:t>
            </w:r>
            <w:r>
              <w:rPr/>
              <w:t>и плотности т/куб.м осадка первого, второго, ..., n года уплотнения осадка,</w:t>
            </w:r>
          </w:p>
          <w:p>
            <w:pPr>
              <w:pStyle w:val="Normal"/>
              <w:rPr/>
            </w:pPr>
            <w:r>
              <w:rPr/>
            </w:r>
          </w:p>
        </w:tc>
      </w:tr>
    </w:tbl>
    <w:p>
      <w:pPr>
        <w:pStyle w:val="Normal"/>
        <w:jc w:val="both"/>
        <w:rPr/>
      </w:pPr>
      <w:r>
        <w:rPr/>
        <w:t>принимаемые по данным эксплуатации накопителей в аналогичных условиях, а при их отсутствии по рис. 1 и 2.</w:t>
      </w:r>
    </w:p>
    <w:p>
      <w:pPr>
        <w:pStyle w:val="Normal"/>
        <w:ind w:firstLine="135"/>
        <w:jc w:val="both"/>
        <w:rPr/>
      </w:pPr>
      <w:r>
        <w:rPr/>
      </w:r>
    </w:p>
    <w:p>
      <w:pPr>
        <w:pStyle w:val="Normal"/>
        <w:ind w:firstLine="90"/>
        <w:jc w:val="both"/>
        <w:rPr/>
      </w:pPr>
      <w:r>
        <w:rPr/>
      </w:r>
    </w:p>
    <w:p>
      <w:pPr>
        <w:pStyle w:val="Normal"/>
        <w:jc w:val="center"/>
        <w:rPr/>
      </w:pPr>
      <w:r>
        <w:rPr/>
        <w:drawing>
          <wp:inline distT="0" distB="0" distL="0" distR="0">
            <wp:extent cx="6629400" cy="6581775"/>
            <wp:effectExtent l="0" t="0" r="0" b="0"/>
            <wp:docPr id="340" name="Изображение3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Изображение340" descr="" title=""/>
                    <pic:cNvPicPr>
                      <a:picLocks noChangeAspect="1" noChangeArrowheads="1"/>
                    </pic:cNvPicPr>
                  </pic:nvPicPr>
                  <pic:blipFill>
                    <a:blip r:embed="rId341"/>
                    <a:stretch>
                      <a:fillRect/>
                    </a:stretch>
                  </pic:blipFill>
                  <pic:spPr bwMode="auto">
                    <a:xfrm>
                      <a:off x="0" y="0"/>
                      <a:ext cx="6629400" cy="6581775"/>
                    </a:xfrm>
                    <a:prstGeom prst="rect">
                      <a:avLst/>
                    </a:prstGeom>
                  </pic:spPr>
                </pic:pic>
              </a:graphicData>
            </a:graphic>
          </wp:inline>
        </w:drawing>
      </w:r>
    </w:p>
    <w:p>
      <w:pPr>
        <w:pStyle w:val="Normal"/>
        <w:jc w:val="center"/>
        <w:rPr/>
      </w:pPr>
      <w:r>
        <w:rPr/>
        <w:t xml:space="preserve">Рис. 1. Средние значения влажности и плотности </w:t>
      </w:r>
    </w:p>
    <w:p>
      <w:pPr>
        <w:pStyle w:val="Normal"/>
        <w:jc w:val="center"/>
        <w:rPr/>
      </w:pPr>
      <w:r>
        <w:rPr/>
        <w:t>осадка станций осветления и обесцвечивания воды</w:t>
      </w:r>
    </w:p>
    <w:p>
      <w:pPr>
        <w:pStyle w:val="Normal"/>
        <w:jc w:val="center"/>
        <w:rPr/>
      </w:pPr>
      <w:r>
        <w:rPr/>
        <w:t xml:space="preserve">при многолетнем уплотнении </w:t>
      </w:r>
    </w:p>
    <w:p>
      <w:pPr>
        <w:pStyle w:val="Normal"/>
        <w:ind w:firstLine="270"/>
        <w:jc w:val="both"/>
        <w:rPr/>
      </w:pPr>
      <w:r>
        <w:rPr/>
      </w:r>
    </w:p>
    <w:p>
      <w:pPr>
        <w:pStyle w:val="Normal"/>
        <w:ind w:firstLine="270"/>
        <w:jc w:val="both"/>
        <w:rPr/>
      </w:pPr>
      <w:r>
        <w:rPr/>
        <w:t xml:space="preserve">Количество взвешенных веществ в исходной воде - М, мг/л; реагенты - R:     </w:t>
      </w:r>
    </w:p>
    <w:p>
      <w:pPr>
        <w:pStyle w:val="Normal"/>
        <w:ind w:firstLine="225"/>
        <w:jc w:val="both"/>
        <w:rPr/>
      </w:pPr>
      <w:r>
        <w:rPr/>
      </w:r>
    </w:p>
    <w:p>
      <w:pPr>
        <w:pStyle w:val="Normal"/>
        <w:ind w:firstLine="1710"/>
        <w:jc w:val="both"/>
        <w:rPr/>
      </w:pPr>
      <w:r>
        <w:rPr/>
        <w:drawing>
          <wp:inline distT="0" distB="0" distL="0" distR="0">
            <wp:extent cx="5103495" cy="598805"/>
            <wp:effectExtent l="0" t="0" r="0" b="0"/>
            <wp:docPr id="341" name="Изображение3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Изображение341" descr="" title=""/>
                    <pic:cNvPicPr>
                      <a:picLocks noChangeAspect="1" noChangeArrowheads="1"/>
                    </pic:cNvPicPr>
                  </pic:nvPicPr>
                  <pic:blipFill>
                    <a:blip r:embed="rId342"/>
                    <a:stretch>
                      <a:fillRect/>
                    </a:stretch>
                  </pic:blipFill>
                  <pic:spPr bwMode="auto">
                    <a:xfrm>
                      <a:off x="0" y="0"/>
                      <a:ext cx="5103495" cy="598805"/>
                    </a:xfrm>
                    <a:prstGeom prst="rect">
                      <a:avLst/>
                    </a:prstGeom>
                  </pic:spPr>
                </pic:pic>
              </a:graphicData>
            </a:graphic>
          </wp:inline>
        </w:drawing>
      </w:r>
      <w:r>
        <w:rPr/>
        <w:t>или безреагентная очистка</w:t>
      </w:r>
    </w:p>
    <w:p>
      <w:pPr>
        <w:pStyle w:val="Normal"/>
        <w:ind w:firstLine="225"/>
        <w:jc w:val="both"/>
        <w:rPr/>
      </w:pPr>
      <w:r>
        <w:rPr/>
      </w:r>
    </w:p>
    <w:p>
      <w:pPr>
        <w:pStyle w:val="Normal"/>
        <w:ind w:firstLine="225"/>
        <w:jc w:val="both"/>
        <w:rPr/>
      </w:pPr>
      <w:r>
        <w:rPr/>
        <w:t>Примечание. Влажность дана сплошной линией, плотность -  пунктиром.</w:t>
      </w:r>
    </w:p>
    <w:p>
      <w:pPr>
        <w:pStyle w:val="Normal"/>
        <w:ind w:firstLine="225"/>
        <w:jc w:val="both"/>
        <w:rPr/>
      </w:pPr>
      <w:r>
        <w:rPr/>
      </w:r>
    </w:p>
    <w:p>
      <w:pPr>
        <w:pStyle w:val="Normal"/>
        <w:jc w:val="center"/>
        <w:rPr/>
      </w:pPr>
      <w:r>
        <w:rPr/>
        <w:drawing>
          <wp:inline distT="0" distB="0" distL="0" distR="0">
            <wp:extent cx="3533775" cy="3124200"/>
            <wp:effectExtent l="0" t="0" r="0" b="0"/>
            <wp:docPr id="342" name="Изображение3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Изображение342" descr="" title=""/>
                    <pic:cNvPicPr>
                      <a:picLocks noChangeAspect="1" noChangeArrowheads="1"/>
                    </pic:cNvPicPr>
                  </pic:nvPicPr>
                  <pic:blipFill>
                    <a:blip r:embed="rId343"/>
                    <a:stretch>
                      <a:fillRect/>
                    </a:stretch>
                  </pic:blipFill>
                  <pic:spPr bwMode="auto">
                    <a:xfrm>
                      <a:off x="0" y="0"/>
                      <a:ext cx="3533775" cy="3124200"/>
                    </a:xfrm>
                    <a:prstGeom prst="rect">
                      <a:avLst/>
                    </a:prstGeom>
                  </pic:spPr>
                </pic:pic>
              </a:graphicData>
            </a:graphic>
          </wp:inline>
        </w:drawing>
      </w:r>
    </w:p>
    <w:p>
      <w:pPr>
        <w:pStyle w:val="Normal"/>
        <w:jc w:val="center"/>
        <w:rPr/>
      </w:pPr>
      <w:r>
        <w:rPr/>
        <w:t>Рис. 2. Средние значения влажности и плотности осадка станций обезжелезивания или</w:t>
      </w:r>
    </w:p>
    <w:p>
      <w:pPr>
        <w:pStyle w:val="Normal"/>
        <w:jc w:val="center"/>
        <w:rPr/>
      </w:pPr>
      <w:r>
        <w:rPr/>
        <w:t xml:space="preserve"> </w:t>
      </w:r>
      <w:r>
        <w:rPr/>
        <w:t xml:space="preserve">реагентного умягчения воды при многолетнем уплотнении </w:t>
      </w:r>
    </w:p>
    <w:p>
      <w:pPr>
        <w:pStyle w:val="Normal"/>
        <w:ind w:firstLine="270"/>
        <w:jc w:val="both"/>
        <w:rPr/>
      </w:pPr>
      <w:r>
        <w:rPr/>
      </w:r>
    </w:p>
    <w:p>
      <w:pPr>
        <w:pStyle w:val="Normal"/>
        <w:jc w:val="center"/>
        <w:rPr/>
      </w:pPr>
      <w:r>
        <w:rPr/>
        <w:t xml:space="preserve">1 - реагентное обезжелезивание; 2 - безреагентное обезжелезивание; </w:t>
      </w:r>
    </w:p>
    <w:p>
      <w:pPr>
        <w:pStyle w:val="Normal"/>
        <w:jc w:val="center"/>
        <w:rPr/>
      </w:pPr>
      <w:r>
        <w:rPr/>
        <w:t xml:space="preserve">3 - реагентное умягчение при магниевой  жесткости более 25%; </w:t>
      </w:r>
    </w:p>
    <w:p>
      <w:pPr>
        <w:pStyle w:val="Normal"/>
        <w:jc w:val="center"/>
        <w:rPr/>
      </w:pPr>
      <w:r>
        <w:rPr/>
        <w:t>4 - реагентное умягчение при магниевой жесткости менее 25%</w:t>
      </w:r>
    </w:p>
    <w:p>
      <w:pPr>
        <w:pStyle w:val="Normal"/>
        <w:ind w:firstLine="270"/>
        <w:jc w:val="both"/>
        <w:rPr/>
      </w:pPr>
      <w:r>
        <w:rPr/>
      </w:r>
    </w:p>
    <w:p>
      <w:pPr>
        <w:pStyle w:val="Normal"/>
        <w:ind w:firstLine="270"/>
        <w:jc w:val="both"/>
        <w:rPr/>
      </w:pPr>
      <w:r>
        <w:rPr/>
      </w:r>
    </w:p>
    <w:p>
      <w:pPr>
        <w:pStyle w:val="Normal"/>
        <w:ind w:firstLine="225"/>
        <w:jc w:val="both"/>
        <w:rPr/>
      </w:pPr>
      <w:r>
        <w:rPr/>
        <w:t>Примечание. Влажность дана сплошной линией, плотность пунктиром.</w:t>
      </w:r>
    </w:p>
    <w:p>
      <w:pPr>
        <w:pStyle w:val="Normal"/>
        <w:ind w:firstLine="225"/>
        <w:jc w:val="both"/>
        <w:rPr/>
      </w:pPr>
      <w:r>
        <w:rPr/>
      </w:r>
    </w:p>
    <w:p>
      <w:pPr>
        <w:pStyle w:val="Normal"/>
        <w:ind w:firstLine="225"/>
        <w:jc w:val="both"/>
        <w:rPr/>
      </w:pPr>
      <w:r>
        <w:rPr/>
      </w:r>
    </w:p>
    <w:p>
      <w:pPr>
        <w:pStyle w:val="Normal"/>
        <w:ind w:firstLine="225"/>
        <w:jc w:val="both"/>
        <w:rPr/>
      </w:pPr>
      <w:r>
        <w:rPr/>
        <w:t>19. Число секций накопителя должно приниматься не менее двух, работающих попеременно по годам, при этом напуск осадка следует предусматривать в одну секцию в течение года с удалением осветленной воды. В остальных секциях в это время будет происходить обезвоживание и уплотнение ранее поданного осадка замораживанием в зимний период и подсушиванием в летний период с удалением воды, выделившейся при его уплотнении.</w:t>
      </w:r>
    </w:p>
    <w:p>
      <w:pPr>
        <w:pStyle w:val="Normal"/>
        <w:ind w:firstLine="225"/>
        <w:jc w:val="both"/>
        <w:rPr/>
      </w:pPr>
      <w:r>
        <w:rPr/>
      </w:r>
    </w:p>
    <w:p>
      <w:pPr>
        <w:pStyle w:val="Normal"/>
        <w:ind w:firstLine="225"/>
        <w:jc w:val="both"/>
        <w:rPr/>
      </w:pPr>
      <w:r>
        <w:rPr/>
      </w:r>
    </w:p>
    <w:p>
      <w:pPr>
        <w:pStyle w:val="Normal"/>
        <w:ind w:firstLine="225"/>
        <w:jc w:val="both"/>
        <w:rPr/>
      </w:pPr>
      <w:r>
        <w:rPr/>
        <w:t>20. Устройства для подачи осадка и отвода воды следует предусматривать на противоположных сторонах накопителей.</w:t>
      </w:r>
    </w:p>
    <w:p>
      <w:pPr>
        <w:pStyle w:val="Normal"/>
        <w:ind w:firstLine="225"/>
        <w:jc w:val="both"/>
        <w:rPr/>
      </w:pPr>
      <w:r>
        <w:rPr/>
      </w:r>
    </w:p>
    <w:p>
      <w:pPr>
        <w:pStyle w:val="Normal"/>
        <w:ind w:firstLine="225"/>
        <w:jc w:val="both"/>
        <w:rPr/>
      </w:pPr>
      <w:r>
        <w:rPr/>
        <w:t>Расстояния между устройствами для подачи осадка надлежит принимать не более 60 м.</w:t>
      </w:r>
    </w:p>
    <w:p>
      <w:pPr>
        <w:pStyle w:val="Normal"/>
        <w:ind w:firstLine="225"/>
        <w:jc w:val="both"/>
        <w:rPr/>
      </w:pPr>
      <w:r>
        <w:rPr/>
      </w:r>
    </w:p>
    <w:p>
      <w:pPr>
        <w:pStyle w:val="Normal"/>
        <w:ind w:firstLine="225"/>
        <w:jc w:val="both"/>
        <w:rPr/>
      </w:pPr>
      <w:r>
        <w:rPr/>
        <w:t>Конструкция устройств для отвода воды должна обеспечивать ее отвод с любого уровня по глубине накопителей.</w:t>
      </w:r>
    </w:p>
    <w:p>
      <w:pPr>
        <w:pStyle w:val="Normal"/>
        <w:ind w:firstLine="225"/>
        <w:jc w:val="both"/>
        <w:rPr/>
      </w:pPr>
      <w:r>
        <w:rPr/>
      </w:r>
    </w:p>
    <w:p>
      <w:pPr>
        <w:pStyle w:val="Normal"/>
        <w:ind w:firstLine="225"/>
        <w:jc w:val="both"/>
        <w:rPr/>
      </w:pPr>
      <w:r>
        <w:rPr/>
      </w:r>
    </w:p>
    <w:p>
      <w:pPr>
        <w:pStyle w:val="Heading"/>
        <w:jc w:val="center"/>
        <w:rPr/>
      </w:pPr>
      <w:r>
        <w:rPr/>
        <w:t xml:space="preserve">Площадки замораживания </w:t>
      </w:r>
    </w:p>
    <w:p>
      <w:pPr>
        <w:pStyle w:val="Normal"/>
        <w:ind w:firstLine="270"/>
        <w:jc w:val="both"/>
        <w:rPr/>
      </w:pPr>
      <w:r>
        <w:rPr/>
      </w:r>
    </w:p>
    <w:p>
      <w:pPr>
        <w:pStyle w:val="Normal"/>
        <w:ind w:firstLine="270"/>
        <w:jc w:val="both"/>
        <w:rPr/>
      </w:pPr>
      <w:r>
        <w:rPr/>
      </w:r>
    </w:p>
    <w:p>
      <w:pPr>
        <w:pStyle w:val="Normal"/>
        <w:ind w:firstLine="225"/>
        <w:jc w:val="both"/>
        <w:rPr/>
      </w:pPr>
      <w:r>
        <w:rPr/>
        <w:t>21. Площадки замораживания для обезвоживания осадка следует предусматривать в районах с периодом устойчивого мороза не менее 2 мес в году с последующим вывозом осадка через 1-3 года в места складирования.</w:t>
      </w:r>
    </w:p>
    <w:p>
      <w:pPr>
        <w:pStyle w:val="Normal"/>
        <w:ind w:firstLine="225"/>
        <w:jc w:val="both"/>
        <w:rPr/>
      </w:pPr>
      <w:r>
        <w:rPr/>
      </w:r>
    </w:p>
    <w:p>
      <w:pPr>
        <w:pStyle w:val="Normal"/>
        <w:ind w:firstLine="225"/>
        <w:jc w:val="both"/>
        <w:rPr/>
      </w:pPr>
      <w:r>
        <w:rPr/>
        <w:t>22. Общую полезную площадь площадок замораживания Fпл.з, кв.м, следует определять по формуле</w:t>
      </w:r>
    </w:p>
    <w:p>
      <w:pPr>
        <w:pStyle w:val="Normal"/>
        <w:ind w:firstLine="1395"/>
        <w:jc w:val="both"/>
        <w:rPr/>
      </w:pPr>
      <w:r>
        <w:rPr/>
      </w:r>
    </w:p>
    <w:p>
      <w:pPr>
        <w:pStyle w:val="Normal"/>
        <w:ind w:firstLine="225"/>
        <w:jc w:val="both"/>
        <w:rPr/>
      </w:pPr>
      <w:r>
        <w:rPr/>
      </w:r>
    </w:p>
    <w:tbl>
      <w:tblPr>
        <w:tblW w:w="4875" w:type="dxa"/>
        <w:jc w:val="start"/>
        <w:tblInd w:w="165" w:type="dxa"/>
        <w:tblBorders/>
        <w:tblCellMar>
          <w:top w:w="0" w:type="dxa"/>
          <w:start w:w="15" w:type="dxa"/>
          <w:bottom w:w="0" w:type="dxa"/>
          <w:end w:w="15" w:type="dxa"/>
        </w:tblCellMar>
      </w:tblPr>
      <w:tblGrid>
        <w:gridCol w:w="2400"/>
        <w:gridCol w:w="2475"/>
      </w:tblGrid>
      <w:tr>
        <w:trPr/>
        <w:tc>
          <w:tcPr>
            <w:tcW w:w="2400" w:type="dxa"/>
            <w:tcBorders/>
            <w:shd w:fill="auto" w:val="clear"/>
          </w:tcPr>
          <w:p>
            <w:pPr>
              <w:pStyle w:val="Normal"/>
              <w:rPr/>
            </w:pPr>
            <w:r>
              <w:rPr>
                <w:vanish/>
              </w:rPr>
              <w:t>#G0</w:t>
            </w:r>
            <w:r>
              <w:rPr/>
              <w:t xml:space="preserve">  </w:t>
            </w:r>
          </w:p>
          <w:p>
            <w:pPr>
              <w:pStyle w:val="Normal"/>
              <w:rPr/>
            </w:pPr>
            <w:r>
              <w:rPr/>
              <w:drawing>
                <wp:inline distT="0" distB="0" distL="0" distR="0">
                  <wp:extent cx="1440180" cy="219075"/>
                  <wp:effectExtent l="0" t="0" r="0" b="0"/>
                  <wp:docPr id="343" name="Изображение3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Изображение343" descr="" title=""/>
                          <pic:cNvPicPr>
                            <a:picLocks noChangeAspect="1" noChangeArrowheads="1"/>
                          </pic:cNvPicPr>
                        </pic:nvPicPr>
                        <pic:blipFill>
                          <a:blip r:embed="rId344"/>
                          <a:stretch>
                            <a:fillRect/>
                          </a:stretch>
                        </pic:blipFill>
                        <pic:spPr bwMode="auto">
                          <a:xfrm>
                            <a:off x="0" y="0"/>
                            <a:ext cx="1440180" cy="219075"/>
                          </a:xfrm>
                          <a:prstGeom prst="rect">
                            <a:avLst/>
                          </a:prstGeom>
                        </pic:spPr>
                      </pic:pic>
                    </a:graphicData>
                  </a:graphic>
                </wp:inline>
              </w:drawing>
            </w:r>
          </w:p>
        </w:tc>
        <w:tc>
          <w:tcPr>
            <w:tcW w:w="2475" w:type="dxa"/>
            <w:tcBorders/>
            <w:shd w:fill="auto" w:val="clear"/>
          </w:tcPr>
          <w:p>
            <w:pPr>
              <w:pStyle w:val="Normal"/>
              <w:snapToGrid w:val="false"/>
              <w:rPr/>
            </w:pPr>
            <w:r>
              <w:rPr/>
            </w:r>
          </w:p>
          <w:p>
            <w:pPr>
              <w:pStyle w:val="Normal"/>
              <w:rPr/>
            </w:pPr>
            <w:r>
              <w:rPr/>
              <w:t xml:space="preserve">                                                 </w:t>
            </w:r>
            <w:r>
              <w:rPr/>
              <w:t>(3)</w:t>
            </w:r>
          </w:p>
          <w:p>
            <w:pPr>
              <w:pStyle w:val="Normal"/>
              <w:rPr/>
            </w:pPr>
            <w:r>
              <w:rPr/>
            </w:r>
          </w:p>
        </w:tc>
      </w:tr>
    </w:tbl>
    <w:p>
      <w:pPr>
        <w:pStyle w:val="Normal"/>
        <w:jc w:val="both"/>
        <w:rPr/>
      </w:pPr>
      <w:r>
        <w:rPr/>
        <w:tab/>
        <w:tab/>
      </w:r>
    </w:p>
    <w:p>
      <w:pPr>
        <w:pStyle w:val="Normal"/>
        <w:ind w:firstLine="270"/>
        <w:jc w:val="both"/>
        <w:rPr/>
      </w:pPr>
      <w:r>
        <w:rPr/>
      </w:r>
    </w:p>
    <w:p>
      <w:pPr>
        <w:pStyle w:val="Normal"/>
        <w:ind w:firstLine="270"/>
        <w:jc w:val="both"/>
        <w:rPr/>
      </w:pPr>
      <w:r>
        <w:rPr/>
        <w:t>где F(в), F(л.о), F(з)  - площадь площадок, кв.м, определяемая по зеркалу осадка при заполнении площадок на половину глубины, соответственно для весеннего, летне-осеннего и зимнего напуска осадка.</w:t>
      </w:r>
    </w:p>
    <w:p>
      <w:pPr>
        <w:pStyle w:val="Normal"/>
        <w:ind w:firstLine="90"/>
        <w:jc w:val="both"/>
        <w:rPr/>
      </w:pPr>
      <w:r>
        <w:rPr/>
      </w:r>
    </w:p>
    <w:p>
      <w:pPr>
        <w:pStyle w:val="Normal"/>
        <w:ind w:firstLine="405"/>
        <w:jc w:val="both"/>
        <w:rPr/>
      </w:pPr>
      <w:r>
        <w:rPr/>
        <w:t>23. Полезную площадь площадок для весеннего и летне-осеннего напусков следует определять из условия образования на площадках за эти периоды слоя осадка, равного глубине его промерзания Н(пр), м, в зимний период, определяемой по формуле</w:t>
      </w:r>
    </w:p>
    <w:p>
      <w:pPr>
        <w:pStyle w:val="Normal"/>
        <w:ind w:firstLine="225"/>
        <w:jc w:val="both"/>
        <w:rPr/>
      </w:pPr>
      <w:r>
        <w:rPr/>
      </w:r>
    </w:p>
    <w:tbl>
      <w:tblPr>
        <w:tblW w:w="4920" w:type="dxa"/>
        <w:jc w:val="start"/>
        <w:tblInd w:w="165" w:type="dxa"/>
        <w:tblBorders/>
        <w:tblCellMar>
          <w:top w:w="0" w:type="dxa"/>
          <w:start w:w="15" w:type="dxa"/>
          <w:bottom w:w="0" w:type="dxa"/>
          <w:end w:w="15" w:type="dxa"/>
        </w:tblCellMar>
      </w:tblPr>
      <w:tblGrid>
        <w:gridCol w:w="1755"/>
        <w:gridCol w:w="3165"/>
      </w:tblGrid>
      <w:tr>
        <w:trPr/>
        <w:tc>
          <w:tcPr>
            <w:tcW w:w="1755" w:type="dxa"/>
            <w:tcBorders/>
            <w:shd w:fill="auto" w:val="clear"/>
          </w:tcPr>
          <w:p>
            <w:pPr>
              <w:pStyle w:val="Normal"/>
              <w:rPr/>
            </w:pPr>
            <w:r>
              <w:rPr>
                <w:vanish/>
              </w:rPr>
              <w:t>#G0</w:t>
            </w:r>
            <w:r>
              <w:rPr/>
              <w:t xml:space="preserve">  </w:t>
            </w:r>
          </w:p>
          <w:p>
            <w:pPr>
              <w:pStyle w:val="Normal"/>
              <w:rPr/>
            </w:pPr>
            <w:r>
              <w:rPr/>
              <w:drawing>
                <wp:inline distT="0" distB="0" distL="0" distR="0">
                  <wp:extent cx="1117600" cy="288290"/>
                  <wp:effectExtent l="0" t="0" r="0" b="0"/>
                  <wp:docPr id="344" name="Изображение3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Изображение344" descr="" title=""/>
                          <pic:cNvPicPr>
                            <a:picLocks noChangeAspect="1" noChangeArrowheads="1"/>
                          </pic:cNvPicPr>
                        </pic:nvPicPr>
                        <pic:blipFill>
                          <a:blip r:embed="rId345"/>
                          <a:stretch>
                            <a:fillRect/>
                          </a:stretch>
                        </pic:blipFill>
                        <pic:spPr bwMode="auto">
                          <a:xfrm>
                            <a:off x="0" y="0"/>
                            <a:ext cx="1117600" cy="288290"/>
                          </a:xfrm>
                          <a:prstGeom prst="rect">
                            <a:avLst/>
                          </a:prstGeom>
                        </pic:spPr>
                      </pic:pic>
                    </a:graphicData>
                  </a:graphic>
                </wp:inline>
              </w:drawing>
            </w:r>
          </w:p>
        </w:tc>
        <w:tc>
          <w:tcPr>
            <w:tcW w:w="3165" w:type="dxa"/>
            <w:tcBorders/>
            <w:shd w:fill="auto" w:val="clear"/>
          </w:tcPr>
          <w:p>
            <w:pPr>
              <w:pStyle w:val="Normal"/>
              <w:snapToGrid w:val="false"/>
              <w:rPr/>
            </w:pPr>
            <w:r>
              <w:rPr/>
            </w:r>
          </w:p>
          <w:p>
            <w:pPr>
              <w:pStyle w:val="Normal"/>
              <w:rPr/>
            </w:pPr>
            <w:r>
              <w:rPr/>
              <w:t xml:space="preserve">                                                                </w:t>
            </w:r>
            <w:r>
              <w:rPr/>
              <w:t>(4)</w:t>
            </w:r>
          </w:p>
          <w:p>
            <w:pPr>
              <w:pStyle w:val="Normal"/>
              <w:rPr/>
            </w:pPr>
            <w:r>
              <w:rPr/>
            </w:r>
          </w:p>
        </w:tc>
      </w:tr>
    </w:tbl>
    <w:p>
      <w:pPr>
        <w:pStyle w:val="Normal"/>
        <w:jc w:val="both"/>
        <w:rPr/>
      </w:pPr>
      <w:r>
        <w:rPr/>
      </w:r>
    </w:p>
    <w:p>
      <w:pPr>
        <w:pStyle w:val="Normal"/>
        <w:ind w:firstLine="135"/>
        <w:jc w:val="both"/>
        <w:rPr/>
      </w:pPr>
      <w:r>
        <w:rPr/>
      </w:r>
    </w:p>
    <w:tbl>
      <w:tblPr>
        <w:tblW w:w="8385" w:type="dxa"/>
        <w:jc w:val="start"/>
        <w:tblInd w:w="165" w:type="dxa"/>
        <w:tblBorders/>
        <w:tblCellMar>
          <w:top w:w="0" w:type="dxa"/>
          <w:start w:w="15" w:type="dxa"/>
          <w:bottom w:w="0" w:type="dxa"/>
          <w:end w:w="15" w:type="dxa"/>
        </w:tblCellMar>
      </w:tblPr>
      <w:tblGrid>
        <w:gridCol w:w="450"/>
        <w:gridCol w:w="480"/>
        <w:gridCol w:w="7455"/>
      </w:tblGrid>
      <w:tr>
        <w:trPr/>
        <w:tc>
          <w:tcPr>
            <w:tcW w:w="450" w:type="dxa"/>
            <w:tcBorders/>
            <w:shd w:fill="auto" w:val="clear"/>
          </w:tcPr>
          <w:p>
            <w:pPr>
              <w:pStyle w:val="Normal"/>
              <w:rPr/>
            </w:pPr>
            <w:r>
              <w:rPr>
                <w:vanish/>
              </w:rPr>
              <w:t>#G0</w:t>
            </w:r>
            <w:r>
              <w:rPr/>
              <w:t xml:space="preserve">       где </w:t>
            </w:r>
          </w:p>
          <w:p>
            <w:pPr>
              <w:pStyle w:val="Normal"/>
              <w:rPr/>
            </w:pPr>
            <w:r>
              <w:rPr/>
            </w:r>
          </w:p>
        </w:tc>
        <w:tc>
          <w:tcPr>
            <w:tcW w:w="480" w:type="dxa"/>
            <w:tcBorders/>
            <w:shd w:fill="auto" w:val="clear"/>
          </w:tcPr>
          <w:p>
            <w:pPr>
              <w:pStyle w:val="Normal"/>
              <w:rPr/>
            </w:pPr>
            <w:r>
              <w:rPr/>
              <w:t xml:space="preserve">  </w:t>
            </w:r>
          </w:p>
          <w:p>
            <w:pPr>
              <w:pStyle w:val="Normal"/>
              <w:rPr/>
            </w:pPr>
            <w:r>
              <w:rPr/>
              <w:drawing>
                <wp:inline distT="0" distB="0" distL="0" distR="0">
                  <wp:extent cx="172720" cy="149860"/>
                  <wp:effectExtent l="0" t="0" r="0" b="0"/>
                  <wp:docPr id="345" name="Изображение3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Изображение345" descr="" title=""/>
                          <pic:cNvPicPr>
                            <a:picLocks noChangeAspect="1" noChangeArrowheads="1"/>
                          </pic:cNvPicPr>
                        </pic:nvPicPr>
                        <pic:blipFill>
                          <a:blip r:embed="rId346"/>
                          <a:stretch>
                            <a:fillRect/>
                          </a:stretch>
                        </pic:blipFill>
                        <pic:spPr bwMode="auto">
                          <a:xfrm>
                            <a:off x="0" y="0"/>
                            <a:ext cx="172720" cy="149860"/>
                          </a:xfrm>
                          <a:prstGeom prst="rect">
                            <a:avLst/>
                          </a:prstGeom>
                        </pic:spPr>
                      </pic:pic>
                    </a:graphicData>
                  </a:graphic>
                </wp:inline>
              </w:drawing>
            </w:r>
          </w:p>
        </w:tc>
        <w:tc>
          <w:tcPr>
            <w:tcW w:w="7455" w:type="dxa"/>
            <w:tcBorders/>
            <w:shd w:fill="auto" w:val="clear"/>
          </w:tcPr>
          <w:p>
            <w:pPr>
              <w:pStyle w:val="Normal"/>
              <w:rPr/>
            </w:pPr>
            <w:r>
              <w:rPr/>
              <w:t xml:space="preserve">  </w:t>
            </w:r>
          </w:p>
          <w:p>
            <w:pPr>
              <w:pStyle w:val="Normal"/>
              <w:rPr/>
            </w:pPr>
            <w:r>
              <w:rPr/>
              <w:t xml:space="preserve">- сумма абсолютных значений отрицательных среднесуточных температур воздуха за период устойчивого мороза, °С, принимаемая по данным ближайшей метеорологической станции.     </w:t>
            </w:r>
          </w:p>
          <w:p>
            <w:pPr>
              <w:pStyle w:val="Normal"/>
              <w:rPr/>
            </w:pPr>
            <w:r>
              <w:rPr/>
            </w:r>
          </w:p>
        </w:tc>
      </w:tr>
    </w:tbl>
    <w:p>
      <w:pPr>
        <w:pStyle w:val="Normal"/>
        <w:jc w:val="both"/>
        <w:rPr/>
      </w:pPr>
      <w:r>
        <w:rPr/>
      </w:r>
    </w:p>
    <w:p>
      <w:pPr>
        <w:pStyle w:val="Normal"/>
        <w:jc w:val="both"/>
        <w:rPr/>
      </w:pPr>
      <w:r>
        <w:rPr/>
      </w:r>
    </w:p>
    <w:p>
      <w:pPr>
        <w:pStyle w:val="Normal"/>
        <w:ind w:firstLine="225"/>
        <w:jc w:val="both"/>
        <w:rPr/>
      </w:pPr>
      <w:r>
        <w:rPr/>
        <w:t>Примечание. В зависимости от местных условий и размеров площадок допускается предусматривать их секционирование.</w:t>
      </w:r>
    </w:p>
    <w:p>
      <w:pPr>
        <w:pStyle w:val="Normal"/>
        <w:ind w:firstLine="225"/>
        <w:jc w:val="both"/>
        <w:rPr/>
      </w:pPr>
      <w:r>
        <w:rPr/>
      </w:r>
    </w:p>
    <w:p>
      <w:pPr>
        <w:pStyle w:val="Normal"/>
        <w:jc w:val="center"/>
        <w:rPr/>
      </w:pPr>
      <w:r>
        <w:rPr/>
        <w:drawing>
          <wp:inline distT="0" distB="0" distL="0" distR="0">
            <wp:extent cx="6477000" cy="6496050"/>
            <wp:effectExtent l="0" t="0" r="0" b="0"/>
            <wp:docPr id="346" name="Изображение3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Изображение346" descr="" title=""/>
                    <pic:cNvPicPr>
                      <a:picLocks noChangeAspect="1" noChangeArrowheads="1"/>
                    </pic:cNvPicPr>
                  </pic:nvPicPr>
                  <pic:blipFill>
                    <a:blip r:embed="rId347"/>
                    <a:stretch>
                      <a:fillRect/>
                    </a:stretch>
                  </pic:blipFill>
                  <pic:spPr bwMode="auto">
                    <a:xfrm>
                      <a:off x="0" y="0"/>
                      <a:ext cx="6477000" cy="6496050"/>
                    </a:xfrm>
                    <a:prstGeom prst="rect">
                      <a:avLst/>
                    </a:prstGeom>
                  </pic:spPr>
                </pic:pic>
              </a:graphicData>
            </a:graphic>
          </wp:inline>
        </w:drawing>
      </w:r>
    </w:p>
    <w:p>
      <w:pPr>
        <w:pStyle w:val="Normal"/>
        <w:jc w:val="center"/>
        <w:rPr/>
      </w:pPr>
      <w:r>
        <w:rPr/>
        <w:t>Рис. 3. Средние значения влажности осадка станций осветления и обесцвечивания воды</w:t>
      </w:r>
    </w:p>
    <w:p>
      <w:pPr>
        <w:pStyle w:val="Normal"/>
        <w:jc w:val="center"/>
        <w:rPr/>
      </w:pPr>
      <w:r>
        <w:rPr/>
        <w:t xml:space="preserve"> </w:t>
      </w:r>
      <w:r>
        <w:rPr/>
        <w:t xml:space="preserve">при уплотнении до одного года </w:t>
      </w:r>
    </w:p>
    <w:p>
      <w:pPr>
        <w:pStyle w:val="Normal"/>
        <w:ind w:firstLine="270"/>
        <w:jc w:val="both"/>
        <w:rPr/>
      </w:pPr>
      <w:r>
        <w:rPr/>
      </w:r>
    </w:p>
    <w:p>
      <w:pPr>
        <w:pStyle w:val="Normal"/>
        <w:jc w:val="center"/>
        <w:rPr/>
      </w:pPr>
      <w:r>
        <w:rPr/>
        <w:t xml:space="preserve">Количество взвешенных веществ в исходной воде - М, мг/л; реагенты - R: </w:t>
      </w:r>
    </w:p>
    <w:p>
      <w:pPr>
        <w:pStyle w:val="Normal"/>
        <w:ind w:firstLine="90"/>
        <w:jc w:val="both"/>
        <w:rPr/>
      </w:pPr>
      <w:r>
        <w:rPr/>
      </w:r>
    </w:p>
    <w:p>
      <w:pPr>
        <w:pStyle w:val="Normal"/>
        <w:rPr/>
      </w:pPr>
      <w:r>
        <w:rPr/>
        <w:drawing>
          <wp:inline distT="0" distB="0" distL="0" distR="0">
            <wp:extent cx="5103495" cy="598805"/>
            <wp:effectExtent l="0" t="0" r="0" b="0"/>
            <wp:docPr id="347" name="Изображение3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Изображение347" descr="" title=""/>
                    <pic:cNvPicPr>
                      <a:picLocks noChangeAspect="1" noChangeArrowheads="1"/>
                    </pic:cNvPicPr>
                  </pic:nvPicPr>
                  <pic:blipFill>
                    <a:blip r:embed="rId348"/>
                    <a:stretch>
                      <a:fillRect/>
                    </a:stretch>
                  </pic:blipFill>
                  <pic:spPr bwMode="auto">
                    <a:xfrm>
                      <a:off x="0" y="0"/>
                      <a:ext cx="5103495" cy="598805"/>
                    </a:xfrm>
                    <a:prstGeom prst="rect">
                      <a:avLst/>
                    </a:prstGeom>
                  </pic:spPr>
                </pic:pic>
              </a:graphicData>
            </a:graphic>
          </wp:inline>
        </w:drawing>
      </w:r>
      <w:r>
        <w:rPr/>
        <w:t xml:space="preserve">                                         </w:t>
      </w:r>
      <w:r>
        <w:rPr/>
        <w:t xml:space="preserve">или безреагентная очистка </w:t>
      </w:r>
    </w:p>
    <w:p>
      <w:pPr>
        <w:pStyle w:val="Normal"/>
        <w:ind w:firstLine="270"/>
        <w:jc w:val="both"/>
        <w:rPr/>
      </w:pPr>
      <w:r>
        <w:rPr/>
      </w:r>
    </w:p>
    <w:p>
      <w:pPr>
        <w:pStyle w:val="Normal"/>
        <w:jc w:val="center"/>
        <w:rPr/>
      </w:pPr>
      <w:r>
        <w:rPr/>
        <w:drawing>
          <wp:inline distT="0" distB="0" distL="0" distR="0">
            <wp:extent cx="6629400" cy="5705475"/>
            <wp:effectExtent l="0" t="0" r="0" b="0"/>
            <wp:docPr id="348" name="Изображение3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Изображение348" descr="" title=""/>
                    <pic:cNvPicPr>
                      <a:picLocks noChangeAspect="1" noChangeArrowheads="1"/>
                    </pic:cNvPicPr>
                  </pic:nvPicPr>
                  <pic:blipFill>
                    <a:blip r:embed="rId349"/>
                    <a:stretch>
                      <a:fillRect/>
                    </a:stretch>
                  </pic:blipFill>
                  <pic:spPr bwMode="auto">
                    <a:xfrm>
                      <a:off x="0" y="0"/>
                      <a:ext cx="6629400" cy="5705475"/>
                    </a:xfrm>
                    <a:prstGeom prst="rect">
                      <a:avLst/>
                    </a:prstGeom>
                  </pic:spPr>
                </pic:pic>
              </a:graphicData>
            </a:graphic>
          </wp:inline>
        </w:drawing>
      </w:r>
    </w:p>
    <w:p>
      <w:pPr>
        <w:pStyle w:val="Normal"/>
        <w:jc w:val="center"/>
        <w:rPr/>
      </w:pPr>
      <w:r>
        <w:rPr/>
        <w:t>Рис. 4. Средние значения влажности осадка станции обезжелезивания и реагентного</w:t>
      </w:r>
    </w:p>
    <w:p>
      <w:pPr>
        <w:pStyle w:val="Normal"/>
        <w:jc w:val="center"/>
        <w:rPr/>
      </w:pPr>
      <w:r>
        <w:rPr/>
        <w:t xml:space="preserve"> </w:t>
      </w:r>
      <w:r>
        <w:rPr/>
        <w:t xml:space="preserve">умягчения воды при уплотнении до одного года </w:t>
      </w:r>
    </w:p>
    <w:p>
      <w:pPr>
        <w:pStyle w:val="Normal"/>
        <w:ind w:firstLine="270"/>
        <w:jc w:val="both"/>
        <w:rPr/>
      </w:pPr>
      <w:r>
        <w:rPr/>
      </w:r>
    </w:p>
    <w:p>
      <w:pPr>
        <w:pStyle w:val="Normal"/>
        <w:jc w:val="center"/>
        <w:rPr/>
      </w:pPr>
      <w:r>
        <w:rPr/>
        <w:t>1 - реагентное обезжелезивание; 2 - безреагентное обезжелезивание; 3 - реагентное умягчение</w:t>
      </w:r>
    </w:p>
    <w:p>
      <w:pPr>
        <w:pStyle w:val="Normal"/>
        <w:jc w:val="center"/>
        <w:rPr/>
      </w:pPr>
      <w:r>
        <w:rPr/>
        <w:t xml:space="preserve"> </w:t>
      </w:r>
      <w:r>
        <w:rPr/>
        <w:t>при магниевой жесткости более 25%, 4 - реагентное умягчение</w:t>
      </w:r>
    </w:p>
    <w:p>
      <w:pPr>
        <w:pStyle w:val="Normal"/>
        <w:jc w:val="center"/>
        <w:rPr/>
      </w:pPr>
      <w:r>
        <w:rPr/>
        <w:t xml:space="preserve"> </w:t>
      </w:r>
      <w:r>
        <w:rPr/>
        <w:t>при магниевой жесткости менее 25%</w:t>
      </w:r>
    </w:p>
    <w:p>
      <w:pPr>
        <w:pStyle w:val="Normal"/>
        <w:jc w:val="center"/>
        <w:rPr/>
      </w:pPr>
      <w:r>
        <w:rPr/>
      </w:r>
    </w:p>
    <w:p>
      <w:pPr>
        <w:pStyle w:val="Normal"/>
        <w:ind w:firstLine="270"/>
        <w:jc w:val="both"/>
        <w:rPr/>
      </w:pPr>
      <w:r>
        <w:rPr/>
      </w:r>
    </w:p>
    <w:p>
      <w:pPr>
        <w:pStyle w:val="Normal"/>
        <w:jc w:val="center"/>
        <w:rPr/>
      </w:pPr>
      <w:r>
        <w:rPr/>
        <w:drawing>
          <wp:inline distT="0" distB="0" distL="0" distR="0">
            <wp:extent cx="6781800" cy="6581775"/>
            <wp:effectExtent l="0" t="0" r="0" b="0"/>
            <wp:docPr id="349" name="Изображение3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Изображение349" descr="" title=""/>
                    <pic:cNvPicPr>
                      <a:picLocks noChangeAspect="1" noChangeArrowheads="1"/>
                    </pic:cNvPicPr>
                  </pic:nvPicPr>
                  <pic:blipFill>
                    <a:blip r:embed="rId350"/>
                    <a:stretch>
                      <a:fillRect/>
                    </a:stretch>
                  </pic:blipFill>
                  <pic:spPr bwMode="auto">
                    <a:xfrm>
                      <a:off x="0" y="0"/>
                      <a:ext cx="6781800" cy="6581775"/>
                    </a:xfrm>
                    <a:prstGeom prst="rect">
                      <a:avLst/>
                    </a:prstGeom>
                  </pic:spPr>
                </pic:pic>
              </a:graphicData>
            </a:graphic>
          </wp:inline>
        </w:drawing>
      </w:r>
    </w:p>
    <w:p>
      <w:pPr>
        <w:pStyle w:val="Normal"/>
        <w:jc w:val="center"/>
        <w:rPr/>
      </w:pPr>
      <w:r>
        <w:rPr/>
        <w:t>Рис. 5. Значения плотности в зависимости от влажности осадка</w:t>
      </w:r>
    </w:p>
    <w:p>
      <w:pPr>
        <w:pStyle w:val="Normal"/>
        <w:jc w:val="center"/>
        <w:rPr/>
      </w:pPr>
      <w:r>
        <w:rPr/>
        <w:t xml:space="preserve"> </w:t>
      </w:r>
      <w:r>
        <w:rPr/>
        <w:t xml:space="preserve">станций осветления и обесцвечивания воды </w:t>
      </w:r>
    </w:p>
    <w:p>
      <w:pPr>
        <w:pStyle w:val="Normal"/>
        <w:ind w:firstLine="270"/>
        <w:jc w:val="both"/>
        <w:rPr/>
      </w:pPr>
      <w:r>
        <w:rPr/>
      </w:r>
    </w:p>
    <w:p>
      <w:pPr>
        <w:pStyle w:val="Normal"/>
        <w:jc w:val="center"/>
        <w:rPr/>
      </w:pPr>
      <w:r>
        <w:rPr/>
      </w:r>
    </w:p>
    <w:p>
      <w:pPr>
        <w:pStyle w:val="Normal"/>
        <w:jc w:val="center"/>
        <w:rPr/>
      </w:pPr>
      <w:r>
        <w:rPr/>
        <w:t>Количество взвешенных веществ в исходной воде - M, мг/л; реагенты - R:</w:t>
      </w:r>
    </w:p>
    <w:p>
      <w:pPr>
        <w:pStyle w:val="Normal"/>
        <w:jc w:val="center"/>
        <w:rPr/>
      </w:pPr>
      <w:r>
        <w:rPr/>
      </w:r>
    </w:p>
    <w:p>
      <w:pPr>
        <w:pStyle w:val="Normal"/>
        <w:ind w:firstLine="360"/>
        <w:jc w:val="both"/>
        <w:rPr/>
      </w:pPr>
      <w:r>
        <w:rPr/>
        <w:drawing>
          <wp:inline distT="0" distB="0" distL="0" distR="0">
            <wp:extent cx="4976495" cy="403225"/>
            <wp:effectExtent l="0" t="0" r="0" b="0"/>
            <wp:docPr id="350" name="Изображение3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Изображение350" descr="" title=""/>
                    <pic:cNvPicPr>
                      <a:picLocks noChangeAspect="1" noChangeArrowheads="1"/>
                    </pic:cNvPicPr>
                  </pic:nvPicPr>
                  <pic:blipFill>
                    <a:blip r:embed="rId351"/>
                    <a:stretch>
                      <a:fillRect/>
                    </a:stretch>
                  </pic:blipFill>
                  <pic:spPr bwMode="auto">
                    <a:xfrm>
                      <a:off x="0" y="0"/>
                      <a:ext cx="4976495" cy="403225"/>
                    </a:xfrm>
                    <a:prstGeom prst="rect">
                      <a:avLst/>
                    </a:prstGeom>
                  </pic:spPr>
                </pic:pic>
              </a:graphicData>
            </a:graphic>
          </wp:inline>
        </w:drawing>
      </w:r>
    </w:p>
    <w:p>
      <w:pPr>
        <w:pStyle w:val="Normal"/>
        <w:ind w:firstLine="90"/>
        <w:jc w:val="both"/>
        <w:rPr/>
      </w:pPr>
      <w:r>
        <w:rPr/>
      </w:r>
    </w:p>
    <w:p>
      <w:pPr>
        <w:pStyle w:val="Normal"/>
        <w:jc w:val="center"/>
        <w:rPr/>
      </w:pPr>
      <w:r>
        <w:rPr/>
        <w:drawing>
          <wp:inline distT="0" distB="0" distL="0" distR="0">
            <wp:extent cx="6781800" cy="5867400"/>
            <wp:effectExtent l="0" t="0" r="0" b="0"/>
            <wp:docPr id="351" name="Изображение3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Изображение351" descr="" title=""/>
                    <pic:cNvPicPr>
                      <a:picLocks noChangeAspect="1" noChangeArrowheads="1"/>
                    </pic:cNvPicPr>
                  </pic:nvPicPr>
                  <pic:blipFill>
                    <a:blip r:embed="rId352"/>
                    <a:stretch>
                      <a:fillRect/>
                    </a:stretch>
                  </pic:blipFill>
                  <pic:spPr bwMode="auto">
                    <a:xfrm>
                      <a:off x="0" y="0"/>
                      <a:ext cx="6781800" cy="5867400"/>
                    </a:xfrm>
                    <a:prstGeom prst="rect">
                      <a:avLst/>
                    </a:prstGeom>
                  </pic:spPr>
                </pic:pic>
              </a:graphicData>
            </a:graphic>
          </wp:inline>
        </w:drawing>
      </w:r>
    </w:p>
    <w:p>
      <w:pPr>
        <w:pStyle w:val="Normal"/>
        <w:jc w:val="center"/>
        <w:rPr/>
      </w:pPr>
      <w:r>
        <w:rPr/>
        <w:t xml:space="preserve">Рис. 6. Значения плотности в зависимости от влажности осадка </w:t>
      </w:r>
    </w:p>
    <w:p>
      <w:pPr>
        <w:pStyle w:val="Normal"/>
        <w:jc w:val="center"/>
        <w:rPr/>
      </w:pPr>
      <w:r>
        <w:rPr/>
        <w:t xml:space="preserve">станций обезжелезивания и реагентного умягчения воды </w:t>
      </w:r>
    </w:p>
    <w:p>
      <w:pPr>
        <w:pStyle w:val="Normal"/>
        <w:ind w:firstLine="270"/>
        <w:jc w:val="both"/>
        <w:rPr/>
      </w:pPr>
      <w:r>
        <w:rPr/>
      </w:r>
    </w:p>
    <w:p>
      <w:pPr>
        <w:pStyle w:val="Normal"/>
        <w:jc w:val="center"/>
        <w:rPr/>
      </w:pPr>
      <w:r>
        <w:rPr/>
        <w:t>1 - реагентное умягчение воды при магниевой жесткости более 25%; 2 - реагентное умягчение воды</w:t>
      </w:r>
    </w:p>
    <w:p>
      <w:pPr>
        <w:pStyle w:val="Normal"/>
        <w:jc w:val="center"/>
        <w:rPr/>
      </w:pPr>
      <w:r>
        <w:rPr/>
        <w:t xml:space="preserve"> </w:t>
      </w:r>
      <w:r>
        <w:rPr/>
        <w:t>при магниевой жесткости менее 25%; 3 - реагентное и безреагентное</w:t>
      </w:r>
    </w:p>
    <w:p>
      <w:pPr>
        <w:pStyle w:val="Normal"/>
        <w:jc w:val="center"/>
        <w:rPr/>
      </w:pPr>
      <w:r>
        <w:rPr/>
        <w:t xml:space="preserve"> </w:t>
      </w:r>
      <w:r>
        <w:rPr/>
        <w:t xml:space="preserve">обезжелезивание воды     </w:t>
      </w:r>
    </w:p>
    <w:tbl>
      <w:tblPr>
        <w:tblW w:w="8925" w:type="dxa"/>
        <w:jc w:val="start"/>
        <w:tblInd w:w="15" w:type="dxa"/>
        <w:tblBorders/>
        <w:tblCellMar>
          <w:top w:w="0" w:type="dxa"/>
          <w:start w:w="15" w:type="dxa"/>
          <w:bottom w:w="0" w:type="dxa"/>
          <w:end w:w="15" w:type="dxa"/>
        </w:tblCellMar>
      </w:tblPr>
      <w:tblGrid>
        <w:gridCol w:w="3345"/>
        <w:gridCol w:w="930"/>
        <w:gridCol w:w="4650"/>
      </w:tblGrid>
      <w:tr>
        <w:trPr/>
        <w:tc>
          <w:tcPr>
            <w:tcW w:w="3345" w:type="dxa"/>
            <w:tcBorders/>
            <w:shd w:fill="auto" w:val="clear"/>
          </w:tcPr>
          <w:p>
            <w:pPr>
              <w:pStyle w:val="Normal"/>
              <w:rPr/>
            </w:pPr>
            <w:r>
              <w:rPr>
                <w:vanish/>
              </w:rPr>
              <w:t>#G0</w:t>
            </w:r>
            <w:r>
              <w:rPr/>
              <w:t xml:space="preserve">  </w:t>
            </w:r>
          </w:p>
          <w:p>
            <w:pPr>
              <w:pStyle w:val="Normal"/>
              <w:ind w:firstLine="315"/>
              <w:jc w:val="both"/>
              <w:rPr/>
            </w:pPr>
            <w:r>
              <w:rPr/>
              <w:t xml:space="preserve">24. Объем уплотненного осадка </w:t>
            </w:r>
          </w:p>
          <w:p>
            <w:pPr>
              <w:pStyle w:val="Normal"/>
              <w:ind w:firstLine="315"/>
              <w:jc w:val="both"/>
              <w:rPr/>
            </w:pPr>
            <w:r>
              <w:rPr/>
            </w:r>
          </w:p>
        </w:tc>
        <w:tc>
          <w:tcPr>
            <w:tcW w:w="930" w:type="dxa"/>
            <w:tcBorders/>
            <w:shd w:fill="auto" w:val="clear"/>
          </w:tcPr>
          <w:p>
            <w:pPr>
              <w:pStyle w:val="Normal"/>
              <w:rPr/>
            </w:pPr>
            <w:r>
              <w:rPr/>
              <w:t xml:space="preserve">  </w:t>
            </w:r>
          </w:p>
          <w:p>
            <w:pPr>
              <w:pStyle w:val="Normal"/>
              <w:rPr/>
            </w:pPr>
            <w:r>
              <w:rPr/>
              <w:drawing>
                <wp:inline distT="0" distB="0" distL="0" distR="0">
                  <wp:extent cx="449580" cy="207645"/>
                  <wp:effectExtent l="0" t="0" r="0" b="0"/>
                  <wp:docPr id="352" name="Изображение3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Изображение352" descr="" title=""/>
                          <pic:cNvPicPr>
                            <a:picLocks noChangeAspect="1" noChangeArrowheads="1"/>
                          </pic:cNvPicPr>
                        </pic:nvPicPr>
                        <pic:blipFill>
                          <a:blip r:embed="rId353"/>
                          <a:stretch>
                            <a:fillRect/>
                          </a:stretch>
                        </pic:blipFill>
                        <pic:spPr bwMode="auto">
                          <a:xfrm>
                            <a:off x="0" y="0"/>
                            <a:ext cx="449580" cy="207645"/>
                          </a:xfrm>
                          <a:prstGeom prst="rect">
                            <a:avLst/>
                          </a:prstGeom>
                        </pic:spPr>
                      </pic:pic>
                    </a:graphicData>
                  </a:graphic>
                </wp:inline>
              </w:drawing>
            </w:r>
          </w:p>
        </w:tc>
        <w:tc>
          <w:tcPr>
            <w:tcW w:w="4650" w:type="dxa"/>
            <w:tcBorders/>
            <w:shd w:fill="auto" w:val="clear"/>
          </w:tcPr>
          <w:p>
            <w:pPr>
              <w:pStyle w:val="Normal"/>
              <w:rPr/>
            </w:pPr>
            <w:r>
              <w:rPr/>
              <w:t xml:space="preserve">  </w:t>
            </w:r>
          </w:p>
          <w:p>
            <w:pPr>
              <w:pStyle w:val="Normal"/>
              <w:jc w:val="both"/>
              <w:rPr/>
            </w:pPr>
            <w:r>
              <w:rPr/>
              <w:t xml:space="preserve">, куб.м, на площадках весеннего и летне-осеннего </w:t>
            </w:r>
          </w:p>
          <w:p>
            <w:pPr>
              <w:pStyle w:val="Normal"/>
              <w:jc w:val="both"/>
              <w:rPr/>
            </w:pPr>
            <w:r>
              <w:rPr/>
            </w:r>
          </w:p>
        </w:tc>
      </w:tr>
    </w:tbl>
    <w:p>
      <w:pPr>
        <w:pStyle w:val="Normal"/>
        <w:ind w:firstLine="45"/>
        <w:jc w:val="center"/>
        <w:rPr/>
      </w:pPr>
      <w:r>
        <w:rPr/>
        <w:t>напусков следует определять по формуле</w:t>
      </w:r>
    </w:p>
    <w:p>
      <w:pPr>
        <w:pStyle w:val="Normal"/>
        <w:ind w:firstLine="225"/>
        <w:jc w:val="center"/>
        <w:rPr/>
      </w:pPr>
      <w:r>
        <w:rPr/>
      </w:r>
    </w:p>
    <w:tbl>
      <w:tblPr>
        <w:tblW w:w="7725" w:type="dxa"/>
        <w:jc w:val="start"/>
        <w:tblInd w:w="165" w:type="dxa"/>
        <w:tblBorders/>
        <w:tblCellMar>
          <w:top w:w="0" w:type="dxa"/>
          <w:start w:w="15" w:type="dxa"/>
          <w:bottom w:w="0" w:type="dxa"/>
          <w:end w:w="15" w:type="dxa"/>
        </w:tblCellMar>
      </w:tblPr>
      <w:tblGrid>
        <w:gridCol w:w="7575"/>
        <w:gridCol w:w="150"/>
      </w:tblGrid>
      <w:tr>
        <w:trPr/>
        <w:tc>
          <w:tcPr>
            <w:tcW w:w="7575" w:type="dxa"/>
            <w:tcBorders/>
            <w:shd w:fill="auto" w:val="clear"/>
          </w:tcPr>
          <w:p>
            <w:pPr>
              <w:pStyle w:val="Normal"/>
              <w:rPr/>
            </w:pPr>
            <w:r>
              <w:rPr>
                <w:vanish/>
              </w:rPr>
              <w:t>#G0</w:t>
            </w:r>
            <w:r>
              <w:rPr/>
              <w:t xml:space="preserve">  </w:t>
            </w:r>
          </w:p>
          <w:p>
            <w:pPr>
              <w:pStyle w:val="Normal"/>
              <w:rPr/>
            </w:pPr>
            <w:r>
              <w:rPr/>
              <w:drawing>
                <wp:inline distT="0" distB="0" distL="0" distR="0">
                  <wp:extent cx="4077970" cy="230505"/>
                  <wp:effectExtent l="0" t="0" r="0" b="0"/>
                  <wp:docPr id="353" name="Изображение3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Изображение353" descr="" title=""/>
                          <pic:cNvPicPr>
                            <a:picLocks noChangeAspect="1" noChangeArrowheads="1"/>
                          </pic:cNvPicPr>
                        </pic:nvPicPr>
                        <pic:blipFill>
                          <a:blip r:embed="rId354"/>
                          <a:stretch>
                            <a:fillRect/>
                          </a:stretch>
                        </pic:blipFill>
                        <pic:spPr bwMode="auto">
                          <a:xfrm>
                            <a:off x="0" y="0"/>
                            <a:ext cx="4077970" cy="230505"/>
                          </a:xfrm>
                          <a:prstGeom prst="rect">
                            <a:avLst/>
                          </a:prstGeom>
                        </pic:spPr>
                      </pic:pic>
                    </a:graphicData>
                  </a:graphic>
                </wp:inline>
              </w:drawing>
            </w:r>
          </w:p>
        </w:tc>
        <w:tc>
          <w:tcPr>
            <w:tcW w:w="150" w:type="dxa"/>
            <w:tcBorders/>
            <w:shd w:fill="auto" w:val="clear"/>
          </w:tcPr>
          <w:p>
            <w:pPr>
              <w:pStyle w:val="Normal"/>
              <w:snapToGrid w:val="false"/>
              <w:rPr/>
            </w:pPr>
            <w:r>
              <w:rPr/>
            </w:r>
          </w:p>
          <w:p>
            <w:pPr>
              <w:pStyle w:val="Normal"/>
              <w:rPr/>
            </w:pPr>
            <w:r>
              <w:rPr/>
              <w:t xml:space="preserve">              </w:t>
            </w:r>
          </w:p>
          <w:p>
            <w:pPr>
              <w:pStyle w:val="Normal"/>
              <w:rPr/>
            </w:pPr>
            <w:r>
              <w:rPr/>
            </w:r>
          </w:p>
        </w:tc>
      </w:tr>
    </w:tbl>
    <w:p>
      <w:pPr>
        <w:pStyle w:val="Normal"/>
        <w:jc w:val="both"/>
        <w:rPr/>
      </w:pPr>
      <w:r>
        <w:rPr/>
      </w:r>
    </w:p>
    <w:p>
      <w:pPr>
        <w:pStyle w:val="Normal"/>
        <w:ind w:firstLine="1440"/>
        <w:jc w:val="both"/>
        <w:rPr/>
      </w:pPr>
      <w:r>
        <w:rPr/>
        <w:tab/>
        <w:t xml:space="preserve">      </w:t>
      </w:r>
    </w:p>
    <w:p>
      <w:pPr>
        <w:pStyle w:val="Normal"/>
        <w:ind w:firstLine="1440"/>
        <w:jc w:val="both"/>
        <w:rPr/>
      </w:pPr>
      <w:r>
        <w:rPr/>
        <w:t xml:space="preserve">где q -  расчетный расход воды станции водоподготовки, куб.м/ч; </w:t>
      </w:r>
    </w:p>
    <w:p>
      <w:pPr>
        <w:pStyle w:val="Normal"/>
        <w:ind w:firstLine="1440"/>
        <w:jc w:val="both"/>
        <w:rPr/>
      </w:pPr>
      <w:r>
        <w:rPr/>
      </w:r>
    </w:p>
    <w:p>
      <w:pPr>
        <w:pStyle w:val="Normal"/>
        <w:ind w:firstLine="270"/>
        <w:jc w:val="both"/>
        <w:rPr/>
      </w:pPr>
      <w:r>
        <w:rPr/>
        <w:t>С(в) - средняя за расчетный период концентрация взвешенных веществ в воде, г/куб.м, определяемая по формуле (11) п. 6.65;</w:t>
      </w:r>
    </w:p>
    <w:p>
      <w:pPr>
        <w:pStyle w:val="Normal"/>
        <w:ind w:firstLine="270"/>
        <w:jc w:val="both"/>
        <w:rPr/>
      </w:pPr>
      <w:r>
        <w:rPr/>
      </w:r>
    </w:p>
    <w:p>
      <w:pPr>
        <w:pStyle w:val="Normal"/>
        <w:ind w:firstLine="225"/>
        <w:jc w:val="both"/>
        <w:rPr/>
      </w:pPr>
      <w:r>
        <w:rPr/>
        <w:t xml:space="preserve">Т(у) -  продолжительность расчетного периода, сут, принимаемая: для весеннего периода - от окончания периода устойчивого мороза до наступления периода положительной температуры (через 1 мес после наступления среднесуточной температуры воздуха выше 0 град.С для районов с периодом устойчивого мороза менее 3 мес и через 2 мес - для районов с периодом устойчивого мороза более 3 мес); для летне-осеннего периода - до наступления периода устойчивого мороза;     </w:t>
      </w:r>
    </w:p>
    <w:tbl>
      <w:tblPr>
        <w:tblW w:w="8400" w:type="dxa"/>
        <w:jc w:val="start"/>
        <w:tblInd w:w="165" w:type="dxa"/>
        <w:tblBorders/>
        <w:tblCellMar>
          <w:top w:w="0" w:type="dxa"/>
          <w:start w:w="15" w:type="dxa"/>
          <w:bottom w:w="0" w:type="dxa"/>
          <w:end w:w="15" w:type="dxa"/>
        </w:tblCellMar>
      </w:tblPr>
      <w:tblGrid>
        <w:gridCol w:w="870"/>
        <w:gridCol w:w="7530"/>
      </w:tblGrid>
      <w:tr>
        <w:trPr/>
        <w:tc>
          <w:tcPr>
            <w:tcW w:w="870" w:type="dxa"/>
            <w:tcBorders/>
            <w:shd w:fill="auto" w:val="clear"/>
          </w:tcPr>
          <w:p>
            <w:pPr>
              <w:pStyle w:val="Normal"/>
              <w:rPr/>
            </w:pPr>
            <w:r>
              <w:rPr>
                <w:vanish/>
              </w:rPr>
              <w:t>#G0</w:t>
            </w:r>
            <w:r>
              <w:rPr/>
              <w:t xml:space="preserve">  </w:t>
            </w:r>
          </w:p>
          <w:p>
            <w:pPr>
              <w:pStyle w:val="Normal"/>
              <w:rPr/>
            </w:pPr>
            <w:r>
              <w:rPr/>
              <w:drawing>
                <wp:inline distT="0" distB="0" distL="0" distR="0">
                  <wp:extent cx="345440" cy="184150"/>
                  <wp:effectExtent l="0" t="0" r="0" b="0"/>
                  <wp:docPr id="354" name="Изображение3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Изображение354" descr="" title=""/>
                          <pic:cNvPicPr>
                            <a:picLocks noChangeAspect="1" noChangeArrowheads="1"/>
                          </pic:cNvPicPr>
                        </pic:nvPicPr>
                        <pic:blipFill>
                          <a:blip r:embed="rId355"/>
                          <a:stretch>
                            <a:fillRect/>
                          </a:stretch>
                        </pic:blipFill>
                        <pic:spPr bwMode="auto">
                          <a:xfrm>
                            <a:off x="0" y="0"/>
                            <a:ext cx="345440" cy="184150"/>
                          </a:xfrm>
                          <a:prstGeom prst="rect">
                            <a:avLst/>
                          </a:prstGeom>
                        </pic:spPr>
                      </pic:pic>
                    </a:graphicData>
                  </a:graphic>
                </wp:inline>
              </w:drawing>
            </w:r>
          </w:p>
        </w:tc>
        <w:tc>
          <w:tcPr>
            <w:tcW w:w="7530" w:type="dxa"/>
            <w:tcBorders/>
            <w:shd w:fill="auto" w:val="clear"/>
          </w:tcPr>
          <w:p>
            <w:pPr>
              <w:pStyle w:val="Normal"/>
              <w:rPr/>
            </w:pPr>
            <w:r>
              <w:rPr/>
              <w:t xml:space="preserve"> </w:t>
            </w:r>
          </w:p>
          <w:p>
            <w:pPr>
              <w:pStyle w:val="Normal"/>
              <w:ind w:firstLine="90"/>
              <w:jc w:val="both"/>
              <w:rPr/>
            </w:pPr>
            <w:r>
              <w:rPr/>
              <w:t xml:space="preserve">- средние значения влажности в процентах и плотности, т/куб.м, осадка весеннего </w:t>
            </w:r>
          </w:p>
          <w:p>
            <w:pPr>
              <w:pStyle w:val="Normal"/>
              <w:rPr/>
            </w:pPr>
            <w:r>
              <w:rPr/>
              <w:t xml:space="preserve"> </w:t>
            </w:r>
          </w:p>
          <w:p>
            <w:pPr>
              <w:pStyle w:val="Normal"/>
              <w:rPr/>
            </w:pPr>
            <w:r>
              <w:rPr/>
            </w:r>
          </w:p>
        </w:tc>
      </w:tr>
    </w:tbl>
    <w:p>
      <w:pPr>
        <w:pStyle w:val="Normal"/>
        <w:jc w:val="both"/>
        <w:rPr/>
      </w:pPr>
      <w:r>
        <w:rPr/>
        <w:t xml:space="preserve">или летне-осеннего периодов, принимаемые по рис. 3, 4, 5 и 6 в зависимости от продолжительности уплотнения осадка, определяемой от середины весеннего или летне-осеннего периодов до наступления периода устойчивого мороза. </w:t>
      </w:r>
    </w:p>
    <w:p>
      <w:pPr>
        <w:pStyle w:val="Normal"/>
        <w:jc w:val="both"/>
        <w:rPr/>
      </w:pPr>
      <w:r>
        <w:rPr/>
      </w:r>
    </w:p>
    <w:p>
      <w:pPr>
        <w:pStyle w:val="Normal"/>
        <w:ind w:firstLine="225"/>
        <w:jc w:val="both"/>
        <w:rPr/>
      </w:pPr>
      <w:r>
        <w:rPr/>
        <w:t>25. Полезную площадь площадки для зимнего напуска следует определять из условия размещения объема осадка, поступившего в период устойчивого мороза, без учета уплотнения осадка на площадке.</w:t>
      </w:r>
    </w:p>
    <w:p>
      <w:pPr>
        <w:pStyle w:val="Normal"/>
        <w:ind w:firstLine="225"/>
        <w:jc w:val="both"/>
        <w:rPr/>
      </w:pPr>
      <w:r>
        <w:rPr/>
      </w:r>
    </w:p>
    <w:p>
      <w:pPr>
        <w:pStyle w:val="Normal"/>
        <w:ind w:firstLine="225"/>
        <w:jc w:val="both"/>
        <w:rPr/>
      </w:pPr>
      <w:r>
        <w:rPr/>
        <w:t>Площадку для зимнего напуска осадка надлежит предусматривать секционной.</w:t>
      </w:r>
    </w:p>
    <w:p>
      <w:pPr>
        <w:pStyle w:val="Normal"/>
        <w:ind w:firstLine="225"/>
        <w:jc w:val="both"/>
        <w:rPr/>
      </w:pPr>
      <w:r>
        <w:rPr/>
      </w:r>
    </w:p>
    <w:p>
      <w:pPr>
        <w:pStyle w:val="Normal"/>
        <w:ind w:firstLine="225"/>
        <w:jc w:val="both"/>
        <w:rPr/>
      </w:pPr>
      <w:r>
        <w:rPr/>
        <w:t>Площадь одной секции следует принимать в зависимости от объема осадка, выпускаемого из сооружений, и слоя осадка Н(н) при одном напуске, принимаемого равным 0,07-0,1 м.</w:t>
      </w:r>
    </w:p>
    <w:p>
      <w:pPr>
        <w:pStyle w:val="Normal"/>
        <w:ind w:firstLine="225"/>
        <w:jc w:val="both"/>
        <w:rPr/>
      </w:pPr>
      <w:r>
        <w:rPr/>
      </w:r>
    </w:p>
    <w:p>
      <w:pPr>
        <w:pStyle w:val="Normal"/>
        <w:ind w:firstLine="225"/>
        <w:jc w:val="both"/>
        <w:rPr/>
      </w:pPr>
      <w:r>
        <w:rPr/>
        <w:t>Число секций надлежит принимать в зависимости от продолжительности промораживания принятого слоя осадка и числа выпусков осадка из сооружений за время промораживания.</w:t>
      </w:r>
    </w:p>
    <w:p>
      <w:pPr>
        <w:pStyle w:val="Normal"/>
        <w:ind w:firstLine="225"/>
        <w:jc w:val="both"/>
        <w:rPr/>
      </w:pPr>
      <w:r>
        <w:rPr/>
      </w:r>
    </w:p>
    <w:p>
      <w:pPr>
        <w:pStyle w:val="Normal"/>
        <w:ind w:firstLine="225"/>
        <w:jc w:val="both"/>
        <w:rPr/>
      </w:pPr>
      <w:r>
        <w:rPr/>
        <w:t>Расчетная температура воздуха для определения продолжительности промораживания слоя осадка (рис. 7) должна приниматься по месяцу с наиболее высокой среднесуточной температурой в период устойчивого мороза.</w:t>
      </w:r>
    </w:p>
    <w:p>
      <w:pPr>
        <w:pStyle w:val="Normal"/>
        <w:ind w:firstLine="225"/>
        <w:jc w:val="both"/>
        <w:rPr/>
      </w:pPr>
      <w:r>
        <w:rPr/>
      </w:r>
    </w:p>
    <w:p>
      <w:pPr>
        <w:pStyle w:val="Normal"/>
        <w:ind w:firstLine="225"/>
        <w:jc w:val="both"/>
        <w:rPr/>
      </w:pPr>
      <w:r>
        <w:rPr/>
        <w:t>Слой осадка на каждой секции площадки зимнего напуска Н(зим), м, надлежит определять как сумму последовательно намороженных слоев осадка за период устойчивого мороза.</w:t>
      </w:r>
    </w:p>
    <w:p>
      <w:pPr>
        <w:pStyle w:val="Normal"/>
        <w:ind w:firstLine="1395"/>
        <w:jc w:val="both"/>
        <w:rPr/>
      </w:pPr>
      <w:r>
        <w:rPr/>
      </w:r>
    </w:p>
    <w:tbl>
      <w:tblPr>
        <w:tblW w:w="4800" w:type="dxa"/>
        <w:jc w:val="start"/>
        <w:tblInd w:w="165" w:type="dxa"/>
        <w:tblBorders/>
        <w:tblCellMar>
          <w:top w:w="0" w:type="dxa"/>
          <w:start w:w="15" w:type="dxa"/>
          <w:bottom w:w="0" w:type="dxa"/>
          <w:end w:w="15" w:type="dxa"/>
        </w:tblCellMar>
      </w:tblPr>
      <w:tblGrid>
        <w:gridCol w:w="1590"/>
        <w:gridCol w:w="3210"/>
      </w:tblGrid>
      <w:tr>
        <w:trPr/>
        <w:tc>
          <w:tcPr>
            <w:tcW w:w="1590" w:type="dxa"/>
            <w:tcBorders/>
            <w:shd w:fill="auto" w:val="clear"/>
          </w:tcPr>
          <w:p>
            <w:pPr>
              <w:pStyle w:val="Normal"/>
              <w:rPr/>
            </w:pPr>
            <w:r>
              <w:rPr>
                <w:vanish/>
              </w:rPr>
              <w:t>#G0</w:t>
            </w:r>
            <w:r>
              <w:rPr/>
              <w:t xml:space="preserve">  </w:t>
            </w:r>
          </w:p>
          <w:p>
            <w:pPr>
              <w:pStyle w:val="Normal"/>
              <w:rPr/>
            </w:pPr>
            <w:r>
              <w:rPr/>
              <w:drawing>
                <wp:inline distT="0" distB="0" distL="0" distR="0">
                  <wp:extent cx="921385" cy="219075"/>
                  <wp:effectExtent l="0" t="0" r="0" b="0"/>
                  <wp:docPr id="355" name="Изображение3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Изображение355" descr="" title=""/>
                          <pic:cNvPicPr>
                            <a:picLocks noChangeAspect="1" noChangeArrowheads="1"/>
                          </pic:cNvPicPr>
                        </pic:nvPicPr>
                        <pic:blipFill>
                          <a:blip r:embed="rId356"/>
                          <a:stretch>
                            <a:fillRect/>
                          </a:stretch>
                        </pic:blipFill>
                        <pic:spPr bwMode="auto">
                          <a:xfrm>
                            <a:off x="0" y="0"/>
                            <a:ext cx="921385" cy="219075"/>
                          </a:xfrm>
                          <a:prstGeom prst="rect">
                            <a:avLst/>
                          </a:prstGeom>
                        </pic:spPr>
                      </pic:pic>
                    </a:graphicData>
                  </a:graphic>
                </wp:inline>
              </w:drawing>
            </w:r>
          </w:p>
        </w:tc>
        <w:tc>
          <w:tcPr>
            <w:tcW w:w="3210" w:type="dxa"/>
            <w:tcBorders/>
            <w:shd w:fill="auto" w:val="clear"/>
          </w:tcPr>
          <w:p>
            <w:pPr>
              <w:pStyle w:val="Normal"/>
              <w:snapToGrid w:val="false"/>
              <w:rPr/>
            </w:pPr>
            <w:r>
              <w:rPr/>
            </w:r>
          </w:p>
          <w:p>
            <w:pPr>
              <w:pStyle w:val="Normal"/>
              <w:rPr/>
            </w:pPr>
            <w:r>
              <w:rPr/>
              <w:t xml:space="preserve">                                                                 </w:t>
            </w:r>
            <w:r>
              <w:rPr/>
              <w:t>(6)</w:t>
            </w:r>
          </w:p>
          <w:p>
            <w:pPr>
              <w:pStyle w:val="Normal"/>
              <w:rPr/>
            </w:pPr>
            <w:r>
              <w:rPr/>
            </w:r>
          </w:p>
        </w:tc>
      </w:tr>
    </w:tbl>
    <w:p>
      <w:pPr>
        <w:pStyle w:val="Normal"/>
        <w:jc w:val="both"/>
        <w:rPr/>
      </w:pPr>
      <w:r>
        <w:rPr/>
        <w:tab/>
        <w:tab/>
      </w:r>
    </w:p>
    <w:p>
      <w:pPr>
        <w:pStyle w:val="Normal"/>
        <w:ind w:firstLine="180"/>
        <w:jc w:val="both"/>
        <w:rPr/>
      </w:pPr>
      <w:r>
        <w:rPr/>
      </w:r>
    </w:p>
    <w:p>
      <w:pPr>
        <w:pStyle w:val="Normal"/>
        <w:ind w:firstLine="180"/>
        <w:jc w:val="both"/>
        <w:rPr/>
      </w:pPr>
      <w:r>
        <w:rPr/>
        <w:t xml:space="preserve">где n(н) - число напусков осадка на одну секцию за период устойчивого мороза, определяемое по формуле     </w:t>
      </w:r>
    </w:p>
    <w:p>
      <w:pPr>
        <w:pStyle w:val="Normal"/>
        <w:ind w:firstLine="1395"/>
        <w:jc w:val="both"/>
        <w:rPr/>
      </w:pPr>
      <w:r>
        <w:rPr/>
      </w:r>
    </w:p>
    <w:tbl>
      <w:tblPr>
        <w:tblW w:w="4980" w:type="dxa"/>
        <w:jc w:val="start"/>
        <w:tblInd w:w="165" w:type="dxa"/>
        <w:tblBorders/>
        <w:tblCellMar>
          <w:top w:w="0" w:type="dxa"/>
          <w:start w:w="15" w:type="dxa"/>
          <w:bottom w:w="0" w:type="dxa"/>
          <w:end w:w="15" w:type="dxa"/>
        </w:tblCellMar>
      </w:tblPr>
      <w:tblGrid>
        <w:gridCol w:w="1515"/>
        <w:gridCol w:w="3465"/>
      </w:tblGrid>
      <w:tr>
        <w:trPr/>
        <w:tc>
          <w:tcPr>
            <w:tcW w:w="1515" w:type="dxa"/>
            <w:tcBorders/>
            <w:shd w:fill="auto" w:val="clear"/>
          </w:tcPr>
          <w:p>
            <w:pPr>
              <w:pStyle w:val="Normal"/>
              <w:rPr/>
            </w:pPr>
            <w:r>
              <w:rPr>
                <w:vanish/>
              </w:rPr>
              <w:t>#G0</w:t>
            </w:r>
            <w:r>
              <w:rPr/>
              <w:t xml:space="preserve">  </w:t>
            </w:r>
          </w:p>
          <w:p>
            <w:pPr>
              <w:pStyle w:val="Normal"/>
              <w:rPr/>
            </w:pPr>
            <w:r>
              <w:rPr/>
              <w:drawing>
                <wp:inline distT="0" distB="0" distL="0" distR="0">
                  <wp:extent cx="898525" cy="230505"/>
                  <wp:effectExtent l="0" t="0" r="0" b="0"/>
                  <wp:docPr id="356" name="Изображение3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Изображение356" descr="" title=""/>
                          <pic:cNvPicPr>
                            <a:picLocks noChangeAspect="1" noChangeArrowheads="1"/>
                          </pic:cNvPicPr>
                        </pic:nvPicPr>
                        <pic:blipFill>
                          <a:blip r:embed="rId357"/>
                          <a:stretch>
                            <a:fillRect/>
                          </a:stretch>
                        </pic:blipFill>
                        <pic:spPr bwMode="auto">
                          <a:xfrm>
                            <a:off x="0" y="0"/>
                            <a:ext cx="898525" cy="230505"/>
                          </a:xfrm>
                          <a:prstGeom prst="rect">
                            <a:avLst/>
                          </a:prstGeom>
                        </pic:spPr>
                      </pic:pic>
                    </a:graphicData>
                  </a:graphic>
                </wp:inline>
              </w:drawing>
            </w:r>
          </w:p>
        </w:tc>
        <w:tc>
          <w:tcPr>
            <w:tcW w:w="3465" w:type="dxa"/>
            <w:tcBorders/>
            <w:shd w:fill="auto" w:val="clear"/>
          </w:tcPr>
          <w:p>
            <w:pPr>
              <w:pStyle w:val="Normal"/>
              <w:snapToGrid w:val="false"/>
              <w:rPr/>
            </w:pPr>
            <w:r>
              <w:rPr/>
            </w:r>
          </w:p>
          <w:p>
            <w:pPr>
              <w:pStyle w:val="Normal"/>
              <w:rPr/>
            </w:pPr>
            <w:r>
              <w:rPr/>
              <w:t xml:space="preserve">                                                                      </w:t>
            </w:r>
            <w:r>
              <w:rPr/>
              <w:t>(7)</w:t>
            </w:r>
          </w:p>
          <w:p>
            <w:pPr>
              <w:pStyle w:val="Normal"/>
              <w:rPr/>
            </w:pPr>
            <w:r>
              <w:rPr/>
            </w:r>
          </w:p>
        </w:tc>
      </w:tr>
    </w:tbl>
    <w:p>
      <w:pPr>
        <w:pStyle w:val="Normal"/>
        <w:ind w:firstLine="630"/>
        <w:jc w:val="both"/>
        <w:rPr/>
      </w:pPr>
      <w:r>
        <w:rPr/>
        <w:tab/>
        <w:tab/>
      </w:r>
    </w:p>
    <w:p>
      <w:pPr>
        <w:pStyle w:val="Normal"/>
        <w:ind w:firstLine="270"/>
        <w:jc w:val="both"/>
        <w:rPr/>
      </w:pPr>
      <w:r>
        <w:rPr/>
      </w:r>
    </w:p>
    <w:p>
      <w:pPr>
        <w:pStyle w:val="Normal"/>
        <w:ind w:firstLine="270"/>
        <w:jc w:val="both"/>
        <w:rPr/>
      </w:pPr>
      <w:r>
        <w:rPr/>
        <w:t xml:space="preserve">где К(м) - коэффициент, учитывающий неполное использование периода устойчивого мороза, принимаемый равным 0,8; </w:t>
      </w:r>
    </w:p>
    <w:p>
      <w:pPr>
        <w:pStyle w:val="Normal"/>
        <w:ind w:firstLine="270"/>
        <w:jc w:val="both"/>
        <w:rPr/>
      </w:pPr>
      <w:r>
        <w:rPr/>
      </w:r>
    </w:p>
    <w:p>
      <w:pPr>
        <w:pStyle w:val="Normal"/>
        <w:ind w:firstLine="225"/>
        <w:jc w:val="both"/>
        <w:rPr/>
      </w:pPr>
      <w:r>
        <w:rPr/>
        <w:t>S - количество суток в периоде устойчивого мороза;</w:t>
      </w:r>
    </w:p>
    <w:p>
      <w:pPr>
        <w:pStyle w:val="Normal"/>
        <w:ind w:firstLine="225"/>
        <w:jc w:val="both"/>
        <w:rPr/>
      </w:pPr>
      <w:r>
        <w:rPr/>
      </w:r>
    </w:p>
    <w:p>
      <w:pPr>
        <w:pStyle w:val="Normal"/>
        <w:jc w:val="center"/>
        <w:rPr/>
      </w:pPr>
      <w:r>
        <w:rPr/>
        <w:drawing>
          <wp:inline distT="0" distB="0" distL="0" distR="0">
            <wp:extent cx="11811000" cy="7286625"/>
            <wp:effectExtent l="0" t="0" r="0" b="0"/>
            <wp:docPr id="357" name="Изображение3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Изображение357" descr="" title=""/>
                    <pic:cNvPicPr>
                      <a:picLocks noChangeAspect="1" noChangeArrowheads="1"/>
                    </pic:cNvPicPr>
                  </pic:nvPicPr>
                  <pic:blipFill>
                    <a:blip r:embed="rId358"/>
                    <a:stretch>
                      <a:fillRect/>
                    </a:stretch>
                  </pic:blipFill>
                  <pic:spPr bwMode="auto">
                    <a:xfrm>
                      <a:off x="0" y="0"/>
                      <a:ext cx="11811000" cy="7286625"/>
                    </a:xfrm>
                    <a:prstGeom prst="rect">
                      <a:avLst/>
                    </a:prstGeom>
                  </pic:spPr>
                </pic:pic>
              </a:graphicData>
            </a:graphic>
          </wp:inline>
        </w:drawing>
      </w:r>
    </w:p>
    <w:p>
      <w:pPr>
        <w:pStyle w:val="Normal"/>
        <w:jc w:val="center"/>
        <w:rPr/>
      </w:pPr>
      <w:r>
        <w:rPr/>
        <w:t>Рис. 7. Зависимость глубины промораживания слоя осадка от среднесуточной температуры воздуха</w:t>
      </w:r>
    </w:p>
    <w:p>
      <w:pPr>
        <w:pStyle w:val="Normal"/>
        <w:jc w:val="center"/>
        <w:rPr/>
      </w:pPr>
      <w:r>
        <w:rPr/>
        <w:t xml:space="preserve"> </w:t>
      </w:r>
      <w:r>
        <w:rPr/>
        <w:t xml:space="preserve">и продолжительности промораживания </w:t>
      </w:r>
    </w:p>
    <w:p>
      <w:pPr>
        <w:pStyle w:val="Normal"/>
        <w:ind w:firstLine="270"/>
        <w:jc w:val="both"/>
        <w:rPr/>
      </w:pPr>
      <w:r>
        <w:rPr/>
      </w:r>
    </w:p>
    <w:tbl>
      <w:tblPr>
        <w:tblW w:w="7785" w:type="dxa"/>
        <w:jc w:val="start"/>
        <w:tblInd w:w="165" w:type="dxa"/>
        <w:tblBorders/>
        <w:tblCellMar>
          <w:top w:w="0" w:type="dxa"/>
          <w:start w:w="15" w:type="dxa"/>
          <w:bottom w:w="0" w:type="dxa"/>
          <w:end w:w="15" w:type="dxa"/>
        </w:tblCellMar>
      </w:tblPr>
      <w:tblGrid>
        <w:gridCol w:w="615"/>
        <w:gridCol w:w="7170"/>
      </w:tblGrid>
      <w:tr>
        <w:trPr/>
        <w:tc>
          <w:tcPr>
            <w:tcW w:w="615" w:type="dxa"/>
            <w:tcBorders/>
            <w:shd w:fill="auto" w:val="clear"/>
          </w:tcPr>
          <w:p>
            <w:pPr>
              <w:pStyle w:val="Normal"/>
              <w:rPr/>
            </w:pPr>
            <w:r>
              <w:rPr>
                <w:vanish/>
              </w:rPr>
              <w:t>#G0</w:t>
            </w:r>
            <w:r>
              <w:rPr/>
              <w:t xml:space="preserve">  </w:t>
            </w:r>
          </w:p>
          <w:p>
            <w:pPr>
              <w:pStyle w:val="Normal"/>
              <w:rPr/>
            </w:pPr>
            <w:r>
              <w:rPr/>
              <w:drawing>
                <wp:inline distT="0" distB="0" distL="0" distR="0">
                  <wp:extent cx="230505" cy="161290"/>
                  <wp:effectExtent l="0" t="0" r="0" b="0"/>
                  <wp:docPr id="358" name="Изображение3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Изображение358" descr="" title=""/>
                          <pic:cNvPicPr>
                            <a:picLocks noChangeAspect="1" noChangeArrowheads="1"/>
                          </pic:cNvPicPr>
                        </pic:nvPicPr>
                        <pic:blipFill>
                          <a:blip r:embed="rId359"/>
                          <a:stretch>
                            <a:fillRect/>
                          </a:stretch>
                        </pic:blipFill>
                        <pic:spPr bwMode="auto">
                          <a:xfrm>
                            <a:off x="0" y="0"/>
                            <a:ext cx="230505" cy="161290"/>
                          </a:xfrm>
                          <a:prstGeom prst="rect">
                            <a:avLst/>
                          </a:prstGeom>
                        </pic:spPr>
                      </pic:pic>
                    </a:graphicData>
                  </a:graphic>
                </wp:inline>
              </w:drawing>
            </w:r>
          </w:p>
        </w:tc>
        <w:tc>
          <w:tcPr>
            <w:tcW w:w="7170" w:type="dxa"/>
            <w:tcBorders/>
            <w:shd w:fill="auto" w:val="clear"/>
          </w:tcPr>
          <w:p>
            <w:pPr>
              <w:pStyle w:val="Normal"/>
              <w:snapToGrid w:val="false"/>
              <w:rPr/>
            </w:pPr>
            <w:r>
              <w:rPr/>
            </w:r>
          </w:p>
          <w:p>
            <w:pPr>
              <w:pStyle w:val="Normal"/>
              <w:rPr/>
            </w:pPr>
            <w:r>
              <w:rPr/>
              <w:t xml:space="preserve">  </w:t>
            </w:r>
            <w:r>
              <w:rPr/>
              <w:t xml:space="preserve">продолжительность промораживания слоя осадка в сутках, определяемая </w:t>
            </w:r>
          </w:p>
          <w:p>
            <w:pPr>
              <w:pStyle w:val="Normal"/>
              <w:rPr/>
            </w:pPr>
            <w:r>
              <w:rPr/>
            </w:r>
          </w:p>
        </w:tc>
      </w:tr>
    </w:tbl>
    <w:p>
      <w:pPr>
        <w:pStyle w:val="Normal"/>
        <w:jc w:val="both"/>
        <w:rPr/>
      </w:pPr>
      <w:r>
        <w:rPr/>
        <w:t>по рис. 7 в зависимости от среднесуточной отрицательной температуры воздуха t, град.С, за каждый месяц периода устойчивого мороза.</w:t>
      </w:r>
    </w:p>
    <w:p>
      <w:pPr>
        <w:pStyle w:val="Normal"/>
        <w:jc w:val="both"/>
        <w:rPr/>
      </w:pPr>
      <w:r>
        <w:rPr/>
      </w:r>
    </w:p>
    <w:p>
      <w:pPr>
        <w:pStyle w:val="Normal"/>
        <w:ind w:firstLine="225"/>
        <w:jc w:val="both"/>
        <w:rPr/>
      </w:pPr>
      <w:r>
        <w:rPr/>
        <w:t>26. Площадки замораживания допускается проектировать при условии залегания грунтовых вод на глубине не менее 1,5 м от основания площадок.</w:t>
      </w:r>
    </w:p>
    <w:p>
      <w:pPr>
        <w:pStyle w:val="Normal"/>
        <w:ind w:firstLine="225"/>
        <w:jc w:val="both"/>
        <w:rPr/>
      </w:pPr>
      <w:r>
        <w:rPr/>
      </w:r>
    </w:p>
    <w:p>
      <w:pPr>
        <w:pStyle w:val="Normal"/>
        <w:ind w:firstLine="225"/>
        <w:jc w:val="both"/>
        <w:rPr/>
      </w:pPr>
      <w:r>
        <w:rPr/>
        <w:t>При необходимости следует предусматривать устройство для отвода грунтовых вод и поверхностных вод.</w:t>
      </w:r>
    </w:p>
    <w:p>
      <w:pPr>
        <w:pStyle w:val="Normal"/>
        <w:ind w:firstLine="225"/>
        <w:jc w:val="both"/>
        <w:rPr/>
      </w:pPr>
      <w:r>
        <w:rPr/>
      </w:r>
    </w:p>
    <w:p>
      <w:pPr>
        <w:pStyle w:val="Normal"/>
        <w:ind w:firstLine="225"/>
        <w:jc w:val="both"/>
        <w:rPr/>
      </w:pPr>
      <w:r>
        <w:rPr/>
        <w:t>27. Подачу осадка к площадкам и секциям надлежит предусматривать по трубопроводам.</w:t>
      </w:r>
    </w:p>
    <w:p>
      <w:pPr>
        <w:pStyle w:val="Normal"/>
        <w:ind w:firstLine="225"/>
        <w:jc w:val="both"/>
        <w:rPr/>
      </w:pPr>
      <w:r>
        <w:rPr/>
      </w:r>
    </w:p>
    <w:p>
      <w:pPr>
        <w:pStyle w:val="Normal"/>
        <w:ind w:firstLine="225"/>
        <w:jc w:val="both"/>
        <w:rPr/>
      </w:pPr>
      <w:r>
        <w:rPr/>
        <w:t>Напуск осадка на площадки и секции следует предусматривать открытыми лотками, проложенными вдоль их длинной стороны. Уклон лотков надлежит принимать не менее 0,01.</w:t>
      </w:r>
    </w:p>
    <w:p>
      <w:pPr>
        <w:pStyle w:val="Normal"/>
        <w:ind w:firstLine="225"/>
        <w:jc w:val="both"/>
        <w:rPr/>
      </w:pPr>
      <w:r>
        <w:rPr/>
      </w:r>
    </w:p>
    <w:p>
      <w:pPr>
        <w:pStyle w:val="Normal"/>
        <w:ind w:firstLine="225"/>
        <w:jc w:val="both"/>
        <w:rPr/>
      </w:pPr>
      <w:r>
        <w:rPr/>
        <w:t>Устройства для напуска осадка на площадки (секции) и отвода осветленной воды следует предусматривать на противоположных сторонах на расстоянии не более 40 м. Расстояния между устройствами для напуска осадка, а также отвода осветленной воды, должны быть не более 30 м.</w:t>
      </w:r>
    </w:p>
    <w:p>
      <w:pPr>
        <w:pStyle w:val="Normal"/>
        <w:ind w:firstLine="225"/>
        <w:jc w:val="both"/>
        <w:rPr/>
      </w:pPr>
      <w:r>
        <w:rPr/>
      </w:r>
    </w:p>
    <w:p>
      <w:pPr>
        <w:pStyle w:val="Normal"/>
        <w:ind w:firstLine="225"/>
        <w:jc w:val="both"/>
        <w:rPr/>
      </w:pPr>
      <w:r>
        <w:rPr/>
        <w:t>28. Устройства для подачи осадка не должны допускать размывания основания площадок или слоя замерзшего осадка.</w:t>
      </w:r>
    </w:p>
    <w:p>
      <w:pPr>
        <w:pStyle w:val="Normal"/>
        <w:ind w:firstLine="225"/>
        <w:jc w:val="both"/>
        <w:rPr/>
      </w:pPr>
      <w:r>
        <w:rPr/>
      </w:r>
    </w:p>
    <w:p>
      <w:pPr>
        <w:pStyle w:val="Normal"/>
        <w:ind w:firstLine="225"/>
        <w:jc w:val="both"/>
        <w:rPr/>
      </w:pPr>
      <w:r>
        <w:rPr/>
        <w:t>Устройства для отвода осветленной воды должны обеспечивать удаление воды с любого уровня по глубине площадок.</w:t>
      </w:r>
    </w:p>
    <w:p>
      <w:pPr>
        <w:pStyle w:val="Normal"/>
        <w:ind w:firstLine="225"/>
        <w:jc w:val="both"/>
        <w:rPr/>
      </w:pPr>
      <w:r>
        <w:rPr/>
      </w:r>
    </w:p>
    <w:p>
      <w:pPr>
        <w:pStyle w:val="Normal"/>
        <w:ind w:firstLine="225"/>
        <w:jc w:val="both"/>
        <w:rPr/>
      </w:pPr>
      <w:r>
        <w:rPr/>
        <w:t xml:space="preserve">29. Строительную высоту оградительных валиков площадок (секций) замораживания Н(стр), м, надлежит определять по формуле     </w:t>
      </w:r>
    </w:p>
    <w:tbl>
      <w:tblPr>
        <w:tblW w:w="4995" w:type="dxa"/>
        <w:jc w:val="start"/>
        <w:tblInd w:w="165" w:type="dxa"/>
        <w:tblBorders/>
        <w:tblCellMar>
          <w:top w:w="0" w:type="dxa"/>
          <w:start w:w="15" w:type="dxa"/>
          <w:bottom w:w="0" w:type="dxa"/>
          <w:end w:w="15" w:type="dxa"/>
        </w:tblCellMar>
      </w:tblPr>
      <w:tblGrid>
        <w:gridCol w:w="3120"/>
        <w:gridCol w:w="1875"/>
      </w:tblGrid>
      <w:tr>
        <w:trPr/>
        <w:tc>
          <w:tcPr>
            <w:tcW w:w="3120" w:type="dxa"/>
            <w:tcBorders/>
            <w:shd w:fill="auto" w:val="clear"/>
          </w:tcPr>
          <w:p>
            <w:pPr>
              <w:pStyle w:val="Normal"/>
              <w:rPr/>
            </w:pPr>
            <w:r>
              <w:rPr>
                <w:vanish/>
              </w:rPr>
              <w:t>#G0</w:t>
            </w:r>
            <w:r>
              <w:rPr/>
              <w:t xml:space="preserve">  </w:t>
            </w:r>
          </w:p>
          <w:p>
            <w:pPr>
              <w:pStyle w:val="Normal"/>
              <w:rPr/>
            </w:pPr>
            <w:r>
              <w:rPr/>
              <w:drawing>
                <wp:inline distT="0" distB="0" distL="0" distR="0">
                  <wp:extent cx="2142490" cy="264795"/>
                  <wp:effectExtent l="0" t="0" r="0" b="0"/>
                  <wp:docPr id="359" name="Изображение3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Изображение359" descr="" title=""/>
                          <pic:cNvPicPr>
                            <a:picLocks noChangeAspect="1" noChangeArrowheads="1"/>
                          </pic:cNvPicPr>
                        </pic:nvPicPr>
                        <pic:blipFill>
                          <a:blip r:embed="rId360"/>
                          <a:stretch>
                            <a:fillRect/>
                          </a:stretch>
                        </pic:blipFill>
                        <pic:spPr bwMode="auto">
                          <a:xfrm>
                            <a:off x="0" y="0"/>
                            <a:ext cx="2142490" cy="264795"/>
                          </a:xfrm>
                          <a:prstGeom prst="rect">
                            <a:avLst/>
                          </a:prstGeom>
                        </pic:spPr>
                      </pic:pic>
                    </a:graphicData>
                  </a:graphic>
                </wp:inline>
              </w:drawing>
            </w:r>
          </w:p>
        </w:tc>
        <w:tc>
          <w:tcPr>
            <w:tcW w:w="1875" w:type="dxa"/>
            <w:tcBorders/>
            <w:shd w:fill="auto" w:val="clear"/>
          </w:tcPr>
          <w:p>
            <w:pPr>
              <w:pStyle w:val="Normal"/>
              <w:snapToGrid w:val="false"/>
              <w:rPr/>
            </w:pPr>
            <w:r>
              <w:rPr/>
            </w:r>
          </w:p>
          <w:p>
            <w:pPr>
              <w:pStyle w:val="Normal"/>
              <w:rPr/>
            </w:pPr>
            <w:r>
              <w:rPr/>
              <w:t xml:space="preserve">                                    </w:t>
            </w:r>
            <w:r>
              <w:rPr/>
              <w:t>(8)</w:t>
            </w:r>
          </w:p>
          <w:p>
            <w:pPr>
              <w:pStyle w:val="Normal"/>
              <w:rPr/>
            </w:pPr>
            <w:r>
              <w:rPr/>
            </w:r>
          </w:p>
        </w:tc>
      </w:tr>
    </w:tbl>
    <w:p>
      <w:pPr>
        <w:pStyle w:val="Normal"/>
        <w:jc w:val="both"/>
        <w:rPr/>
      </w:pPr>
      <w:r>
        <w:rPr/>
      </w:r>
    </w:p>
    <w:p>
      <w:pPr>
        <w:pStyle w:val="Normal"/>
        <w:ind w:firstLine="1215"/>
        <w:jc w:val="both"/>
        <w:rPr/>
      </w:pPr>
      <w:r>
        <w:rPr/>
      </w:r>
    </w:p>
    <w:p>
      <w:pPr>
        <w:pStyle w:val="Normal"/>
        <w:ind w:firstLine="270"/>
        <w:jc w:val="both"/>
        <w:rPr/>
      </w:pPr>
      <w:r>
        <w:rPr/>
      </w:r>
    </w:p>
    <w:p>
      <w:pPr>
        <w:pStyle w:val="Normal"/>
        <w:ind w:firstLine="270"/>
        <w:jc w:val="both"/>
        <w:rPr/>
      </w:pPr>
      <w:r>
        <w:rPr/>
        <w:t xml:space="preserve">где N(нак) - число лет накапливания уплотненного осадка;     </w:t>
      </w:r>
    </w:p>
    <w:tbl>
      <w:tblPr>
        <w:tblW w:w="6735" w:type="dxa"/>
        <w:jc w:val="start"/>
        <w:tblInd w:w="345" w:type="dxa"/>
        <w:tblBorders/>
        <w:tblCellMar>
          <w:top w:w="0" w:type="dxa"/>
          <w:start w:w="15" w:type="dxa"/>
          <w:bottom w:w="0" w:type="dxa"/>
          <w:end w:w="15" w:type="dxa"/>
        </w:tblCellMar>
      </w:tblPr>
      <w:tblGrid>
        <w:gridCol w:w="450"/>
        <w:gridCol w:w="6285"/>
      </w:tblGrid>
      <w:tr>
        <w:trPr/>
        <w:tc>
          <w:tcPr>
            <w:tcW w:w="450" w:type="dxa"/>
            <w:tcBorders/>
            <w:shd w:fill="auto" w:val="clear"/>
          </w:tcPr>
          <w:p>
            <w:pPr>
              <w:pStyle w:val="Normal"/>
              <w:rPr/>
            </w:pPr>
            <w:r>
              <w:rPr>
                <w:vanish/>
              </w:rPr>
              <w:t>#G0</w:t>
            </w:r>
            <w:r>
              <w:rPr/>
              <w:t xml:space="preserve">  </w:t>
            </w:r>
          </w:p>
          <w:p>
            <w:pPr>
              <w:pStyle w:val="Normal"/>
              <w:rPr/>
            </w:pPr>
            <w:r>
              <w:rPr/>
              <w:drawing>
                <wp:inline distT="0" distB="0" distL="0" distR="0">
                  <wp:extent cx="288290" cy="241935"/>
                  <wp:effectExtent l="0" t="0" r="0" b="0"/>
                  <wp:docPr id="360" name="Изображение3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Изображение360" descr="" title=""/>
                          <pic:cNvPicPr>
                            <a:picLocks noChangeAspect="1" noChangeArrowheads="1"/>
                          </pic:cNvPicPr>
                        </pic:nvPicPr>
                        <pic:blipFill>
                          <a:blip r:embed="rId361"/>
                          <a:stretch>
                            <a:fillRect/>
                          </a:stretch>
                        </pic:blipFill>
                        <pic:spPr bwMode="auto">
                          <a:xfrm>
                            <a:off x="0" y="0"/>
                            <a:ext cx="288290" cy="241935"/>
                          </a:xfrm>
                          <a:prstGeom prst="rect">
                            <a:avLst/>
                          </a:prstGeom>
                        </pic:spPr>
                      </pic:pic>
                    </a:graphicData>
                  </a:graphic>
                </wp:inline>
              </w:drawing>
            </w:r>
          </w:p>
        </w:tc>
        <w:tc>
          <w:tcPr>
            <w:tcW w:w="6285" w:type="dxa"/>
            <w:tcBorders/>
            <w:shd w:fill="auto" w:val="clear"/>
          </w:tcPr>
          <w:p>
            <w:pPr>
              <w:pStyle w:val="Normal"/>
              <w:rPr/>
            </w:pPr>
            <w:r>
              <w:rPr/>
              <w:t xml:space="preserve">  </w:t>
            </w:r>
          </w:p>
          <w:p>
            <w:pPr>
              <w:pStyle w:val="Normal"/>
              <w:ind w:firstLine="135"/>
              <w:jc w:val="both"/>
              <w:rPr/>
            </w:pPr>
            <w:r>
              <w:rPr/>
              <w:t>- годовой объем уплотненного осадка, куб.м, влажностью 70%;</w:t>
            </w:r>
          </w:p>
          <w:p>
            <w:pPr>
              <w:pStyle w:val="Normal"/>
              <w:ind w:firstLine="135"/>
              <w:jc w:val="both"/>
              <w:rPr/>
            </w:pPr>
            <w:r>
              <w:rPr/>
            </w:r>
          </w:p>
        </w:tc>
      </w:tr>
    </w:tbl>
    <w:p>
      <w:pPr>
        <w:pStyle w:val="Normal"/>
        <w:ind w:firstLine="495"/>
        <w:jc w:val="both"/>
        <w:rPr/>
      </w:pPr>
      <w:r>
        <w:rPr/>
      </w:r>
    </w:p>
    <w:p>
      <w:pPr>
        <w:pStyle w:val="Normal"/>
        <w:ind w:firstLine="315"/>
        <w:jc w:val="both"/>
        <w:rPr/>
      </w:pPr>
      <w:r>
        <w:rPr/>
        <w:t>F(пл.з) -  общая площадь площадок замораживания, кв.м;</w:t>
      </w:r>
    </w:p>
    <w:p>
      <w:pPr>
        <w:pStyle w:val="Normal"/>
        <w:ind w:firstLine="225"/>
        <w:jc w:val="both"/>
        <w:rPr/>
      </w:pPr>
      <w:r>
        <w:rPr/>
      </w:r>
    </w:p>
    <w:p>
      <w:pPr>
        <w:pStyle w:val="Normal"/>
        <w:ind w:firstLine="315"/>
        <w:jc w:val="both"/>
        <w:rPr/>
      </w:pPr>
      <w:r>
        <w:rPr/>
        <w:t>Н(г)     - слой неуплотненного осадка, м, за последний год перед вывозом осадка.</w:t>
      </w:r>
    </w:p>
    <w:p>
      <w:pPr>
        <w:pStyle w:val="Normal"/>
        <w:ind w:firstLine="315"/>
        <w:jc w:val="both"/>
        <w:rPr/>
      </w:pPr>
      <w:r>
        <w:rPr/>
      </w:r>
    </w:p>
    <w:p>
      <w:pPr>
        <w:pStyle w:val="Heading"/>
        <w:jc w:val="center"/>
        <w:rPr/>
      </w:pPr>
      <w:r>
        <w:rPr/>
      </w:r>
    </w:p>
    <w:p>
      <w:pPr>
        <w:pStyle w:val="Heading"/>
        <w:jc w:val="center"/>
        <w:rPr/>
      </w:pPr>
      <w:r>
        <w:rPr/>
        <w:t xml:space="preserve">Площадки подсушивания </w:t>
      </w:r>
    </w:p>
    <w:p>
      <w:pPr>
        <w:pStyle w:val="Normal"/>
        <w:ind w:firstLine="270"/>
        <w:jc w:val="both"/>
        <w:rPr/>
      </w:pPr>
      <w:r>
        <w:rPr/>
      </w:r>
    </w:p>
    <w:p>
      <w:pPr>
        <w:pStyle w:val="Normal"/>
        <w:ind w:firstLine="270"/>
        <w:jc w:val="both"/>
        <w:rPr/>
      </w:pPr>
      <w:r>
        <w:rPr/>
      </w:r>
    </w:p>
    <w:p>
      <w:pPr>
        <w:pStyle w:val="Normal"/>
        <w:ind w:firstLine="225"/>
        <w:jc w:val="both"/>
        <w:rPr/>
      </w:pPr>
      <w:r>
        <w:rPr/>
        <w:t>30. В южных районах, где в период устойчивого дефицита влажности величина дефицита составляет 800 мм и более, обезвоживание осадка допускается предусматривать на площадках подсушивания путем уплотнения его под действием силы собственной массы и высушивания на открытом воздухе с последующим вывозом осадка через 1-3 года в места складирования.</w:t>
      </w:r>
    </w:p>
    <w:p>
      <w:pPr>
        <w:pStyle w:val="Normal"/>
        <w:ind w:firstLine="225"/>
        <w:jc w:val="both"/>
        <w:rPr/>
      </w:pPr>
      <w:r>
        <w:rPr/>
      </w:r>
    </w:p>
    <w:p>
      <w:pPr>
        <w:pStyle w:val="Normal"/>
        <w:ind w:firstLine="225"/>
        <w:jc w:val="both"/>
        <w:rPr/>
      </w:pPr>
      <w:r>
        <w:rPr/>
        <w:t xml:space="preserve">Общая полезная площадь площадок подсушивания осадка F(пл.п), кв.м, должна определяться по формуле     </w:t>
      </w:r>
    </w:p>
    <w:p>
      <w:pPr>
        <w:pStyle w:val="Normal"/>
        <w:ind w:firstLine="225"/>
        <w:jc w:val="both"/>
        <w:rPr/>
      </w:pPr>
      <w:r>
        <w:rPr/>
      </w:r>
    </w:p>
    <w:tbl>
      <w:tblPr>
        <w:tblW w:w="4995" w:type="dxa"/>
        <w:jc w:val="start"/>
        <w:tblInd w:w="165" w:type="dxa"/>
        <w:tblBorders/>
        <w:tblCellMar>
          <w:top w:w="0" w:type="dxa"/>
          <w:start w:w="15" w:type="dxa"/>
          <w:bottom w:w="0" w:type="dxa"/>
          <w:end w:w="15" w:type="dxa"/>
        </w:tblCellMar>
      </w:tblPr>
      <w:tblGrid>
        <w:gridCol w:w="1770"/>
        <w:gridCol w:w="3225"/>
      </w:tblGrid>
      <w:tr>
        <w:trPr/>
        <w:tc>
          <w:tcPr>
            <w:tcW w:w="1770" w:type="dxa"/>
            <w:tcBorders/>
            <w:shd w:fill="auto" w:val="clear"/>
          </w:tcPr>
          <w:p>
            <w:pPr>
              <w:pStyle w:val="Normal"/>
              <w:rPr/>
            </w:pPr>
            <w:r>
              <w:rPr>
                <w:vanish/>
              </w:rPr>
              <w:t>#G0</w:t>
            </w:r>
            <w:r>
              <w:rPr/>
              <w:t xml:space="preserve">  </w:t>
            </w:r>
          </w:p>
          <w:p>
            <w:pPr>
              <w:pStyle w:val="Normal"/>
              <w:rPr/>
            </w:pPr>
            <w:r>
              <w:rPr/>
              <w:drawing>
                <wp:inline distT="0" distB="0" distL="0" distR="0">
                  <wp:extent cx="1059815" cy="219075"/>
                  <wp:effectExtent l="0" t="0" r="0" b="0"/>
                  <wp:docPr id="361" name="Изображение3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Изображение361" descr="" title=""/>
                          <pic:cNvPicPr>
                            <a:picLocks noChangeAspect="1" noChangeArrowheads="1"/>
                          </pic:cNvPicPr>
                        </pic:nvPicPr>
                        <pic:blipFill>
                          <a:blip r:embed="rId362"/>
                          <a:stretch>
                            <a:fillRect/>
                          </a:stretch>
                        </pic:blipFill>
                        <pic:spPr bwMode="auto">
                          <a:xfrm>
                            <a:off x="0" y="0"/>
                            <a:ext cx="1059815" cy="219075"/>
                          </a:xfrm>
                          <a:prstGeom prst="rect">
                            <a:avLst/>
                          </a:prstGeom>
                        </pic:spPr>
                      </pic:pic>
                    </a:graphicData>
                  </a:graphic>
                </wp:inline>
              </w:drawing>
            </w:r>
          </w:p>
        </w:tc>
        <w:tc>
          <w:tcPr>
            <w:tcW w:w="3225" w:type="dxa"/>
            <w:tcBorders/>
            <w:shd w:fill="auto" w:val="clear"/>
          </w:tcPr>
          <w:p>
            <w:pPr>
              <w:pStyle w:val="Normal"/>
              <w:snapToGrid w:val="false"/>
              <w:rPr/>
            </w:pPr>
            <w:r>
              <w:rPr/>
            </w:r>
          </w:p>
          <w:p>
            <w:pPr>
              <w:pStyle w:val="Normal"/>
              <w:rPr/>
            </w:pPr>
            <w:r>
              <w:rPr/>
              <w:t xml:space="preserve">                                                                  </w:t>
            </w:r>
            <w:r>
              <w:rPr/>
              <w:t>(9)</w:t>
            </w:r>
          </w:p>
          <w:p>
            <w:pPr>
              <w:pStyle w:val="Normal"/>
              <w:rPr/>
            </w:pPr>
            <w:r>
              <w:rPr/>
            </w:r>
          </w:p>
        </w:tc>
      </w:tr>
    </w:tbl>
    <w:p>
      <w:pPr>
        <w:pStyle w:val="Normal"/>
        <w:ind w:firstLine="90"/>
        <w:jc w:val="both"/>
        <w:rPr/>
      </w:pPr>
      <w:r>
        <w:rPr/>
      </w:r>
    </w:p>
    <w:p>
      <w:pPr>
        <w:pStyle w:val="Normal"/>
        <w:ind w:firstLine="495"/>
        <w:jc w:val="both"/>
        <w:rPr/>
      </w:pPr>
      <w:r>
        <w:rPr/>
      </w:r>
    </w:p>
    <w:p>
      <w:pPr>
        <w:pStyle w:val="Normal"/>
        <w:ind w:firstLine="225"/>
        <w:jc w:val="both"/>
        <w:rPr/>
      </w:pPr>
      <w:r>
        <w:rPr/>
        <w:t>где F(з.в) и F(л) - площади площадок подсушивания соответственно для зимне-весеннего и летнего напусков осадка, кв.м.</w:t>
      </w:r>
    </w:p>
    <w:p>
      <w:pPr>
        <w:pStyle w:val="Normal"/>
        <w:ind w:firstLine="90"/>
        <w:jc w:val="both"/>
        <w:rPr/>
      </w:pPr>
      <w:r>
        <w:rPr/>
      </w:r>
    </w:p>
    <w:p>
      <w:pPr>
        <w:pStyle w:val="Normal"/>
        <w:ind w:firstLine="405"/>
        <w:jc w:val="both"/>
        <w:rPr/>
      </w:pPr>
      <w:r>
        <w:rPr/>
        <w:t>31. Полезную площадь площадок для напуска осадка в зимне-весенний период F(з.в), кв.м, следует определять по формуле</w:t>
      </w:r>
    </w:p>
    <w:p>
      <w:pPr>
        <w:pStyle w:val="Normal"/>
        <w:ind w:firstLine="225"/>
        <w:jc w:val="both"/>
        <w:rPr/>
      </w:pPr>
      <w:r>
        <w:rPr/>
      </w:r>
    </w:p>
    <w:tbl>
      <w:tblPr>
        <w:tblW w:w="5280" w:type="dxa"/>
        <w:jc w:val="start"/>
        <w:tblInd w:w="165" w:type="dxa"/>
        <w:tblBorders/>
        <w:tblCellMar>
          <w:top w:w="0" w:type="dxa"/>
          <w:start w:w="15" w:type="dxa"/>
          <w:bottom w:w="0" w:type="dxa"/>
          <w:end w:w="15" w:type="dxa"/>
        </w:tblCellMar>
      </w:tblPr>
      <w:tblGrid>
        <w:gridCol w:w="3150"/>
        <w:gridCol w:w="2130"/>
      </w:tblGrid>
      <w:tr>
        <w:trPr/>
        <w:tc>
          <w:tcPr>
            <w:tcW w:w="3150" w:type="dxa"/>
            <w:tcBorders/>
            <w:shd w:fill="auto" w:val="clear"/>
          </w:tcPr>
          <w:p>
            <w:pPr>
              <w:pStyle w:val="Normal"/>
              <w:rPr/>
            </w:pPr>
            <w:r>
              <w:rPr>
                <w:vanish/>
              </w:rPr>
              <w:t>#G0</w:t>
            </w:r>
            <w:r>
              <w:rPr/>
              <w:t xml:space="preserve">  </w:t>
            </w:r>
          </w:p>
          <w:p>
            <w:pPr>
              <w:pStyle w:val="Normal"/>
              <w:rPr/>
            </w:pPr>
            <w:r>
              <w:rPr/>
              <w:drawing>
                <wp:inline distT="0" distB="0" distL="0" distR="0">
                  <wp:extent cx="1935480" cy="264795"/>
                  <wp:effectExtent l="0" t="0" r="0" b="0"/>
                  <wp:docPr id="362" name="Изображение3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Изображение362" descr="" title=""/>
                          <pic:cNvPicPr>
                            <a:picLocks noChangeAspect="1" noChangeArrowheads="1"/>
                          </pic:cNvPicPr>
                        </pic:nvPicPr>
                        <pic:blipFill>
                          <a:blip r:embed="rId363"/>
                          <a:stretch>
                            <a:fillRect/>
                          </a:stretch>
                        </pic:blipFill>
                        <pic:spPr bwMode="auto">
                          <a:xfrm>
                            <a:off x="0" y="0"/>
                            <a:ext cx="1935480" cy="264795"/>
                          </a:xfrm>
                          <a:prstGeom prst="rect">
                            <a:avLst/>
                          </a:prstGeom>
                        </pic:spPr>
                      </pic:pic>
                    </a:graphicData>
                  </a:graphic>
                </wp:inline>
              </w:drawing>
            </w:r>
          </w:p>
        </w:tc>
        <w:tc>
          <w:tcPr>
            <w:tcW w:w="2130" w:type="dxa"/>
            <w:tcBorders/>
            <w:shd w:fill="auto" w:val="clear"/>
          </w:tcPr>
          <w:p>
            <w:pPr>
              <w:pStyle w:val="Normal"/>
              <w:snapToGrid w:val="false"/>
              <w:rPr/>
            </w:pPr>
            <w:r>
              <w:rPr/>
            </w:r>
          </w:p>
          <w:p>
            <w:pPr>
              <w:pStyle w:val="Normal"/>
              <w:rPr/>
            </w:pPr>
            <w:r>
              <w:rPr/>
              <w:t xml:space="preserve">                                       </w:t>
            </w:r>
            <w:r>
              <w:rPr/>
              <w:t>(10)</w:t>
            </w:r>
          </w:p>
          <w:p>
            <w:pPr>
              <w:pStyle w:val="Normal"/>
              <w:rPr/>
            </w:pPr>
            <w:r>
              <w:rPr/>
            </w:r>
          </w:p>
        </w:tc>
      </w:tr>
    </w:tbl>
    <w:p>
      <w:pPr>
        <w:pStyle w:val="Normal"/>
        <w:ind w:firstLine="1395"/>
        <w:jc w:val="both"/>
        <w:rPr/>
      </w:pPr>
      <w:r>
        <w:rPr/>
      </w:r>
    </w:p>
    <w:p>
      <w:pPr>
        <w:pStyle w:val="Normal"/>
        <w:ind w:firstLine="225"/>
        <w:jc w:val="both"/>
        <w:rPr/>
      </w:pPr>
      <w:r>
        <w:rPr/>
        <w:tab/>
      </w:r>
    </w:p>
    <w:p>
      <w:pPr>
        <w:pStyle w:val="Normal"/>
        <w:ind w:firstLine="270"/>
        <w:jc w:val="both"/>
        <w:rPr/>
      </w:pPr>
      <w:r>
        <w:rPr/>
      </w:r>
    </w:p>
    <w:p>
      <w:pPr>
        <w:pStyle w:val="Normal"/>
        <w:ind w:firstLine="270"/>
        <w:jc w:val="both"/>
        <w:rPr/>
      </w:pPr>
      <w:r>
        <w:rPr/>
        <w:t>где E(г) - количество воды, испарившейся за год со свободной водной поверхности, мм;</w:t>
      </w:r>
    </w:p>
    <w:p>
      <w:pPr>
        <w:pStyle w:val="Normal"/>
        <w:ind w:firstLine="135"/>
        <w:jc w:val="both"/>
        <w:rPr/>
      </w:pPr>
      <w:r>
        <w:rPr/>
      </w:r>
    </w:p>
    <w:p>
      <w:pPr>
        <w:pStyle w:val="Normal"/>
        <w:ind w:firstLine="360"/>
        <w:jc w:val="both"/>
        <w:rPr/>
      </w:pPr>
      <w:r>
        <w:rPr/>
        <w:t xml:space="preserve">А(г) - годовое количество осадков, мм;               </w:t>
      </w:r>
    </w:p>
    <w:tbl>
      <w:tblPr>
        <w:tblW w:w="7905" w:type="dxa"/>
        <w:jc w:val="start"/>
        <w:tblInd w:w="165" w:type="dxa"/>
        <w:tblBorders/>
        <w:tblCellMar>
          <w:top w:w="0" w:type="dxa"/>
          <w:start w:w="15" w:type="dxa"/>
          <w:bottom w:w="0" w:type="dxa"/>
          <w:end w:w="15" w:type="dxa"/>
        </w:tblCellMar>
      </w:tblPr>
      <w:tblGrid>
        <w:gridCol w:w="450"/>
        <w:gridCol w:w="7455"/>
      </w:tblGrid>
      <w:tr>
        <w:trPr/>
        <w:tc>
          <w:tcPr>
            <w:tcW w:w="450" w:type="dxa"/>
            <w:tcBorders/>
            <w:shd w:fill="auto" w:val="clear"/>
          </w:tcPr>
          <w:p>
            <w:pPr>
              <w:pStyle w:val="Normal"/>
              <w:rPr/>
            </w:pPr>
            <w:r>
              <w:rPr>
                <w:vanish/>
              </w:rPr>
              <w:t>#G0</w:t>
            </w:r>
            <w:r>
              <w:rPr/>
              <w:t xml:space="preserve">  </w:t>
            </w:r>
          </w:p>
          <w:p>
            <w:pPr>
              <w:pStyle w:val="Normal"/>
              <w:rPr/>
            </w:pPr>
            <w:r>
              <w:rPr/>
              <w:drawing>
                <wp:inline distT="0" distB="0" distL="0" distR="0">
                  <wp:extent cx="288290" cy="241935"/>
                  <wp:effectExtent l="0" t="0" r="0" b="0"/>
                  <wp:docPr id="363" name="Изображение3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Изображение363" descr="" title=""/>
                          <pic:cNvPicPr>
                            <a:picLocks noChangeAspect="1" noChangeArrowheads="1"/>
                          </pic:cNvPicPr>
                        </pic:nvPicPr>
                        <pic:blipFill>
                          <a:blip r:embed="rId364"/>
                          <a:stretch>
                            <a:fillRect/>
                          </a:stretch>
                        </pic:blipFill>
                        <pic:spPr bwMode="auto">
                          <a:xfrm>
                            <a:off x="0" y="0"/>
                            <a:ext cx="288290" cy="241935"/>
                          </a:xfrm>
                          <a:prstGeom prst="rect">
                            <a:avLst/>
                          </a:prstGeom>
                        </pic:spPr>
                      </pic:pic>
                    </a:graphicData>
                  </a:graphic>
                </wp:inline>
              </w:drawing>
            </w:r>
          </w:p>
        </w:tc>
        <w:tc>
          <w:tcPr>
            <w:tcW w:w="7455" w:type="dxa"/>
            <w:tcBorders/>
            <w:shd w:fill="auto" w:val="clear"/>
          </w:tcPr>
          <w:p>
            <w:pPr>
              <w:pStyle w:val="Normal"/>
              <w:rPr/>
            </w:pPr>
            <w:r>
              <w:rPr/>
              <w:t xml:space="preserve">  </w:t>
            </w:r>
          </w:p>
          <w:p>
            <w:pPr>
              <w:pStyle w:val="Normal"/>
              <w:ind w:firstLine="90"/>
              <w:jc w:val="both"/>
              <w:rPr/>
            </w:pPr>
            <w:r>
              <w:rPr/>
              <w:t xml:space="preserve">- объем осадка в зимне-весенний период, куб.м, определяемый по формуле </w:t>
            </w:r>
          </w:p>
          <w:p>
            <w:pPr>
              <w:pStyle w:val="Normal"/>
              <w:ind w:firstLine="90"/>
              <w:jc w:val="both"/>
              <w:rPr/>
            </w:pPr>
            <w:r>
              <w:rPr/>
            </w:r>
          </w:p>
        </w:tc>
      </w:tr>
    </w:tbl>
    <w:p>
      <w:pPr>
        <w:pStyle w:val="Normal"/>
        <w:ind w:firstLine="90"/>
        <w:jc w:val="both"/>
        <w:rPr/>
      </w:pPr>
      <w:r>
        <w:rPr/>
      </w:r>
    </w:p>
    <w:p>
      <w:pPr>
        <w:pStyle w:val="Normal"/>
        <w:ind w:firstLine="90"/>
        <w:jc w:val="both"/>
        <w:rPr/>
      </w:pPr>
      <w:r>
        <w:rPr/>
      </w:r>
    </w:p>
    <w:tbl>
      <w:tblPr>
        <w:tblW w:w="5175" w:type="dxa"/>
        <w:jc w:val="start"/>
        <w:tblInd w:w="165" w:type="dxa"/>
        <w:tblBorders/>
        <w:tblCellMar>
          <w:top w:w="0" w:type="dxa"/>
          <w:start w:w="15" w:type="dxa"/>
          <w:bottom w:w="0" w:type="dxa"/>
          <w:end w:w="15" w:type="dxa"/>
        </w:tblCellMar>
      </w:tblPr>
      <w:tblGrid>
        <w:gridCol w:w="1530"/>
        <w:gridCol w:w="3645"/>
      </w:tblGrid>
      <w:tr>
        <w:trPr/>
        <w:tc>
          <w:tcPr>
            <w:tcW w:w="1530" w:type="dxa"/>
            <w:tcBorders/>
            <w:shd w:fill="auto" w:val="clear"/>
          </w:tcPr>
          <w:p>
            <w:pPr>
              <w:pStyle w:val="Normal"/>
              <w:rPr/>
            </w:pPr>
            <w:r>
              <w:rPr>
                <w:vanish/>
              </w:rPr>
              <w:t>#G0</w:t>
            </w:r>
            <w:r>
              <w:rPr/>
              <w:t xml:space="preserve">  </w:t>
            </w:r>
          </w:p>
          <w:p>
            <w:pPr>
              <w:pStyle w:val="Normal"/>
              <w:rPr/>
            </w:pPr>
            <w:r>
              <w:rPr/>
              <w:drawing>
                <wp:inline distT="0" distB="0" distL="0" distR="0">
                  <wp:extent cx="1082675" cy="241935"/>
                  <wp:effectExtent l="0" t="0" r="0" b="0"/>
                  <wp:docPr id="364" name="Изображение3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Изображение364" descr="" title=""/>
                          <pic:cNvPicPr>
                            <a:picLocks noChangeAspect="1" noChangeArrowheads="1"/>
                          </pic:cNvPicPr>
                        </pic:nvPicPr>
                        <pic:blipFill>
                          <a:blip r:embed="rId365"/>
                          <a:stretch>
                            <a:fillRect/>
                          </a:stretch>
                        </pic:blipFill>
                        <pic:spPr bwMode="auto">
                          <a:xfrm>
                            <a:off x="0" y="0"/>
                            <a:ext cx="1082675" cy="241935"/>
                          </a:xfrm>
                          <a:prstGeom prst="rect">
                            <a:avLst/>
                          </a:prstGeom>
                        </pic:spPr>
                      </pic:pic>
                    </a:graphicData>
                  </a:graphic>
                </wp:inline>
              </w:drawing>
            </w:r>
          </w:p>
        </w:tc>
        <w:tc>
          <w:tcPr>
            <w:tcW w:w="3645" w:type="dxa"/>
            <w:tcBorders/>
            <w:shd w:fill="auto" w:val="clear"/>
          </w:tcPr>
          <w:p>
            <w:pPr>
              <w:pStyle w:val="Normal"/>
              <w:rPr/>
            </w:pPr>
            <w:r>
              <w:rPr/>
              <w:t xml:space="preserve"> </w:t>
            </w:r>
          </w:p>
          <w:p>
            <w:pPr>
              <w:pStyle w:val="Normal"/>
              <w:rPr/>
            </w:pPr>
            <w:r>
              <w:rPr/>
              <w:t xml:space="preserve">                                                                     </w:t>
            </w:r>
            <w:r>
              <w:rPr/>
              <w:t xml:space="preserve">(11)  </w:t>
            </w:r>
          </w:p>
          <w:p>
            <w:pPr>
              <w:pStyle w:val="Normal"/>
              <w:rPr/>
            </w:pPr>
            <w:r>
              <w:rPr/>
            </w:r>
          </w:p>
        </w:tc>
      </w:tr>
    </w:tbl>
    <w:p>
      <w:pPr>
        <w:pStyle w:val="Normal"/>
        <w:ind w:firstLine="1260"/>
        <w:jc w:val="both"/>
        <w:rPr/>
      </w:pPr>
      <w:r>
        <w:rPr/>
      </w:r>
    </w:p>
    <w:p>
      <w:pPr>
        <w:pStyle w:val="Normal"/>
        <w:ind w:firstLine="180"/>
        <w:jc w:val="both"/>
        <w:rPr/>
      </w:pPr>
      <w:r>
        <w:rPr/>
      </w:r>
    </w:p>
    <w:tbl>
      <w:tblPr>
        <w:tblW w:w="8010" w:type="dxa"/>
        <w:jc w:val="start"/>
        <w:tblInd w:w="165" w:type="dxa"/>
        <w:tblBorders/>
        <w:tblCellMar>
          <w:top w:w="0" w:type="dxa"/>
          <w:start w:w="15" w:type="dxa"/>
          <w:bottom w:w="0" w:type="dxa"/>
          <w:end w:w="15" w:type="dxa"/>
        </w:tblCellMar>
      </w:tblPr>
      <w:tblGrid>
        <w:gridCol w:w="450"/>
        <w:gridCol w:w="465"/>
        <w:gridCol w:w="3795"/>
        <w:gridCol w:w="450"/>
        <w:gridCol w:w="1275"/>
        <w:gridCol w:w="1575"/>
      </w:tblGrid>
      <w:tr>
        <w:trPr/>
        <w:tc>
          <w:tcPr>
            <w:tcW w:w="450" w:type="dxa"/>
            <w:tcBorders/>
            <w:shd w:fill="auto" w:val="clear"/>
          </w:tcPr>
          <w:p>
            <w:pPr>
              <w:pStyle w:val="Normal"/>
              <w:rPr/>
            </w:pPr>
            <w:r>
              <w:rPr>
                <w:vanish/>
              </w:rPr>
              <w:t>#G0</w:t>
            </w:r>
            <w:r>
              <w:rPr/>
              <w:t xml:space="preserve">       где </w:t>
            </w:r>
          </w:p>
          <w:p>
            <w:pPr>
              <w:pStyle w:val="Normal"/>
              <w:rPr/>
            </w:pPr>
            <w:r>
              <w:rPr/>
            </w:r>
          </w:p>
        </w:tc>
        <w:tc>
          <w:tcPr>
            <w:tcW w:w="465" w:type="dxa"/>
            <w:tcBorders/>
            <w:shd w:fill="auto" w:val="clear"/>
          </w:tcPr>
          <w:p>
            <w:pPr>
              <w:pStyle w:val="Normal"/>
              <w:rPr/>
            </w:pPr>
            <w:r>
              <w:rPr/>
              <w:t xml:space="preserve">  </w:t>
            </w:r>
          </w:p>
          <w:p>
            <w:pPr>
              <w:pStyle w:val="Normal"/>
              <w:rPr/>
            </w:pPr>
            <w:r>
              <w:rPr/>
              <w:drawing>
                <wp:inline distT="0" distB="0" distL="0" distR="0">
                  <wp:extent cx="288290" cy="241935"/>
                  <wp:effectExtent l="0" t="0" r="0" b="0"/>
                  <wp:docPr id="365" name="Изображение3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Изображение365" descr="" title=""/>
                          <pic:cNvPicPr>
                            <a:picLocks noChangeAspect="1" noChangeArrowheads="1"/>
                          </pic:cNvPicPr>
                        </pic:nvPicPr>
                        <pic:blipFill>
                          <a:blip r:embed="rId366"/>
                          <a:stretch>
                            <a:fillRect/>
                          </a:stretch>
                        </pic:blipFill>
                        <pic:spPr bwMode="auto">
                          <a:xfrm>
                            <a:off x="0" y="0"/>
                            <a:ext cx="288290" cy="241935"/>
                          </a:xfrm>
                          <a:prstGeom prst="rect">
                            <a:avLst/>
                          </a:prstGeom>
                        </pic:spPr>
                      </pic:pic>
                    </a:graphicData>
                  </a:graphic>
                </wp:inline>
              </w:drawing>
            </w:r>
          </w:p>
        </w:tc>
        <w:tc>
          <w:tcPr>
            <w:tcW w:w="7095" w:type="dxa"/>
            <w:gridSpan w:val="4"/>
            <w:tcBorders/>
            <w:shd w:fill="auto" w:val="clear"/>
          </w:tcPr>
          <w:p>
            <w:pPr>
              <w:pStyle w:val="Normal"/>
              <w:rPr/>
            </w:pPr>
            <w:r>
              <w:rPr/>
              <w:t xml:space="preserve">  </w:t>
            </w:r>
          </w:p>
          <w:p>
            <w:pPr>
              <w:pStyle w:val="Normal"/>
              <w:jc w:val="both"/>
              <w:rPr/>
            </w:pPr>
            <w:r>
              <w:rPr/>
              <w:t xml:space="preserve">-  объем осадка, куб.м, выпускаемого на площадки подсушивания в течение </w:t>
            </w:r>
          </w:p>
          <w:p>
            <w:pPr>
              <w:pStyle w:val="Normal"/>
              <w:jc w:val="both"/>
              <w:rPr/>
            </w:pPr>
            <w:r>
              <w:rPr/>
            </w:r>
          </w:p>
        </w:tc>
      </w:tr>
      <w:tr>
        <w:trPr/>
        <w:tc>
          <w:tcPr>
            <w:tcW w:w="4710" w:type="dxa"/>
            <w:gridSpan w:val="3"/>
            <w:tcBorders/>
            <w:shd w:fill="auto" w:val="clear"/>
          </w:tcPr>
          <w:p>
            <w:pPr>
              <w:pStyle w:val="Normal"/>
              <w:rPr/>
            </w:pPr>
            <w:r>
              <w:rPr/>
              <w:t xml:space="preserve">  </w:t>
            </w:r>
          </w:p>
          <w:p>
            <w:pPr>
              <w:pStyle w:val="Normal"/>
              <w:ind w:firstLine="45"/>
              <w:jc w:val="both"/>
              <w:rPr/>
            </w:pPr>
            <w:r>
              <w:rPr/>
              <w:t xml:space="preserve">зимне-весеннего периода со средней влажностью </w:t>
            </w:r>
          </w:p>
          <w:p>
            <w:pPr>
              <w:pStyle w:val="Normal"/>
              <w:ind w:firstLine="45"/>
              <w:jc w:val="both"/>
              <w:rPr/>
            </w:pPr>
            <w:r>
              <w:rPr/>
            </w:r>
          </w:p>
        </w:tc>
        <w:tc>
          <w:tcPr>
            <w:tcW w:w="450" w:type="dxa"/>
            <w:tcBorders/>
            <w:shd w:fill="auto" w:val="clear"/>
          </w:tcPr>
          <w:p>
            <w:pPr>
              <w:pStyle w:val="Normal"/>
              <w:rPr/>
            </w:pPr>
            <w:r>
              <w:rPr/>
              <w:t xml:space="preserve">  </w:t>
            </w:r>
          </w:p>
          <w:p>
            <w:pPr>
              <w:pStyle w:val="Normal"/>
              <w:rPr/>
            </w:pPr>
            <w:r>
              <w:rPr/>
              <w:drawing>
                <wp:inline distT="0" distB="0" distL="0" distR="0">
                  <wp:extent cx="264795" cy="241935"/>
                  <wp:effectExtent l="0" t="0" r="0" b="0"/>
                  <wp:docPr id="366" name="Изображение3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Изображение366" descr="" title=""/>
                          <pic:cNvPicPr>
                            <a:picLocks noChangeAspect="1" noChangeArrowheads="1"/>
                          </pic:cNvPicPr>
                        </pic:nvPicPr>
                        <pic:blipFill>
                          <a:blip r:embed="rId367"/>
                          <a:stretch>
                            <a:fillRect/>
                          </a:stretch>
                        </pic:blipFill>
                        <pic:spPr bwMode="auto">
                          <a:xfrm>
                            <a:off x="0" y="0"/>
                            <a:ext cx="264795" cy="241935"/>
                          </a:xfrm>
                          <a:prstGeom prst="rect">
                            <a:avLst/>
                          </a:prstGeom>
                        </pic:spPr>
                      </pic:pic>
                    </a:graphicData>
                  </a:graphic>
                </wp:inline>
              </w:drawing>
            </w:r>
          </w:p>
        </w:tc>
        <w:tc>
          <w:tcPr>
            <w:tcW w:w="1275" w:type="dxa"/>
            <w:tcBorders/>
            <w:shd w:fill="auto" w:val="clear"/>
          </w:tcPr>
          <w:p>
            <w:pPr>
              <w:pStyle w:val="Normal"/>
              <w:rPr/>
            </w:pPr>
            <w:r>
              <w:rPr/>
              <w:t xml:space="preserve">  </w:t>
            </w:r>
          </w:p>
          <w:p>
            <w:pPr>
              <w:pStyle w:val="Normal"/>
              <w:jc w:val="both"/>
              <w:rPr/>
            </w:pPr>
            <w:r>
              <w:rPr/>
              <w:t xml:space="preserve">, %, </w:t>
            </w:r>
          </w:p>
          <w:p>
            <w:pPr>
              <w:pStyle w:val="Normal"/>
              <w:jc w:val="both"/>
              <w:rPr/>
            </w:pPr>
            <w:r>
              <w:rPr/>
            </w:r>
          </w:p>
        </w:tc>
        <w:tc>
          <w:tcPr>
            <w:tcW w:w="1575" w:type="dxa"/>
            <w:tcBorders/>
            <w:shd w:fill="auto" w:val="clear"/>
            <w:tcMar>
              <w:start w:w="0" w:type="dxa"/>
              <w:end w:w="0" w:type="dxa"/>
            </w:tcMar>
          </w:tcPr>
          <w:p>
            <w:pPr>
              <w:pStyle w:val="Normal"/>
              <w:snapToGrid w:val="false"/>
              <w:rPr/>
            </w:pPr>
            <w:r>
              <w:rPr/>
            </w:r>
          </w:p>
        </w:tc>
      </w:tr>
    </w:tbl>
    <w:p>
      <w:pPr>
        <w:pStyle w:val="Normal"/>
        <w:ind w:firstLine="225"/>
        <w:jc w:val="both"/>
        <w:rPr/>
      </w:pPr>
      <w:r>
        <w:rPr/>
      </w:r>
    </w:p>
    <w:p>
      <w:pPr>
        <w:pStyle w:val="Normal"/>
        <w:ind w:firstLine="450"/>
        <w:jc w:val="both"/>
        <w:rPr/>
      </w:pPr>
      <w:r>
        <w:rPr/>
        <w:t>W(в) -  объем воды, куб.м, выделившийся из осадка в результате его уплотнения на площадках, определяемый по формуле</w:t>
      </w:r>
    </w:p>
    <w:p>
      <w:pPr>
        <w:pStyle w:val="Normal"/>
        <w:ind w:firstLine="1395"/>
        <w:jc w:val="both"/>
        <w:rPr/>
      </w:pPr>
      <w:r>
        <w:rPr/>
      </w:r>
    </w:p>
    <w:tbl>
      <w:tblPr>
        <w:tblW w:w="5235" w:type="dxa"/>
        <w:jc w:val="start"/>
        <w:tblInd w:w="165" w:type="dxa"/>
        <w:tblBorders/>
        <w:tblCellMar>
          <w:top w:w="0" w:type="dxa"/>
          <w:start w:w="15" w:type="dxa"/>
          <w:bottom w:w="0" w:type="dxa"/>
          <w:end w:w="15" w:type="dxa"/>
        </w:tblCellMar>
      </w:tblPr>
      <w:tblGrid>
        <w:gridCol w:w="3420"/>
        <w:gridCol w:w="1815"/>
      </w:tblGrid>
      <w:tr>
        <w:trPr/>
        <w:tc>
          <w:tcPr>
            <w:tcW w:w="3420" w:type="dxa"/>
            <w:tcBorders/>
            <w:shd w:fill="auto" w:val="clear"/>
          </w:tcPr>
          <w:p>
            <w:pPr>
              <w:pStyle w:val="Normal"/>
              <w:rPr/>
            </w:pPr>
            <w:r>
              <w:rPr>
                <w:vanish/>
              </w:rPr>
              <w:t>#G0</w:t>
            </w:r>
            <w:r>
              <w:rPr/>
              <w:t xml:space="preserve">  </w:t>
            </w:r>
          </w:p>
          <w:p>
            <w:pPr>
              <w:pStyle w:val="Normal"/>
              <w:rPr/>
            </w:pPr>
            <w:r>
              <w:rPr/>
              <w:drawing>
                <wp:inline distT="0" distB="0" distL="0" distR="0">
                  <wp:extent cx="2350135" cy="299720"/>
                  <wp:effectExtent l="0" t="0" r="0" b="0"/>
                  <wp:docPr id="367" name="Изображение3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Изображение367" descr="" title=""/>
                          <pic:cNvPicPr>
                            <a:picLocks noChangeAspect="1" noChangeArrowheads="1"/>
                          </pic:cNvPicPr>
                        </pic:nvPicPr>
                        <pic:blipFill>
                          <a:blip r:embed="rId368"/>
                          <a:stretch>
                            <a:fillRect/>
                          </a:stretch>
                        </pic:blipFill>
                        <pic:spPr bwMode="auto">
                          <a:xfrm>
                            <a:off x="0" y="0"/>
                            <a:ext cx="2350135" cy="299720"/>
                          </a:xfrm>
                          <a:prstGeom prst="rect">
                            <a:avLst/>
                          </a:prstGeom>
                        </pic:spPr>
                      </pic:pic>
                    </a:graphicData>
                  </a:graphic>
                </wp:inline>
              </w:drawing>
            </w:r>
          </w:p>
        </w:tc>
        <w:tc>
          <w:tcPr>
            <w:tcW w:w="1815" w:type="dxa"/>
            <w:tcBorders/>
            <w:shd w:fill="auto" w:val="clear"/>
          </w:tcPr>
          <w:p>
            <w:pPr>
              <w:pStyle w:val="Normal"/>
              <w:snapToGrid w:val="false"/>
              <w:rPr/>
            </w:pPr>
            <w:r>
              <w:rPr/>
            </w:r>
          </w:p>
          <w:p>
            <w:pPr>
              <w:pStyle w:val="Normal"/>
              <w:rPr/>
            </w:pPr>
            <w:r>
              <w:rPr/>
              <w:t xml:space="preserve">                             </w:t>
            </w:r>
            <w:r>
              <w:rPr/>
              <w:t>(12)</w:t>
            </w:r>
          </w:p>
          <w:p>
            <w:pPr>
              <w:pStyle w:val="Normal"/>
              <w:rPr/>
            </w:pPr>
            <w:r>
              <w:rPr/>
            </w:r>
          </w:p>
        </w:tc>
      </w:tr>
    </w:tbl>
    <w:p>
      <w:pPr>
        <w:pStyle w:val="Normal"/>
        <w:ind w:firstLine="90"/>
        <w:jc w:val="both"/>
        <w:rPr/>
      </w:pPr>
      <w:r>
        <w:rPr/>
      </w:r>
    </w:p>
    <w:p>
      <w:pPr>
        <w:pStyle w:val="Normal"/>
        <w:ind w:firstLine="270"/>
        <w:jc w:val="both"/>
        <w:rPr/>
      </w:pPr>
      <w:r>
        <w:rPr/>
      </w:r>
    </w:p>
    <w:p>
      <w:pPr>
        <w:pStyle w:val="Normal"/>
        <w:ind w:firstLine="225"/>
        <w:jc w:val="both"/>
        <w:rPr/>
      </w:pPr>
      <w:r>
        <w:rPr/>
        <w:t xml:space="preserve">где P(ос) - влажность осадка, уплотнившегося на площадках подсушивания за время зимне-весеннего периода, определяемая по рис. 3 и 4;     </w:t>
      </w:r>
    </w:p>
    <w:tbl>
      <w:tblPr>
        <w:tblW w:w="8775" w:type="dxa"/>
        <w:jc w:val="start"/>
        <w:tblInd w:w="165" w:type="dxa"/>
        <w:tblBorders/>
        <w:tblCellMar>
          <w:top w:w="0" w:type="dxa"/>
          <w:start w:w="15" w:type="dxa"/>
          <w:bottom w:w="0" w:type="dxa"/>
          <w:end w:w="15" w:type="dxa"/>
        </w:tblCellMar>
      </w:tblPr>
      <w:tblGrid>
        <w:gridCol w:w="465"/>
        <w:gridCol w:w="8310"/>
      </w:tblGrid>
      <w:tr>
        <w:trPr/>
        <w:tc>
          <w:tcPr>
            <w:tcW w:w="465" w:type="dxa"/>
            <w:tcBorders/>
            <w:shd w:fill="auto" w:val="clear"/>
          </w:tcPr>
          <w:p>
            <w:pPr>
              <w:pStyle w:val="Normal"/>
              <w:rPr/>
            </w:pPr>
            <w:r>
              <w:rPr>
                <w:vanish/>
              </w:rPr>
              <w:t>#G0</w:t>
            </w:r>
            <w:r>
              <w:rPr/>
              <w:t xml:space="preserve">  </w:t>
            </w:r>
          </w:p>
          <w:p>
            <w:pPr>
              <w:pStyle w:val="Normal"/>
              <w:rPr/>
            </w:pPr>
            <w:r>
              <w:rPr/>
              <w:drawing>
                <wp:inline distT="0" distB="0" distL="0" distR="0">
                  <wp:extent cx="264795" cy="241935"/>
                  <wp:effectExtent l="0" t="0" r="0" b="0"/>
                  <wp:docPr id="368" name="Изображение3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Изображение368" descr="" title=""/>
                          <pic:cNvPicPr>
                            <a:picLocks noChangeAspect="1" noChangeArrowheads="1"/>
                          </pic:cNvPicPr>
                        </pic:nvPicPr>
                        <pic:blipFill>
                          <a:blip r:embed="rId369"/>
                          <a:stretch>
                            <a:fillRect/>
                          </a:stretch>
                        </pic:blipFill>
                        <pic:spPr bwMode="auto">
                          <a:xfrm>
                            <a:off x="0" y="0"/>
                            <a:ext cx="264795" cy="241935"/>
                          </a:xfrm>
                          <a:prstGeom prst="rect">
                            <a:avLst/>
                          </a:prstGeom>
                        </pic:spPr>
                      </pic:pic>
                    </a:graphicData>
                  </a:graphic>
                </wp:inline>
              </w:drawing>
            </w:r>
          </w:p>
        </w:tc>
        <w:tc>
          <w:tcPr>
            <w:tcW w:w="8310" w:type="dxa"/>
            <w:tcBorders/>
            <w:shd w:fill="auto" w:val="clear"/>
          </w:tcPr>
          <w:p>
            <w:pPr>
              <w:pStyle w:val="Normal"/>
              <w:rPr/>
            </w:pPr>
            <w:r>
              <w:rPr/>
              <w:t xml:space="preserve">  </w:t>
            </w:r>
          </w:p>
          <w:p>
            <w:pPr>
              <w:pStyle w:val="Normal"/>
              <w:ind w:firstLine="45"/>
              <w:jc w:val="both"/>
              <w:rPr/>
            </w:pPr>
            <w:r>
              <w:rPr/>
              <w:t>-  влажность осадка, %, принимаемая при выпуске осадка из сгустителей по таблице п. 11,</w:t>
            </w:r>
          </w:p>
          <w:p>
            <w:pPr>
              <w:pStyle w:val="Normal"/>
              <w:ind w:firstLine="45"/>
              <w:jc w:val="both"/>
              <w:rPr/>
            </w:pPr>
            <w:r>
              <w:rPr/>
            </w:r>
          </w:p>
        </w:tc>
      </w:tr>
    </w:tbl>
    <w:p>
      <w:pPr>
        <w:pStyle w:val="Normal"/>
        <w:ind w:firstLine="225"/>
        <w:jc w:val="both"/>
        <w:rPr/>
      </w:pPr>
      <w:r>
        <w:rPr/>
        <w:t>отстойников и осветлителей по формуле</w:t>
      </w:r>
    </w:p>
    <w:p>
      <w:pPr>
        <w:pStyle w:val="Normal"/>
        <w:ind w:firstLine="225"/>
        <w:jc w:val="both"/>
        <w:rPr/>
      </w:pPr>
      <w:r>
        <w:rPr/>
      </w:r>
    </w:p>
    <w:tbl>
      <w:tblPr>
        <w:tblW w:w="4875" w:type="dxa"/>
        <w:jc w:val="start"/>
        <w:tblInd w:w="165" w:type="dxa"/>
        <w:tblBorders/>
        <w:tblCellMar>
          <w:top w:w="0" w:type="dxa"/>
          <w:start w:w="15" w:type="dxa"/>
          <w:bottom w:w="0" w:type="dxa"/>
          <w:end w:w="15" w:type="dxa"/>
        </w:tblCellMar>
      </w:tblPr>
      <w:tblGrid>
        <w:gridCol w:w="3090"/>
        <w:gridCol w:w="1785"/>
      </w:tblGrid>
      <w:tr>
        <w:trPr/>
        <w:tc>
          <w:tcPr>
            <w:tcW w:w="3090" w:type="dxa"/>
            <w:tcBorders/>
            <w:shd w:fill="auto" w:val="clear"/>
          </w:tcPr>
          <w:p>
            <w:pPr>
              <w:pStyle w:val="Normal"/>
              <w:rPr/>
            </w:pPr>
            <w:r>
              <w:rPr>
                <w:vanish/>
              </w:rPr>
              <w:t>#G0</w:t>
            </w:r>
            <w:r>
              <w:rPr/>
              <w:t xml:space="preserve">  </w:t>
            </w:r>
          </w:p>
          <w:p>
            <w:pPr>
              <w:pStyle w:val="Normal"/>
              <w:rPr/>
            </w:pPr>
            <w:r>
              <w:rPr/>
              <w:drawing>
                <wp:inline distT="0" distB="0" distL="0" distR="0">
                  <wp:extent cx="2234565" cy="311150"/>
                  <wp:effectExtent l="0" t="0" r="0" b="0"/>
                  <wp:docPr id="369" name="Изображение3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Изображение369" descr="" title=""/>
                          <pic:cNvPicPr>
                            <a:picLocks noChangeAspect="1" noChangeArrowheads="1"/>
                          </pic:cNvPicPr>
                        </pic:nvPicPr>
                        <pic:blipFill>
                          <a:blip r:embed="rId370"/>
                          <a:stretch>
                            <a:fillRect/>
                          </a:stretch>
                        </pic:blipFill>
                        <pic:spPr bwMode="auto">
                          <a:xfrm>
                            <a:off x="0" y="0"/>
                            <a:ext cx="2234565" cy="311150"/>
                          </a:xfrm>
                          <a:prstGeom prst="rect">
                            <a:avLst/>
                          </a:prstGeom>
                        </pic:spPr>
                      </pic:pic>
                    </a:graphicData>
                  </a:graphic>
                </wp:inline>
              </w:drawing>
            </w:r>
          </w:p>
        </w:tc>
        <w:tc>
          <w:tcPr>
            <w:tcW w:w="1785" w:type="dxa"/>
            <w:tcBorders/>
            <w:shd w:fill="auto" w:val="clear"/>
          </w:tcPr>
          <w:p>
            <w:pPr>
              <w:pStyle w:val="Normal"/>
              <w:snapToGrid w:val="false"/>
              <w:rPr/>
            </w:pPr>
            <w:r>
              <w:rPr/>
            </w:r>
          </w:p>
          <w:p>
            <w:pPr>
              <w:pStyle w:val="Normal"/>
              <w:rPr/>
            </w:pPr>
            <w:r>
              <w:rPr/>
              <w:t xml:space="preserve">                               </w:t>
            </w:r>
            <w:r>
              <w:rPr/>
              <w:t>(13)</w:t>
            </w:r>
          </w:p>
          <w:p>
            <w:pPr>
              <w:pStyle w:val="Normal"/>
              <w:rPr/>
            </w:pPr>
            <w:r>
              <w:rPr/>
            </w:r>
          </w:p>
        </w:tc>
      </w:tr>
    </w:tbl>
    <w:p>
      <w:pPr>
        <w:pStyle w:val="Normal"/>
        <w:ind w:firstLine="1350"/>
        <w:jc w:val="both"/>
        <w:rPr/>
      </w:pPr>
      <w:r>
        <w:rPr/>
      </w:r>
    </w:p>
    <w:p>
      <w:pPr>
        <w:pStyle w:val="Normal"/>
        <w:ind w:firstLine="1350"/>
        <w:jc w:val="both"/>
        <w:rPr/>
      </w:pPr>
      <w:r>
        <w:rPr/>
        <w:tab/>
      </w:r>
    </w:p>
    <w:tbl>
      <w:tblPr>
        <w:tblW w:w="8190" w:type="dxa"/>
        <w:jc w:val="start"/>
        <w:tblInd w:w="165" w:type="dxa"/>
        <w:tblBorders/>
        <w:tblCellMar>
          <w:top w:w="0" w:type="dxa"/>
          <w:start w:w="15" w:type="dxa"/>
          <w:bottom w:w="0" w:type="dxa"/>
          <w:end w:w="15" w:type="dxa"/>
        </w:tblCellMar>
      </w:tblPr>
      <w:tblGrid>
        <w:gridCol w:w="450"/>
        <w:gridCol w:w="555"/>
        <w:gridCol w:w="7185"/>
      </w:tblGrid>
      <w:tr>
        <w:trPr/>
        <w:tc>
          <w:tcPr>
            <w:tcW w:w="450" w:type="dxa"/>
            <w:tcBorders/>
            <w:shd w:fill="auto" w:val="clear"/>
          </w:tcPr>
          <w:p>
            <w:pPr>
              <w:pStyle w:val="Normal"/>
              <w:rPr/>
            </w:pPr>
            <w:r>
              <w:rPr>
                <w:vanish/>
              </w:rPr>
              <w:t>#G0</w:t>
            </w:r>
            <w:r>
              <w:rPr/>
              <w:t xml:space="preserve"> где </w:t>
            </w:r>
          </w:p>
          <w:p>
            <w:pPr>
              <w:pStyle w:val="Normal"/>
              <w:rPr/>
            </w:pPr>
            <w:r>
              <w:rPr/>
            </w:r>
          </w:p>
        </w:tc>
        <w:tc>
          <w:tcPr>
            <w:tcW w:w="555" w:type="dxa"/>
            <w:tcBorders/>
            <w:shd w:fill="auto" w:val="clear"/>
          </w:tcPr>
          <w:p>
            <w:pPr>
              <w:pStyle w:val="Normal"/>
              <w:rPr/>
            </w:pPr>
            <w:r>
              <w:rPr/>
              <w:drawing>
                <wp:inline distT="0" distB="0" distL="0" distR="0">
                  <wp:extent cx="299720" cy="161290"/>
                  <wp:effectExtent l="0" t="0" r="0" b="0"/>
                  <wp:docPr id="370" name="Изображение3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Изображение370" descr="" title=""/>
                          <pic:cNvPicPr>
                            <a:picLocks noChangeAspect="1" noChangeArrowheads="1"/>
                          </pic:cNvPicPr>
                        </pic:nvPicPr>
                        <pic:blipFill>
                          <a:blip r:embed="rId371"/>
                          <a:stretch>
                            <a:fillRect/>
                          </a:stretch>
                        </pic:blipFill>
                        <pic:spPr bwMode="auto">
                          <a:xfrm>
                            <a:off x="0" y="0"/>
                            <a:ext cx="299720" cy="161290"/>
                          </a:xfrm>
                          <a:prstGeom prst="rect">
                            <a:avLst/>
                          </a:prstGeom>
                        </pic:spPr>
                      </pic:pic>
                    </a:graphicData>
                  </a:graphic>
                </wp:inline>
              </w:drawing>
            </w:r>
            <w:r>
              <w:rPr/>
              <w:t xml:space="preserve">  </w:t>
            </w:r>
          </w:p>
          <w:p>
            <w:pPr>
              <w:pStyle w:val="Normal"/>
              <w:rPr/>
            </w:pPr>
            <w:r>
              <w:rPr/>
            </w:r>
          </w:p>
        </w:tc>
        <w:tc>
          <w:tcPr>
            <w:tcW w:w="7185" w:type="dxa"/>
            <w:tcBorders/>
            <w:shd w:fill="auto" w:val="clear"/>
          </w:tcPr>
          <w:p>
            <w:pPr>
              <w:pStyle w:val="Normal"/>
              <w:rPr/>
            </w:pPr>
            <w:r>
              <w:rPr/>
              <w:t xml:space="preserve">средняя плотность твердой фазы в осадке, принимаемая от 2,2 до 2,6 т/куб.м; </w:t>
            </w:r>
          </w:p>
          <w:p>
            <w:pPr>
              <w:pStyle w:val="Normal"/>
              <w:rPr/>
            </w:pPr>
            <w:r>
              <w:rPr/>
            </w:r>
          </w:p>
        </w:tc>
      </w:tr>
      <w:tr>
        <w:trPr/>
        <w:tc>
          <w:tcPr>
            <w:tcW w:w="450" w:type="dxa"/>
            <w:tcBorders/>
            <w:shd w:fill="auto" w:val="clear"/>
          </w:tcPr>
          <w:p>
            <w:pPr>
              <w:pStyle w:val="Normal"/>
              <w:rPr/>
            </w:pPr>
            <w:r>
              <w:rPr/>
              <w:drawing>
                <wp:inline distT="0" distB="0" distL="0" distR="0">
                  <wp:extent cx="184150" cy="138430"/>
                  <wp:effectExtent l="0" t="0" r="0" b="0"/>
                  <wp:docPr id="371" name="Изображение3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Изображение371" descr="" title=""/>
                          <pic:cNvPicPr>
                            <a:picLocks noChangeAspect="1" noChangeArrowheads="1"/>
                          </pic:cNvPicPr>
                        </pic:nvPicPr>
                        <pic:blipFill>
                          <a:blip r:embed="rId372"/>
                          <a:stretch>
                            <a:fillRect/>
                          </a:stretch>
                        </pic:blipFill>
                        <pic:spPr bwMode="auto">
                          <a:xfrm>
                            <a:off x="0" y="0"/>
                            <a:ext cx="184150" cy="138430"/>
                          </a:xfrm>
                          <a:prstGeom prst="rect">
                            <a:avLst/>
                          </a:prstGeom>
                        </pic:spPr>
                      </pic:pic>
                    </a:graphicData>
                  </a:graphic>
                </wp:inline>
              </w:drawing>
            </w:r>
          </w:p>
        </w:tc>
        <w:tc>
          <w:tcPr>
            <w:tcW w:w="7740" w:type="dxa"/>
            <w:gridSpan w:val="2"/>
            <w:tcBorders/>
            <w:shd w:fill="auto" w:val="clear"/>
          </w:tcPr>
          <w:p>
            <w:pPr>
              <w:pStyle w:val="Normal"/>
              <w:ind w:firstLine="45"/>
              <w:jc w:val="both"/>
              <w:rPr/>
            </w:pPr>
            <w:r>
              <w:rPr/>
              <w:t xml:space="preserve">концентрация твердой фазы в осадке, т/куб.м, принимаемая по табл. 19 п. 6.65 с </w:t>
            </w:r>
          </w:p>
          <w:p>
            <w:pPr>
              <w:pStyle w:val="Normal"/>
              <w:ind w:firstLine="45"/>
              <w:jc w:val="both"/>
              <w:rPr/>
            </w:pPr>
            <w:r>
              <w:rPr/>
            </w:r>
          </w:p>
        </w:tc>
      </w:tr>
      <w:tr>
        <w:trPr/>
        <w:tc>
          <w:tcPr>
            <w:tcW w:w="450" w:type="dxa"/>
            <w:tcBorders/>
            <w:shd w:fill="auto" w:val="clear"/>
          </w:tcPr>
          <w:p>
            <w:pPr>
              <w:pStyle w:val="Normal"/>
              <w:rPr/>
            </w:pPr>
            <w:r>
              <w:rPr/>
              <w:t xml:space="preserve"> </w:t>
            </w:r>
          </w:p>
          <w:p>
            <w:pPr>
              <w:pStyle w:val="Normal"/>
              <w:rPr/>
            </w:pPr>
            <w:r>
              <w:rPr/>
              <w:t xml:space="preserve">  </w:t>
            </w:r>
          </w:p>
          <w:p>
            <w:pPr>
              <w:pStyle w:val="Normal"/>
              <w:rPr/>
            </w:pPr>
            <w:r>
              <w:rPr/>
            </w:r>
          </w:p>
        </w:tc>
        <w:tc>
          <w:tcPr>
            <w:tcW w:w="7740" w:type="dxa"/>
            <w:gridSpan w:val="2"/>
            <w:tcBorders/>
            <w:shd w:fill="auto" w:val="clear"/>
          </w:tcPr>
          <w:p>
            <w:pPr>
              <w:pStyle w:val="Normal"/>
              <w:jc w:val="both"/>
              <w:rPr/>
            </w:pPr>
            <w:r>
              <w:rPr/>
              <w:t xml:space="preserve">учетом разбавления осадка при его выпуске по п. 6.74.  </w:t>
            </w:r>
          </w:p>
          <w:p>
            <w:pPr>
              <w:pStyle w:val="Normal"/>
              <w:jc w:val="both"/>
              <w:rPr/>
            </w:pPr>
            <w:r>
              <w:rPr/>
            </w:r>
          </w:p>
        </w:tc>
      </w:tr>
    </w:tbl>
    <w:p>
      <w:pPr>
        <w:pStyle w:val="Normal"/>
        <w:ind w:firstLine="225"/>
        <w:jc w:val="both"/>
        <w:rPr/>
      </w:pPr>
      <w:r>
        <w:rPr/>
        <w:t>Значение Е(г), мм, следует определять по формуле</w:t>
      </w:r>
    </w:p>
    <w:p>
      <w:pPr>
        <w:pStyle w:val="Normal"/>
        <w:ind w:firstLine="1395"/>
        <w:jc w:val="both"/>
        <w:rPr/>
      </w:pPr>
      <w:r>
        <w:rPr/>
      </w:r>
    </w:p>
    <w:p>
      <w:pPr>
        <w:pStyle w:val="Normal"/>
        <w:ind w:firstLine="225"/>
        <w:jc w:val="both"/>
        <w:rPr/>
      </w:pPr>
      <w:r>
        <w:rPr/>
      </w:r>
    </w:p>
    <w:p>
      <w:pPr>
        <w:pStyle w:val="Normal"/>
        <w:ind w:firstLine="270"/>
        <w:jc w:val="both"/>
        <w:rPr/>
      </w:pPr>
      <w:r>
        <w:rPr/>
        <w:drawing>
          <wp:inline distT="0" distB="0" distL="0" distR="0">
            <wp:extent cx="3456305" cy="184150"/>
            <wp:effectExtent l="0" t="0" r="0" b="0"/>
            <wp:docPr id="372" name="Изображение3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Изображение372" descr="" title=""/>
                    <pic:cNvPicPr>
                      <a:picLocks noChangeAspect="1" noChangeArrowheads="1"/>
                    </pic:cNvPicPr>
                  </pic:nvPicPr>
                  <pic:blipFill>
                    <a:blip r:embed="rId373"/>
                    <a:stretch>
                      <a:fillRect/>
                    </a:stretch>
                  </pic:blipFill>
                  <pic:spPr bwMode="auto">
                    <a:xfrm>
                      <a:off x="0" y="0"/>
                      <a:ext cx="3456305" cy="184150"/>
                    </a:xfrm>
                    <a:prstGeom prst="rect">
                      <a:avLst/>
                    </a:prstGeom>
                  </pic:spPr>
                </pic:pic>
              </a:graphicData>
            </a:graphic>
          </wp:inline>
        </w:drawing>
      </w:r>
    </w:p>
    <w:p>
      <w:pPr>
        <w:pStyle w:val="Normal"/>
        <w:ind w:firstLine="270"/>
        <w:jc w:val="both"/>
        <w:rPr/>
      </w:pPr>
      <w:r>
        <w:rPr/>
        <w:t xml:space="preserve">где Т(д)      - суммарное число дней в году, характеризующихся дефицитом влажности;      </w:t>
      </w:r>
    </w:p>
    <w:tbl>
      <w:tblPr>
        <w:tblW w:w="8130" w:type="dxa"/>
        <w:jc w:val="start"/>
        <w:tblInd w:w="165" w:type="dxa"/>
        <w:tblBorders/>
        <w:tblCellMar>
          <w:top w:w="0" w:type="dxa"/>
          <w:start w:w="15" w:type="dxa"/>
          <w:bottom w:w="0" w:type="dxa"/>
          <w:end w:w="15" w:type="dxa"/>
        </w:tblCellMar>
      </w:tblPr>
      <w:tblGrid>
        <w:gridCol w:w="840"/>
        <w:gridCol w:w="7290"/>
      </w:tblGrid>
      <w:tr>
        <w:trPr/>
        <w:tc>
          <w:tcPr>
            <w:tcW w:w="840" w:type="dxa"/>
            <w:tcBorders/>
            <w:shd w:fill="auto" w:val="clear"/>
          </w:tcPr>
          <w:p>
            <w:pPr>
              <w:pStyle w:val="Normal"/>
              <w:rPr/>
            </w:pPr>
            <w:r>
              <w:rPr>
                <w:vanish/>
              </w:rPr>
              <w:t>#G0</w:t>
            </w:r>
            <w:r>
              <w:rPr/>
              <w:t xml:space="preserve">  </w:t>
            </w:r>
          </w:p>
          <w:p>
            <w:pPr>
              <w:pStyle w:val="Normal"/>
              <w:rPr/>
            </w:pPr>
            <w:r>
              <w:rPr/>
              <w:drawing>
                <wp:inline distT="0" distB="0" distL="0" distR="0">
                  <wp:extent cx="127000" cy="184150"/>
                  <wp:effectExtent l="0" t="0" r="0" b="0"/>
                  <wp:docPr id="373" name="Изображение3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Изображение373" descr="" title=""/>
                          <pic:cNvPicPr>
                            <a:picLocks noChangeAspect="1" noChangeArrowheads="1"/>
                          </pic:cNvPicPr>
                        </pic:nvPicPr>
                        <pic:blipFill>
                          <a:blip r:embed="rId374"/>
                          <a:stretch>
                            <a:fillRect/>
                          </a:stretch>
                        </pic:blipFill>
                        <pic:spPr bwMode="auto">
                          <a:xfrm>
                            <a:off x="0" y="0"/>
                            <a:ext cx="127000" cy="184150"/>
                          </a:xfrm>
                          <a:prstGeom prst="rect">
                            <a:avLst/>
                          </a:prstGeom>
                        </pic:spPr>
                      </pic:pic>
                    </a:graphicData>
                  </a:graphic>
                </wp:inline>
              </w:drawing>
            </w:r>
          </w:p>
        </w:tc>
        <w:tc>
          <w:tcPr>
            <w:tcW w:w="7290" w:type="dxa"/>
            <w:tcBorders/>
            <w:shd w:fill="auto" w:val="clear"/>
          </w:tcPr>
          <w:p>
            <w:pPr>
              <w:pStyle w:val="Normal"/>
              <w:rPr/>
            </w:pPr>
            <w:r>
              <w:rPr/>
              <w:t xml:space="preserve">  </w:t>
            </w:r>
          </w:p>
          <w:p>
            <w:pPr>
              <w:pStyle w:val="Normal"/>
              <w:jc w:val="both"/>
              <w:rPr/>
            </w:pPr>
            <w:r>
              <w:rPr/>
              <w:t>- средняя упругость насыщенных водяных паров, соответствующая температуре осадка, миллибар;</w:t>
            </w:r>
          </w:p>
          <w:p>
            <w:pPr>
              <w:pStyle w:val="Normal"/>
              <w:jc w:val="both"/>
              <w:rPr/>
            </w:pPr>
            <w:r>
              <w:rPr/>
            </w:r>
          </w:p>
          <w:p>
            <w:pPr>
              <w:pStyle w:val="Normal"/>
              <w:jc w:val="both"/>
              <w:rPr/>
            </w:pPr>
            <w:r>
              <w:rPr/>
            </w:r>
          </w:p>
        </w:tc>
      </w:tr>
      <w:tr>
        <w:trPr/>
        <w:tc>
          <w:tcPr>
            <w:tcW w:w="840" w:type="dxa"/>
            <w:tcBorders/>
            <w:shd w:fill="auto" w:val="clear"/>
          </w:tcPr>
          <w:p>
            <w:pPr>
              <w:pStyle w:val="Normal"/>
              <w:rPr/>
            </w:pPr>
            <w:r>
              <w:rPr/>
              <w:t xml:space="preserve">  </w:t>
            </w:r>
          </w:p>
          <w:p>
            <w:pPr>
              <w:pStyle w:val="Normal"/>
              <w:rPr/>
            </w:pPr>
            <w:r>
              <w:rPr/>
              <w:drawing>
                <wp:inline distT="0" distB="0" distL="0" distR="0">
                  <wp:extent cx="207645" cy="184150"/>
                  <wp:effectExtent l="0" t="0" r="0" b="0"/>
                  <wp:docPr id="374" name="Изображение3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Изображение374" descr="" title=""/>
                          <pic:cNvPicPr>
                            <a:picLocks noChangeAspect="1" noChangeArrowheads="1"/>
                          </pic:cNvPicPr>
                        </pic:nvPicPr>
                        <pic:blipFill>
                          <a:blip r:embed="rId375"/>
                          <a:stretch>
                            <a:fillRect/>
                          </a:stretch>
                        </pic:blipFill>
                        <pic:spPr bwMode="auto">
                          <a:xfrm>
                            <a:off x="0" y="0"/>
                            <a:ext cx="207645" cy="184150"/>
                          </a:xfrm>
                          <a:prstGeom prst="rect">
                            <a:avLst/>
                          </a:prstGeom>
                        </pic:spPr>
                      </pic:pic>
                    </a:graphicData>
                  </a:graphic>
                </wp:inline>
              </w:drawing>
            </w:r>
          </w:p>
        </w:tc>
        <w:tc>
          <w:tcPr>
            <w:tcW w:w="7290" w:type="dxa"/>
            <w:tcBorders/>
            <w:shd w:fill="auto" w:val="clear"/>
          </w:tcPr>
          <w:p>
            <w:pPr>
              <w:pStyle w:val="Normal"/>
              <w:rPr/>
            </w:pPr>
            <w:r>
              <w:rPr/>
              <w:t xml:space="preserve">  </w:t>
            </w:r>
          </w:p>
          <w:p>
            <w:pPr>
              <w:pStyle w:val="Normal"/>
              <w:ind w:firstLine="45"/>
              <w:jc w:val="both"/>
              <w:rPr/>
            </w:pPr>
            <w:r>
              <w:rPr/>
              <w:t>- средняя упругость водяных паров, соответствующая абсолютной влажности воздуха на высоте 200 см от водной поверхности, миллибар, принимается по данным метеорологической станции;</w:t>
            </w:r>
          </w:p>
          <w:p>
            <w:pPr>
              <w:pStyle w:val="Normal"/>
              <w:ind w:firstLine="45"/>
              <w:jc w:val="both"/>
              <w:rPr/>
            </w:pPr>
            <w:r>
              <w:rPr/>
            </w:r>
          </w:p>
          <w:p>
            <w:pPr>
              <w:pStyle w:val="Normal"/>
              <w:ind w:firstLine="45"/>
              <w:jc w:val="both"/>
              <w:rPr/>
            </w:pPr>
            <w:r>
              <w:rPr/>
            </w:r>
          </w:p>
        </w:tc>
      </w:tr>
    </w:tbl>
    <w:p>
      <w:pPr>
        <w:pStyle w:val="Normal"/>
        <w:ind w:firstLine="225"/>
        <w:jc w:val="both"/>
        <w:rPr/>
      </w:pPr>
      <w:r>
        <w:rPr/>
      </w:r>
    </w:p>
    <w:p>
      <w:pPr>
        <w:pStyle w:val="Normal"/>
        <w:ind w:firstLine="225"/>
        <w:jc w:val="both"/>
        <w:rPr/>
      </w:pPr>
      <w:r>
        <w:rPr/>
        <w:t>v(200)        - средняя скорость ветра на высоте 200 см, м/с.</w:t>
      </w:r>
    </w:p>
    <w:p>
      <w:pPr>
        <w:pStyle w:val="Normal"/>
        <w:ind w:firstLine="225"/>
        <w:jc w:val="both"/>
        <w:rPr/>
      </w:pPr>
      <w:r>
        <w:rPr/>
      </w:r>
    </w:p>
    <w:p>
      <w:pPr>
        <w:pStyle w:val="Normal"/>
        <w:ind w:firstLine="225"/>
        <w:jc w:val="both"/>
        <w:rPr/>
      </w:pPr>
      <w:r>
        <w:rPr/>
        <w:t>32. Полезную площадь площадок для напуска осадка в летний период следует определять по формуле (10) п. 31, при этом значения Е(г) и А(г) надлежит принимать усредненными за период устойчивого дефицита влажности.</w:t>
      </w:r>
    </w:p>
    <w:p>
      <w:pPr>
        <w:pStyle w:val="Normal"/>
        <w:ind w:firstLine="225"/>
        <w:jc w:val="both"/>
        <w:rPr/>
      </w:pPr>
      <w:r>
        <w:rPr/>
      </w:r>
    </w:p>
    <w:p>
      <w:pPr>
        <w:pStyle w:val="Normal"/>
        <w:ind w:firstLine="225"/>
        <w:jc w:val="both"/>
        <w:rPr/>
      </w:pPr>
      <w:r>
        <w:rPr/>
        <w:t>Время от момента напуска осадка на площадку до начала удаления выделившейся из осадка воды следует принимать 4-5 сут.</w:t>
      </w:r>
    </w:p>
    <w:p>
      <w:pPr>
        <w:pStyle w:val="Normal"/>
        <w:ind w:firstLine="225"/>
        <w:jc w:val="both"/>
        <w:rPr/>
      </w:pPr>
      <w:r>
        <w:rPr/>
      </w:r>
    </w:p>
    <w:p>
      <w:pPr>
        <w:pStyle w:val="Normal"/>
        <w:ind w:firstLine="225"/>
        <w:jc w:val="both"/>
        <w:rPr/>
      </w:pPr>
      <w:r>
        <w:rPr/>
        <w:t>Объем уплотненного осадка летнего напуска надлежит определять по формуле (11) п. 31 аналогично для зимне-весеннего напуска, принимая влажность и плотность осадка по рис. 3-6.</w:t>
      </w:r>
    </w:p>
    <w:p>
      <w:pPr>
        <w:pStyle w:val="Normal"/>
        <w:ind w:firstLine="225"/>
        <w:jc w:val="both"/>
        <w:rPr/>
      </w:pPr>
      <w:r>
        <w:rPr/>
      </w:r>
    </w:p>
    <w:p>
      <w:pPr>
        <w:pStyle w:val="Normal"/>
        <w:ind w:firstLine="225"/>
        <w:jc w:val="both"/>
        <w:rPr/>
      </w:pPr>
      <w:r>
        <w:rPr/>
        <w:t>33. В зависимости от местных условий и размеров площадок подсушивания допускается их секционирование.</w:t>
      </w:r>
    </w:p>
    <w:p>
      <w:pPr>
        <w:pStyle w:val="Normal"/>
        <w:ind w:firstLine="225"/>
        <w:jc w:val="both"/>
        <w:rPr/>
      </w:pPr>
      <w:r>
        <w:rPr/>
      </w:r>
    </w:p>
    <w:p>
      <w:pPr>
        <w:pStyle w:val="Normal"/>
        <w:ind w:firstLine="225"/>
        <w:jc w:val="both"/>
        <w:rPr/>
      </w:pPr>
      <w:r>
        <w:rPr/>
        <w:t>Устройства для напуска осадка следует проектировать согласно п. 27.</w:t>
      </w:r>
    </w:p>
    <w:p>
      <w:pPr>
        <w:pStyle w:val="Normal"/>
        <w:ind w:firstLine="225"/>
        <w:jc w:val="both"/>
        <w:rPr/>
      </w:pPr>
      <w:r>
        <w:rPr/>
      </w:r>
    </w:p>
    <w:p>
      <w:pPr>
        <w:pStyle w:val="Normal"/>
        <w:ind w:firstLine="225"/>
        <w:jc w:val="both"/>
        <w:rPr/>
      </w:pPr>
      <w:r>
        <w:rPr/>
        <w:t>34. Строительную высоту оградительных валиков площадок подсушивания следует определять по формуле (8) п. 29.</w:t>
      </w:r>
    </w:p>
    <w:p>
      <w:pPr>
        <w:pStyle w:val="Normal"/>
        <w:ind w:firstLine="225"/>
        <w:jc w:val="both"/>
        <w:rPr/>
      </w:pPr>
      <w:r>
        <w:rPr/>
      </w:r>
    </w:p>
    <w:p>
      <w:pPr>
        <w:pStyle w:val="Normal"/>
        <w:ind w:firstLine="225"/>
        <w:jc w:val="both"/>
        <w:rPr/>
      </w:pPr>
      <w:r>
        <w:rPr/>
      </w:r>
    </w:p>
    <w:p>
      <w:pPr>
        <w:pStyle w:val="Normal"/>
        <w:jc w:val="end"/>
        <w:rPr/>
      </w:pPr>
      <w:r>
        <w:rPr/>
        <w:t xml:space="preserve">Приложение 10 </w:t>
      </w:r>
    </w:p>
    <w:p>
      <w:pPr>
        <w:pStyle w:val="Normal"/>
        <w:jc w:val="end"/>
        <w:rPr/>
      </w:pPr>
      <w:r>
        <w:rPr/>
        <w:t xml:space="preserve">Обязательное </w:t>
      </w:r>
    </w:p>
    <w:p>
      <w:pPr>
        <w:pStyle w:val="Normal"/>
        <w:ind w:firstLine="270"/>
        <w:jc w:val="both"/>
        <w:rPr/>
      </w:pPr>
      <w:r>
        <w:rPr/>
      </w:r>
    </w:p>
    <w:p>
      <w:pPr>
        <w:pStyle w:val="Heading"/>
        <w:jc w:val="center"/>
        <w:rPr/>
      </w:pPr>
      <w:r>
        <w:rPr/>
      </w:r>
    </w:p>
    <w:p>
      <w:pPr>
        <w:pStyle w:val="Heading"/>
        <w:jc w:val="center"/>
        <w:rPr/>
      </w:pPr>
      <w:r>
        <w:rPr/>
        <w:t xml:space="preserve">ГИДРАВЛИЧЕСКИЙ РАСЧЕТ ТРУБОПРОВОДОВ </w:t>
      </w:r>
    </w:p>
    <w:p>
      <w:pPr>
        <w:pStyle w:val="Normal"/>
        <w:ind w:firstLine="270"/>
        <w:jc w:val="both"/>
        <w:rPr/>
      </w:pPr>
      <w:r>
        <w:rPr/>
      </w:r>
    </w:p>
    <w:p>
      <w:pPr>
        <w:pStyle w:val="Normal"/>
        <w:ind w:firstLine="270"/>
        <w:jc w:val="both"/>
        <w:rPr/>
      </w:pPr>
      <w:r>
        <w:rPr/>
      </w:r>
    </w:p>
    <w:p>
      <w:pPr>
        <w:pStyle w:val="Normal"/>
        <w:ind w:firstLine="225"/>
        <w:jc w:val="both"/>
        <w:rPr/>
      </w:pPr>
      <w:r>
        <w:rPr/>
        <w:t>1. Потери напора в трубопроводах систем подачи и распределения воды вызываются гидравлическим сопротивлением труб и стыковых соединений, а также арматуры и соединительных частей.</w:t>
      </w:r>
    </w:p>
    <w:p>
      <w:pPr>
        <w:pStyle w:val="Normal"/>
        <w:ind w:firstLine="225"/>
        <w:jc w:val="both"/>
        <w:rPr/>
      </w:pPr>
      <w:r>
        <w:rPr/>
      </w:r>
    </w:p>
    <w:p>
      <w:pPr>
        <w:pStyle w:val="Normal"/>
        <w:ind w:firstLine="225"/>
        <w:jc w:val="both"/>
        <w:rPr/>
      </w:pPr>
      <w:r>
        <w:rPr/>
        <w:t>2. Потери напора на единицу длины трубопровода ("гидравлический уклон") i с учетом гидравлического сопротивления стыковых соединений следует определять по формуле</w:t>
      </w:r>
    </w:p>
    <w:p>
      <w:pPr>
        <w:pStyle w:val="Normal"/>
        <w:ind w:firstLine="225"/>
        <w:jc w:val="both"/>
        <w:rPr/>
      </w:pPr>
      <w:r>
        <w:rPr/>
      </w:r>
    </w:p>
    <w:p>
      <w:pPr>
        <w:pStyle w:val="Normal"/>
        <w:ind w:firstLine="225"/>
        <w:jc w:val="both"/>
        <w:rPr/>
      </w:pPr>
      <w:r>
        <w:rPr/>
      </w:r>
    </w:p>
    <w:p>
      <w:pPr>
        <w:pStyle w:val="Normal"/>
        <w:ind w:firstLine="225"/>
        <w:jc w:val="both"/>
        <w:rPr/>
      </w:pPr>
      <w:r>
        <w:rPr/>
      </w:r>
    </w:p>
    <w:p>
      <w:pPr>
        <w:pStyle w:val="Normal"/>
        <w:ind w:firstLine="225"/>
        <w:jc w:val="both"/>
        <w:rPr/>
      </w:pPr>
      <w:r>
        <w:rPr/>
        <w:drawing>
          <wp:inline distT="0" distB="0" distL="0" distR="0">
            <wp:extent cx="4170045" cy="207645"/>
            <wp:effectExtent l="0" t="0" r="0" b="0"/>
            <wp:docPr id="375" name="Изображение3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Изображение375" descr="" title=""/>
                    <pic:cNvPicPr>
                      <a:picLocks noChangeAspect="1" noChangeArrowheads="1"/>
                    </pic:cNvPicPr>
                  </pic:nvPicPr>
                  <pic:blipFill>
                    <a:blip r:embed="rId376"/>
                    <a:stretch>
                      <a:fillRect/>
                    </a:stretch>
                  </pic:blipFill>
                  <pic:spPr bwMode="auto">
                    <a:xfrm>
                      <a:off x="0" y="0"/>
                      <a:ext cx="4170045" cy="207645"/>
                    </a:xfrm>
                    <a:prstGeom prst="rect">
                      <a:avLst/>
                    </a:prstGeom>
                  </pic:spPr>
                </pic:pic>
              </a:graphicData>
            </a:graphic>
          </wp:inline>
        </w:drawing>
      </w:r>
      <w:r>
        <w:rPr/>
        <w:tab/>
        <w:t xml:space="preserve">      </w:t>
      </w:r>
    </w:p>
    <w:p>
      <w:pPr>
        <w:pStyle w:val="Normal"/>
        <w:ind w:firstLine="90"/>
        <w:jc w:val="both"/>
        <w:rPr/>
      </w:pPr>
      <w:r>
        <w:rPr/>
      </w:r>
    </w:p>
    <w:tbl>
      <w:tblPr>
        <w:tblW w:w="8085" w:type="dxa"/>
        <w:jc w:val="start"/>
        <w:tblInd w:w="165" w:type="dxa"/>
        <w:tblBorders/>
        <w:tblCellMar>
          <w:top w:w="0" w:type="dxa"/>
          <w:start w:w="15" w:type="dxa"/>
          <w:bottom w:w="0" w:type="dxa"/>
          <w:end w:w="15" w:type="dxa"/>
        </w:tblCellMar>
      </w:tblPr>
      <w:tblGrid>
        <w:gridCol w:w="435"/>
        <w:gridCol w:w="525"/>
        <w:gridCol w:w="7125"/>
      </w:tblGrid>
      <w:tr>
        <w:trPr/>
        <w:tc>
          <w:tcPr>
            <w:tcW w:w="435" w:type="dxa"/>
            <w:tcBorders/>
            <w:shd w:fill="auto" w:val="clear"/>
          </w:tcPr>
          <w:p>
            <w:pPr>
              <w:pStyle w:val="Normal"/>
              <w:rPr/>
            </w:pPr>
            <w:r>
              <w:rPr>
                <w:vanish/>
              </w:rPr>
              <w:t>#G0</w:t>
            </w:r>
            <w:r>
              <w:rPr/>
              <w:t xml:space="preserve">     где </w:t>
            </w:r>
          </w:p>
          <w:p>
            <w:pPr>
              <w:pStyle w:val="Normal"/>
              <w:rPr/>
            </w:pPr>
            <w:r>
              <w:rPr/>
            </w:r>
          </w:p>
        </w:tc>
        <w:tc>
          <w:tcPr>
            <w:tcW w:w="525" w:type="dxa"/>
            <w:tcBorders/>
            <w:shd w:fill="auto" w:val="clear"/>
          </w:tcPr>
          <w:p>
            <w:pPr>
              <w:pStyle w:val="Normal"/>
              <w:rPr/>
            </w:pPr>
            <w:r>
              <w:rPr/>
              <w:t xml:space="preserve">  </w:t>
            </w:r>
          </w:p>
          <w:p>
            <w:pPr>
              <w:pStyle w:val="Normal"/>
              <w:rPr/>
            </w:pPr>
            <w:r>
              <w:rPr/>
              <w:drawing>
                <wp:inline distT="0" distB="0" distL="0" distR="0">
                  <wp:extent cx="127000" cy="161290"/>
                  <wp:effectExtent l="0" t="0" r="0" b="0"/>
                  <wp:docPr id="376" name="Изображение3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Изображение376" descr="" title=""/>
                          <pic:cNvPicPr>
                            <a:picLocks noChangeAspect="1" noChangeArrowheads="1"/>
                          </pic:cNvPicPr>
                        </pic:nvPicPr>
                        <pic:blipFill>
                          <a:blip r:embed="rId377"/>
                          <a:stretch>
                            <a:fillRect/>
                          </a:stretch>
                        </pic:blipFill>
                        <pic:spPr bwMode="auto">
                          <a:xfrm>
                            <a:off x="0" y="0"/>
                            <a:ext cx="127000" cy="161290"/>
                          </a:xfrm>
                          <a:prstGeom prst="rect">
                            <a:avLst/>
                          </a:prstGeom>
                        </pic:spPr>
                      </pic:pic>
                    </a:graphicData>
                  </a:graphic>
                </wp:inline>
              </w:drawing>
            </w:r>
          </w:p>
        </w:tc>
        <w:tc>
          <w:tcPr>
            <w:tcW w:w="7125" w:type="dxa"/>
            <w:tcBorders/>
            <w:shd w:fill="auto" w:val="clear"/>
          </w:tcPr>
          <w:p>
            <w:pPr>
              <w:pStyle w:val="Normal"/>
              <w:rPr/>
            </w:pPr>
            <w:r>
              <w:rPr/>
              <w:t xml:space="preserve"> </w:t>
            </w:r>
          </w:p>
          <w:p>
            <w:pPr>
              <w:pStyle w:val="Normal"/>
              <w:rPr/>
            </w:pPr>
            <w:r>
              <w:rPr/>
              <w:t xml:space="preserve"> </w:t>
            </w:r>
            <w:r>
              <w:rPr/>
              <w:t xml:space="preserve">- коэффициент гидравлического сопротивления, определяемый по формуле (2) </w:t>
            </w:r>
          </w:p>
          <w:p>
            <w:pPr>
              <w:pStyle w:val="Normal"/>
              <w:rPr/>
            </w:pPr>
            <w:r>
              <w:rPr/>
            </w:r>
          </w:p>
        </w:tc>
      </w:tr>
    </w:tbl>
    <w:p>
      <w:pPr>
        <w:pStyle w:val="Normal"/>
        <w:jc w:val="both"/>
        <w:rPr/>
      </w:pPr>
      <w:r>
        <w:rPr/>
        <w:tab/>
        <w:t xml:space="preserve">      </w:t>
      </w:r>
    </w:p>
    <w:p>
      <w:pPr>
        <w:pStyle w:val="Normal"/>
        <w:ind w:firstLine="225"/>
        <w:jc w:val="both"/>
        <w:rPr/>
      </w:pPr>
      <w:r>
        <w:rPr/>
      </w:r>
    </w:p>
    <w:p>
      <w:pPr>
        <w:pStyle w:val="Normal"/>
        <w:ind w:firstLine="225"/>
        <w:jc w:val="both"/>
        <w:rPr/>
      </w:pPr>
      <w:r>
        <w:rPr/>
        <w:drawing>
          <wp:inline distT="0" distB="0" distL="0" distR="0">
            <wp:extent cx="4250690" cy="207645"/>
            <wp:effectExtent l="0" t="0" r="0" b="0"/>
            <wp:docPr id="377" name="Изображение3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Изображение377" descr="" title=""/>
                    <pic:cNvPicPr>
                      <a:picLocks noChangeAspect="1" noChangeArrowheads="1"/>
                    </pic:cNvPicPr>
                  </pic:nvPicPr>
                  <pic:blipFill>
                    <a:blip r:embed="rId378"/>
                    <a:stretch>
                      <a:fillRect/>
                    </a:stretch>
                  </pic:blipFill>
                  <pic:spPr bwMode="auto">
                    <a:xfrm>
                      <a:off x="0" y="0"/>
                      <a:ext cx="4250690" cy="207645"/>
                    </a:xfrm>
                    <a:prstGeom prst="rect">
                      <a:avLst/>
                    </a:prstGeom>
                  </pic:spPr>
                </pic:pic>
              </a:graphicData>
            </a:graphic>
          </wp:inline>
        </w:drawing>
      </w:r>
    </w:p>
    <w:p>
      <w:pPr>
        <w:pStyle w:val="Normal"/>
        <w:ind w:firstLine="225"/>
        <w:jc w:val="both"/>
        <w:rPr/>
      </w:pPr>
      <w:r>
        <w:rPr/>
        <w:t xml:space="preserve">где d - внутренний диаметр труб, м; </w:t>
      </w:r>
    </w:p>
    <w:p>
      <w:pPr>
        <w:pStyle w:val="Normal"/>
        <w:ind w:firstLine="225"/>
        <w:jc w:val="both"/>
        <w:rPr/>
      </w:pPr>
      <w:r>
        <w:rPr/>
      </w:r>
    </w:p>
    <w:p>
      <w:pPr>
        <w:pStyle w:val="Normal"/>
        <w:ind w:firstLine="225"/>
        <w:jc w:val="both"/>
        <w:rPr/>
      </w:pPr>
      <w:r>
        <w:rPr/>
        <w:t xml:space="preserve">v - средняя по сечению скорость движения воды, м/с; </w:t>
      </w:r>
    </w:p>
    <w:p>
      <w:pPr>
        <w:pStyle w:val="Normal"/>
        <w:ind w:firstLine="225"/>
        <w:jc w:val="both"/>
        <w:rPr/>
      </w:pPr>
      <w:r>
        <w:rPr/>
      </w:r>
    </w:p>
    <w:p>
      <w:pPr>
        <w:pStyle w:val="Normal"/>
        <w:ind w:firstLine="225"/>
        <w:jc w:val="both"/>
        <w:rPr/>
      </w:pPr>
      <w:r>
        <w:rPr/>
        <w:t xml:space="preserve">g -  ускорение силы тяжести, м/кв.с;     </w:t>
      </w:r>
    </w:p>
    <w:tbl>
      <w:tblPr>
        <w:tblW w:w="5790" w:type="dxa"/>
        <w:jc w:val="start"/>
        <w:tblInd w:w="165" w:type="dxa"/>
        <w:tblBorders/>
        <w:tblCellMar>
          <w:top w:w="0" w:type="dxa"/>
          <w:start w:w="15" w:type="dxa"/>
          <w:bottom w:w="0" w:type="dxa"/>
          <w:end w:w="15" w:type="dxa"/>
        </w:tblCellMar>
      </w:tblPr>
      <w:tblGrid>
        <w:gridCol w:w="1530"/>
        <w:gridCol w:w="1890"/>
        <w:gridCol w:w="2370"/>
      </w:tblGrid>
      <w:tr>
        <w:trPr/>
        <w:tc>
          <w:tcPr>
            <w:tcW w:w="1530" w:type="dxa"/>
            <w:tcBorders/>
            <w:shd w:fill="auto" w:val="clear"/>
          </w:tcPr>
          <w:p>
            <w:pPr>
              <w:pStyle w:val="Normal"/>
              <w:rPr/>
            </w:pPr>
            <w:r>
              <w:rPr>
                <w:vanish/>
              </w:rPr>
              <w:t>#G0</w:t>
            </w:r>
            <w:r>
              <w:rPr/>
              <w:t xml:space="preserve">  </w:t>
            </w:r>
          </w:p>
          <w:p>
            <w:pPr>
              <w:pStyle w:val="Normal"/>
              <w:rPr/>
            </w:pPr>
            <w:r>
              <w:rPr/>
              <w:drawing>
                <wp:inline distT="0" distB="0" distL="0" distR="0">
                  <wp:extent cx="668020" cy="161290"/>
                  <wp:effectExtent l="0" t="0" r="0" b="0"/>
                  <wp:docPr id="378" name="Изображение3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Изображение378" descr="" title=""/>
                          <pic:cNvPicPr>
                            <a:picLocks noChangeAspect="1" noChangeArrowheads="1"/>
                          </pic:cNvPicPr>
                        </pic:nvPicPr>
                        <pic:blipFill>
                          <a:blip r:embed="rId379"/>
                          <a:stretch>
                            <a:fillRect/>
                          </a:stretch>
                        </pic:blipFill>
                        <pic:spPr bwMode="auto">
                          <a:xfrm>
                            <a:off x="0" y="0"/>
                            <a:ext cx="668020" cy="161290"/>
                          </a:xfrm>
                          <a:prstGeom prst="rect">
                            <a:avLst/>
                          </a:prstGeom>
                        </pic:spPr>
                      </pic:pic>
                    </a:graphicData>
                  </a:graphic>
                </wp:inline>
              </w:drawing>
            </w:r>
          </w:p>
        </w:tc>
        <w:tc>
          <w:tcPr>
            <w:tcW w:w="1890" w:type="dxa"/>
            <w:tcBorders/>
            <w:shd w:fill="auto" w:val="clear"/>
          </w:tcPr>
          <w:p>
            <w:pPr>
              <w:pStyle w:val="Normal"/>
              <w:rPr/>
            </w:pPr>
            <w:r>
              <w:rPr/>
              <w:t xml:space="preserve">  </w:t>
            </w:r>
          </w:p>
          <w:p>
            <w:pPr>
              <w:pStyle w:val="Normal"/>
              <w:jc w:val="both"/>
              <w:rPr/>
            </w:pPr>
            <w:r>
              <w:rPr/>
              <w:t xml:space="preserve">- число Рейнольдса; </w:t>
            </w:r>
          </w:p>
          <w:p>
            <w:pPr>
              <w:pStyle w:val="Normal"/>
              <w:jc w:val="both"/>
              <w:rPr/>
            </w:pPr>
            <w:r>
              <w:rPr/>
            </w:r>
          </w:p>
        </w:tc>
        <w:tc>
          <w:tcPr>
            <w:tcW w:w="2370" w:type="dxa"/>
            <w:tcBorders/>
            <w:shd w:fill="auto" w:val="clear"/>
          </w:tcPr>
          <w:p>
            <w:pPr>
              <w:pStyle w:val="Normal"/>
              <w:rPr/>
            </w:pPr>
            <w:r>
              <w:rPr/>
              <w:t xml:space="preserve">  </w:t>
            </w:r>
          </w:p>
          <w:p>
            <w:pPr>
              <w:pStyle w:val="Normal"/>
              <w:rPr/>
            </w:pPr>
            <w:r>
              <w:rPr/>
              <w:drawing>
                <wp:inline distT="0" distB="0" distL="0" distR="0">
                  <wp:extent cx="864235" cy="184150"/>
                  <wp:effectExtent l="0" t="0" r="0" b="0"/>
                  <wp:docPr id="379" name="Изображение3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Изображение379" descr="" title=""/>
                          <pic:cNvPicPr>
                            <a:picLocks noChangeAspect="1" noChangeArrowheads="1"/>
                          </pic:cNvPicPr>
                        </pic:nvPicPr>
                        <pic:blipFill>
                          <a:blip r:embed="rId380"/>
                          <a:stretch>
                            <a:fillRect/>
                          </a:stretch>
                        </pic:blipFill>
                        <pic:spPr bwMode="auto">
                          <a:xfrm>
                            <a:off x="0" y="0"/>
                            <a:ext cx="864235" cy="184150"/>
                          </a:xfrm>
                          <a:prstGeom prst="rect">
                            <a:avLst/>
                          </a:prstGeom>
                        </pic:spPr>
                      </pic:pic>
                    </a:graphicData>
                  </a:graphic>
                </wp:inline>
              </w:drawing>
            </w:r>
          </w:p>
        </w:tc>
      </w:tr>
    </w:tbl>
    <w:p>
      <w:pPr>
        <w:pStyle w:val="Normal"/>
        <w:ind w:firstLine="180"/>
        <w:jc w:val="both"/>
        <w:rPr/>
      </w:pPr>
      <w:r>
        <w:rPr/>
      </w:r>
    </w:p>
    <w:tbl>
      <w:tblPr>
        <w:tblW w:w="7665" w:type="dxa"/>
        <w:jc w:val="start"/>
        <w:tblInd w:w="165" w:type="dxa"/>
        <w:tblBorders/>
        <w:tblCellMar>
          <w:top w:w="0" w:type="dxa"/>
          <w:start w:w="15" w:type="dxa"/>
          <w:bottom w:w="0" w:type="dxa"/>
          <w:end w:w="15" w:type="dxa"/>
        </w:tblCellMar>
      </w:tblPr>
      <w:tblGrid>
        <w:gridCol w:w="450"/>
        <w:gridCol w:w="7215"/>
      </w:tblGrid>
      <w:tr>
        <w:trPr/>
        <w:tc>
          <w:tcPr>
            <w:tcW w:w="450" w:type="dxa"/>
            <w:tcBorders/>
            <w:shd w:fill="auto" w:val="clear"/>
          </w:tcPr>
          <w:p>
            <w:pPr>
              <w:pStyle w:val="Normal"/>
              <w:rPr/>
            </w:pPr>
            <w:r>
              <w:rPr>
                <w:vanish/>
              </w:rPr>
              <w:t>#G0</w:t>
            </w:r>
            <w:r>
              <w:rPr/>
              <w:t xml:space="preserve">  </w:t>
            </w:r>
          </w:p>
          <w:p>
            <w:pPr>
              <w:pStyle w:val="Normal"/>
              <w:rPr/>
            </w:pPr>
            <w:r>
              <w:rPr/>
              <w:drawing>
                <wp:inline distT="0" distB="0" distL="0" distR="0">
                  <wp:extent cx="114935" cy="138430"/>
                  <wp:effectExtent l="0" t="0" r="0" b="0"/>
                  <wp:docPr id="380" name="Изображение3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Изображение380" descr="" title=""/>
                          <pic:cNvPicPr>
                            <a:picLocks noChangeAspect="1" noChangeArrowheads="1"/>
                          </pic:cNvPicPr>
                        </pic:nvPicPr>
                        <pic:blipFill>
                          <a:blip r:embed="rId381"/>
                          <a:stretch>
                            <a:fillRect/>
                          </a:stretch>
                        </pic:blipFill>
                        <pic:spPr bwMode="auto">
                          <a:xfrm>
                            <a:off x="0" y="0"/>
                            <a:ext cx="114935" cy="138430"/>
                          </a:xfrm>
                          <a:prstGeom prst="rect">
                            <a:avLst/>
                          </a:prstGeom>
                        </pic:spPr>
                      </pic:pic>
                    </a:graphicData>
                  </a:graphic>
                </wp:inline>
              </w:drawing>
            </w:r>
          </w:p>
        </w:tc>
        <w:tc>
          <w:tcPr>
            <w:tcW w:w="7215" w:type="dxa"/>
            <w:tcBorders/>
            <w:shd w:fill="auto" w:val="clear"/>
          </w:tcPr>
          <w:p>
            <w:pPr>
              <w:pStyle w:val="Normal"/>
              <w:snapToGrid w:val="false"/>
              <w:jc w:val="both"/>
              <w:rPr/>
            </w:pPr>
            <w:r>
              <w:rPr/>
            </w:r>
          </w:p>
          <w:p>
            <w:pPr>
              <w:pStyle w:val="Normal"/>
              <w:ind w:firstLine="45"/>
              <w:jc w:val="both"/>
              <w:rPr/>
            </w:pPr>
            <w:r>
              <w:rPr/>
              <w:t xml:space="preserve">- кинематический коэффициент вязкости транспортируемой жидкости, кв.м/с. </w:t>
            </w:r>
          </w:p>
          <w:p>
            <w:pPr>
              <w:pStyle w:val="Normal"/>
              <w:rPr/>
            </w:pPr>
            <w:r>
              <w:rPr/>
              <w:t xml:space="preserve">  </w:t>
            </w:r>
          </w:p>
          <w:p>
            <w:pPr>
              <w:pStyle w:val="Normal"/>
              <w:rPr/>
            </w:pPr>
            <w:r>
              <w:rPr/>
            </w:r>
          </w:p>
        </w:tc>
      </w:tr>
    </w:tbl>
    <w:p>
      <w:pPr>
        <w:pStyle w:val="Normal"/>
        <w:jc w:val="both"/>
        <w:rPr/>
      </w:pPr>
      <w:r>
        <w:rPr/>
      </w:r>
    </w:p>
    <w:p>
      <w:pPr>
        <w:pStyle w:val="Normal"/>
        <w:ind w:firstLine="225"/>
        <w:jc w:val="both"/>
        <w:rPr/>
      </w:pPr>
      <w:r>
        <w:rPr/>
        <w:t xml:space="preserve">Значения показателя степени m и коэффициентов А(0), А(1) и С для стальных, чугунных, железобетонных, асбестоцементных, пластмассовых и стеклянных труб должны приниматься, как правило, согласно табл. 1. </w:t>
      </w:r>
    </w:p>
    <w:p>
      <w:pPr>
        <w:pStyle w:val="Normal"/>
        <w:ind w:firstLine="225"/>
        <w:jc w:val="both"/>
        <w:rPr/>
      </w:pPr>
      <w:r>
        <w:rPr/>
      </w:r>
    </w:p>
    <w:p>
      <w:pPr>
        <w:pStyle w:val="Normal"/>
        <w:jc w:val="end"/>
        <w:rPr/>
      </w:pPr>
      <w:r>
        <w:rPr/>
        <w:t>Таблица 1</w:t>
      </w:r>
    </w:p>
    <w:p>
      <w:pPr>
        <w:pStyle w:val="Normal"/>
        <w:jc w:val="end"/>
        <w:rPr/>
      </w:pPr>
      <w:r>
        <w:rPr/>
      </w:r>
    </w:p>
    <w:p>
      <w:pPr>
        <w:pStyle w:val="Normal"/>
        <w:jc w:val="end"/>
        <w:rPr/>
      </w:pPr>
      <w:r>
        <w:rPr/>
      </w:r>
    </w:p>
    <w:tbl>
      <w:tblPr>
        <w:tblW w:w="11300" w:type="dxa"/>
        <w:jc w:val="start"/>
        <w:tblInd w:w="105" w:type="dxa"/>
        <w:tblBorders>
          <w:top w:val="single" w:sz="2" w:space="0" w:color="000000"/>
          <w:start w:val="single" w:sz="2" w:space="0" w:color="000000"/>
          <w:bottom w:val="single" w:sz="2" w:space="0" w:color="000000"/>
          <w:insideH w:val="single" w:sz="2" w:space="0" w:color="000000"/>
        </w:tblBorders>
        <w:tblCellMar>
          <w:top w:w="0" w:type="dxa"/>
          <w:start w:w="102" w:type="dxa"/>
          <w:bottom w:w="0" w:type="dxa"/>
          <w:end w:w="105" w:type="dxa"/>
        </w:tblCellMar>
      </w:tblPr>
      <w:tblGrid>
        <w:gridCol w:w="510"/>
        <w:gridCol w:w="4530"/>
        <w:gridCol w:w="1875"/>
        <w:gridCol w:w="705"/>
        <w:gridCol w:w="15"/>
        <w:gridCol w:w="525"/>
        <w:gridCol w:w="1065"/>
        <w:gridCol w:w="1395"/>
        <w:gridCol w:w="680"/>
      </w:tblGrid>
      <w:tr>
        <w:trPr/>
        <w:tc>
          <w:tcPr>
            <w:tcW w:w="510"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vanish/>
              </w:rPr>
              <w:t>#G0</w:t>
            </w:r>
            <w:r>
              <w:rPr/>
              <w:t>№</w:t>
            </w:r>
          </w:p>
          <w:p>
            <w:pPr>
              <w:pStyle w:val="Normal"/>
              <w:jc w:val="center"/>
              <w:rPr/>
            </w:pPr>
            <w:r>
              <w:rPr/>
              <w:t>п.п.</w:t>
            </w:r>
          </w:p>
          <w:p>
            <w:pPr>
              <w:pStyle w:val="Normal"/>
              <w:jc w:val="center"/>
              <w:rPr/>
            </w:pPr>
            <w:r>
              <w:rPr/>
            </w:r>
          </w:p>
        </w:tc>
        <w:tc>
          <w:tcPr>
            <w:tcW w:w="6405"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Вид труб </w:t>
            </w:r>
          </w:p>
          <w:p>
            <w:pPr>
              <w:pStyle w:val="Normal"/>
              <w:rPr/>
            </w:pPr>
            <w:r>
              <w:rPr/>
            </w:r>
          </w:p>
        </w:tc>
        <w:tc>
          <w:tcPr>
            <w:tcW w:w="70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m </w:t>
            </w:r>
          </w:p>
          <w:p>
            <w:pPr>
              <w:pStyle w:val="Normal"/>
              <w:rPr/>
            </w:pPr>
            <w:r>
              <w:rPr/>
            </w:r>
          </w:p>
        </w:tc>
        <w:tc>
          <w:tcPr>
            <w:tcW w:w="540"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A(0) </w:t>
            </w:r>
          </w:p>
          <w:p>
            <w:pPr>
              <w:pStyle w:val="Normal"/>
              <w:rPr/>
            </w:pPr>
            <w:r>
              <w:rPr/>
            </w:r>
          </w:p>
        </w:tc>
        <w:tc>
          <w:tcPr>
            <w:tcW w:w="106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1000 A(1) </w:t>
            </w:r>
          </w:p>
          <w:p>
            <w:pPr>
              <w:pStyle w:val="Normal"/>
              <w:rPr/>
            </w:pPr>
            <w:r>
              <w:rPr/>
            </w:r>
          </w:p>
        </w:tc>
        <w:tc>
          <w:tcPr>
            <w:tcW w:w="139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1000 (A(1)/2g)</w:t>
            </w:r>
          </w:p>
          <w:p>
            <w:pPr>
              <w:pStyle w:val="Normal"/>
              <w:rPr/>
            </w:pPr>
            <w:r>
              <w:rPr/>
            </w:r>
          </w:p>
        </w:tc>
        <w:tc>
          <w:tcPr>
            <w:tcW w:w="6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С </w:t>
            </w:r>
          </w:p>
          <w:p>
            <w:pPr>
              <w:pStyle w:val="Normal"/>
              <w:rPr/>
            </w:pPr>
            <w:r>
              <w:rPr/>
            </w:r>
          </w:p>
        </w:tc>
      </w:tr>
      <w:tr>
        <w:trPr/>
        <w:tc>
          <w:tcPr>
            <w:tcW w:w="510" w:type="dxa"/>
            <w:tcBorders>
              <w:start w:val="single" w:sz="2" w:space="0" w:color="000000"/>
            </w:tcBorders>
            <w:shd w:fill="auto" w:val="clear"/>
            <w:tcMar>
              <w:start w:w="102" w:type="dxa"/>
            </w:tcMar>
          </w:tcPr>
          <w:p>
            <w:pPr>
              <w:pStyle w:val="Normal"/>
              <w:rPr/>
            </w:pPr>
            <w:r>
              <w:rPr/>
              <w:t xml:space="preserve">1 </w:t>
            </w:r>
          </w:p>
          <w:p>
            <w:pPr>
              <w:pStyle w:val="Normal"/>
              <w:rPr/>
            </w:pPr>
            <w:r>
              <w:rPr/>
            </w:r>
          </w:p>
        </w:tc>
        <w:tc>
          <w:tcPr>
            <w:tcW w:w="6405" w:type="dxa"/>
            <w:gridSpan w:val="2"/>
            <w:tcBorders>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Новые стальные без внутреннего защитного покрытия или с битумным защитным покрытием </w:t>
            </w:r>
          </w:p>
          <w:p>
            <w:pPr>
              <w:pStyle w:val="Normal"/>
              <w:jc w:val="both"/>
              <w:rPr/>
            </w:pPr>
            <w:r>
              <w:rPr/>
            </w:r>
          </w:p>
        </w:tc>
        <w:tc>
          <w:tcPr>
            <w:tcW w:w="70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0,226 </w:t>
            </w:r>
          </w:p>
          <w:p>
            <w:pPr>
              <w:pStyle w:val="Normal"/>
              <w:jc w:val="center"/>
              <w:rPr/>
            </w:pPr>
            <w:r>
              <w:rPr/>
            </w:r>
          </w:p>
        </w:tc>
        <w:tc>
          <w:tcPr>
            <w:tcW w:w="540" w:type="dxa"/>
            <w:gridSpan w:val="2"/>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 </w:t>
            </w:r>
          </w:p>
          <w:p>
            <w:pPr>
              <w:pStyle w:val="Normal"/>
              <w:rPr/>
            </w:pPr>
            <w:r>
              <w:rPr/>
            </w:r>
          </w:p>
        </w:tc>
        <w:tc>
          <w:tcPr>
            <w:tcW w:w="106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15,9 </w:t>
            </w:r>
          </w:p>
          <w:p>
            <w:pPr>
              <w:pStyle w:val="Normal"/>
              <w:rPr/>
            </w:pPr>
            <w:r>
              <w:rPr/>
            </w:r>
          </w:p>
        </w:tc>
        <w:tc>
          <w:tcPr>
            <w:tcW w:w="139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0,810 </w:t>
            </w:r>
          </w:p>
          <w:p>
            <w:pPr>
              <w:pStyle w:val="Normal"/>
              <w:rPr/>
            </w:pPr>
            <w:r>
              <w:rPr/>
            </w:r>
          </w:p>
        </w:tc>
        <w:tc>
          <w:tcPr>
            <w:tcW w:w="68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0,684 </w:t>
            </w:r>
          </w:p>
          <w:p>
            <w:pPr>
              <w:pStyle w:val="Normal"/>
              <w:rPr/>
            </w:pPr>
            <w:r>
              <w:rPr/>
            </w:r>
          </w:p>
        </w:tc>
      </w:tr>
      <w:tr>
        <w:trPr/>
        <w:tc>
          <w:tcPr>
            <w:tcW w:w="510" w:type="dxa"/>
            <w:tcBorders>
              <w:start w:val="single" w:sz="2" w:space="0" w:color="000000"/>
            </w:tcBorders>
            <w:shd w:fill="auto" w:val="clear"/>
            <w:tcMar>
              <w:start w:w="102" w:type="dxa"/>
            </w:tcMar>
          </w:tcPr>
          <w:p>
            <w:pPr>
              <w:pStyle w:val="Normal"/>
              <w:rPr/>
            </w:pPr>
            <w:r>
              <w:rPr/>
              <w:t xml:space="preserve">2 </w:t>
            </w:r>
          </w:p>
          <w:p>
            <w:pPr>
              <w:pStyle w:val="Normal"/>
              <w:rPr/>
            </w:pPr>
            <w:r>
              <w:rPr/>
            </w:r>
          </w:p>
        </w:tc>
        <w:tc>
          <w:tcPr>
            <w:tcW w:w="6405"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Новые чугунные без внутреннего защитного покрытия или с битумным защитным покрытием </w:t>
            </w:r>
          </w:p>
          <w:p>
            <w:pPr>
              <w:pStyle w:val="Normal"/>
              <w:jc w:val="both"/>
              <w:rPr/>
            </w:pPr>
            <w:r>
              <w:rPr/>
            </w:r>
          </w:p>
        </w:tc>
        <w:tc>
          <w:tcPr>
            <w:tcW w:w="70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0,284 </w:t>
            </w:r>
          </w:p>
          <w:p>
            <w:pPr>
              <w:pStyle w:val="Normal"/>
              <w:jc w:val="center"/>
              <w:rPr/>
            </w:pPr>
            <w:r>
              <w:rPr/>
            </w:r>
          </w:p>
        </w:tc>
        <w:tc>
          <w:tcPr>
            <w:tcW w:w="540"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 </w:t>
            </w:r>
          </w:p>
          <w:p>
            <w:pPr>
              <w:pStyle w:val="Normal"/>
              <w:rPr/>
            </w:pPr>
            <w:r>
              <w:rPr/>
            </w:r>
          </w:p>
        </w:tc>
        <w:tc>
          <w:tcPr>
            <w:tcW w:w="106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14,4 </w:t>
            </w:r>
          </w:p>
          <w:p>
            <w:pPr>
              <w:pStyle w:val="Normal"/>
              <w:rPr/>
            </w:pPr>
            <w:r>
              <w:rPr/>
            </w:r>
          </w:p>
        </w:tc>
        <w:tc>
          <w:tcPr>
            <w:tcW w:w="139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0,734 </w:t>
            </w:r>
          </w:p>
          <w:p>
            <w:pPr>
              <w:pStyle w:val="Normal"/>
              <w:rPr/>
            </w:pPr>
            <w:r>
              <w:rPr/>
            </w:r>
          </w:p>
        </w:tc>
        <w:tc>
          <w:tcPr>
            <w:tcW w:w="6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2,360 </w:t>
            </w:r>
          </w:p>
          <w:p>
            <w:pPr>
              <w:pStyle w:val="Normal"/>
              <w:rPr/>
            </w:pPr>
            <w:r>
              <w:rPr/>
            </w:r>
          </w:p>
        </w:tc>
      </w:tr>
      <w:tr>
        <w:trPr/>
        <w:tc>
          <w:tcPr>
            <w:tcW w:w="510" w:type="dxa"/>
            <w:tcBorders>
              <w:start w:val="single" w:sz="2" w:space="0" w:color="000000"/>
            </w:tcBorders>
            <w:shd w:fill="auto" w:val="clear"/>
            <w:tcMar>
              <w:start w:w="102" w:type="dxa"/>
            </w:tcMar>
          </w:tcPr>
          <w:p>
            <w:pPr>
              <w:pStyle w:val="Normal"/>
              <w:rPr/>
            </w:pPr>
            <w:r>
              <w:rPr/>
              <w:t xml:space="preserve">3 </w:t>
            </w:r>
          </w:p>
          <w:p>
            <w:pPr>
              <w:pStyle w:val="Normal"/>
              <w:rPr/>
            </w:pPr>
            <w:r>
              <w:rPr/>
            </w:r>
          </w:p>
        </w:tc>
        <w:tc>
          <w:tcPr>
            <w:tcW w:w="4530" w:type="dxa"/>
            <w:tcBorders>
              <w:start w:val="single" w:sz="2" w:space="0" w:color="000000"/>
            </w:tcBorders>
            <w:shd w:fill="auto" w:val="clear"/>
            <w:tcMar>
              <w:start w:w="102" w:type="dxa"/>
            </w:tcMar>
          </w:tcPr>
          <w:p>
            <w:pPr>
              <w:pStyle w:val="Normal"/>
              <w:jc w:val="both"/>
              <w:rPr/>
            </w:pPr>
            <w:r>
              <w:rPr/>
              <w:t xml:space="preserve">Неновые стальные и неновые чугунные без внутреннего </w:t>
            </w:r>
          </w:p>
          <w:p>
            <w:pPr>
              <w:pStyle w:val="Normal"/>
              <w:jc w:val="both"/>
              <w:rPr/>
            </w:pPr>
            <w:r>
              <w:rPr/>
            </w:r>
          </w:p>
        </w:tc>
        <w:tc>
          <w:tcPr>
            <w:tcW w:w="187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drawing>
                <wp:inline distT="0" distB="0" distL="0" distR="0">
                  <wp:extent cx="714375" cy="172720"/>
                  <wp:effectExtent l="0" t="0" r="0" b="0"/>
                  <wp:docPr id="381" name="Изображение3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Изображение381" descr="" title=""/>
                          <pic:cNvPicPr>
                            <a:picLocks noChangeAspect="1" noChangeArrowheads="1"/>
                          </pic:cNvPicPr>
                        </pic:nvPicPr>
                        <pic:blipFill>
                          <a:blip r:embed="rId382"/>
                          <a:stretch>
                            <a:fillRect/>
                          </a:stretch>
                        </pic:blipFill>
                        <pic:spPr bwMode="auto">
                          <a:xfrm>
                            <a:off x="0" y="0"/>
                            <a:ext cx="714375" cy="172720"/>
                          </a:xfrm>
                          <a:prstGeom prst="rect">
                            <a:avLst/>
                          </a:prstGeom>
                        </pic:spPr>
                      </pic:pic>
                    </a:graphicData>
                  </a:graphic>
                </wp:inline>
              </w:drawing>
            </w:r>
          </w:p>
          <w:p>
            <w:pPr>
              <w:pStyle w:val="Normal"/>
              <w:jc w:val="center"/>
              <w:rPr/>
            </w:pPr>
            <w:r>
              <w:rPr/>
            </w:r>
          </w:p>
        </w:tc>
        <w:tc>
          <w:tcPr>
            <w:tcW w:w="720"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0,30 </w:t>
            </w:r>
          </w:p>
          <w:p>
            <w:pPr>
              <w:pStyle w:val="Normal"/>
              <w:rPr/>
            </w:pPr>
            <w:r>
              <w:rPr/>
            </w:r>
          </w:p>
        </w:tc>
        <w:tc>
          <w:tcPr>
            <w:tcW w:w="52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 </w:t>
            </w:r>
          </w:p>
          <w:p>
            <w:pPr>
              <w:pStyle w:val="Normal"/>
              <w:rPr/>
            </w:pPr>
            <w:r>
              <w:rPr/>
            </w:r>
          </w:p>
        </w:tc>
        <w:tc>
          <w:tcPr>
            <w:tcW w:w="106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17,9 </w:t>
            </w:r>
          </w:p>
          <w:p>
            <w:pPr>
              <w:pStyle w:val="Normal"/>
              <w:rPr/>
            </w:pPr>
            <w:r>
              <w:rPr/>
            </w:r>
          </w:p>
        </w:tc>
        <w:tc>
          <w:tcPr>
            <w:tcW w:w="139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0,912 </w:t>
            </w:r>
          </w:p>
          <w:p>
            <w:pPr>
              <w:pStyle w:val="Normal"/>
              <w:rPr/>
            </w:pPr>
            <w:r>
              <w:rPr/>
            </w:r>
          </w:p>
        </w:tc>
        <w:tc>
          <w:tcPr>
            <w:tcW w:w="6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0,867 </w:t>
            </w:r>
          </w:p>
          <w:p>
            <w:pPr>
              <w:pStyle w:val="Normal"/>
              <w:rPr/>
            </w:pPr>
            <w:r>
              <w:rPr/>
            </w:r>
          </w:p>
        </w:tc>
      </w:tr>
      <w:tr>
        <w:trPr/>
        <w:tc>
          <w:tcPr>
            <w:tcW w:w="510"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4530" w:type="dxa"/>
            <w:tcBorders>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защитного покрытия или с битумным защитным покрытием </w:t>
            </w:r>
          </w:p>
          <w:p>
            <w:pPr>
              <w:pStyle w:val="Normal"/>
              <w:jc w:val="both"/>
              <w:rPr/>
            </w:pPr>
            <w:r>
              <w:rPr/>
            </w:r>
          </w:p>
        </w:tc>
        <w:tc>
          <w:tcPr>
            <w:tcW w:w="187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drawing>
                <wp:inline distT="0" distB="0" distL="0" distR="0">
                  <wp:extent cx="714375" cy="172720"/>
                  <wp:effectExtent l="0" t="0" r="0" b="0"/>
                  <wp:docPr id="382" name="Изображение3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Изображение382" descr="" title=""/>
                          <pic:cNvPicPr>
                            <a:picLocks noChangeAspect="1" noChangeArrowheads="1"/>
                          </pic:cNvPicPr>
                        </pic:nvPicPr>
                        <pic:blipFill>
                          <a:blip r:embed="rId383"/>
                          <a:stretch>
                            <a:fillRect/>
                          </a:stretch>
                        </pic:blipFill>
                        <pic:spPr bwMode="auto">
                          <a:xfrm>
                            <a:off x="0" y="0"/>
                            <a:ext cx="714375" cy="172720"/>
                          </a:xfrm>
                          <a:prstGeom prst="rect">
                            <a:avLst/>
                          </a:prstGeom>
                        </pic:spPr>
                      </pic:pic>
                    </a:graphicData>
                  </a:graphic>
                </wp:inline>
              </w:drawing>
            </w:r>
          </w:p>
          <w:p>
            <w:pPr>
              <w:pStyle w:val="Normal"/>
              <w:jc w:val="center"/>
              <w:rPr/>
            </w:pPr>
            <w:r>
              <w:rPr/>
            </w:r>
          </w:p>
        </w:tc>
        <w:tc>
          <w:tcPr>
            <w:tcW w:w="720"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0,30 </w:t>
            </w:r>
          </w:p>
          <w:p>
            <w:pPr>
              <w:pStyle w:val="Normal"/>
              <w:rPr/>
            </w:pPr>
            <w:r>
              <w:rPr/>
            </w:r>
          </w:p>
        </w:tc>
        <w:tc>
          <w:tcPr>
            <w:tcW w:w="52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 </w:t>
            </w:r>
          </w:p>
          <w:p>
            <w:pPr>
              <w:pStyle w:val="Normal"/>
              <w:rPr/>
            </w:pPr>
            <w:r>
              <w:rPr/>
            </w:r>
          </w:p>
        </w:tc>
        <w:tc>
          <w:tcPr>
            <w:tcW w:w="106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21,0 </w:t>
            </w:r>
          </w:p>
          <w:p>
            <w:pPr>
              <w:pStyle w:val="Normal"/>
              <w:rPr/>
            </w:pPr>
            <w:r>
              <w:rPr/>
            </w:r>
          </w:p>
        </w:tc>
        <w:tc>
          <w:tcPr>
            <w:tcW w:w="139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1,070 </w:t>
            </w:r>
          </w:p>
          <w:p>
            <w:pPr>
              <w:pStyle w:val="Normal"/>
              <w:rPr/>
            </w:pPr>
            <w:r>
              <w:rPr/>
            </w:r>
          </w:p>
        </w:tc>
        <w:tc>
          <w:tcPr>
            <w:tcW w:w="6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0 </w:t>
            </w:r>
          </w:p>
          <w:p>
            <w:pPr>
              <w:pStyle w:val="Normal"/>
              <w:rPr/>
            </w:pPr>
            <w:r>
              <w:rPr/>
            </w:r>
          </w:p>
        </w:tc>
      </w:tr>
      <w:tr>
        <w:trPr/>
        <w:tc>
          <w:tcPr>
            <w:tcW w:w="510" w:type="dxa"/>
            <w:tcBorders>
              <w:start w:val="single" w:sz="2" w:space="0" w:color="000000"/>
            </w:tcBorders>
            <w:shd w:fill="auto" w:val="clear"/>
            <w:tcMar>
              <w:start w:w="102" w:type="dxa"/>
            </w:tcMar>
          </w:tcPr>
          <w:p>
            <w:pPr>
              <w:pStyle w:val="Normal"/>
              <w:rPr/>
            </w:pPr>
            <w:r>
              <w:rPr/>
              <w:t xml:space="preserve">4 </w:t>
            </w:r>
          </w:p>
          <w:p>
            <w:pPr>
              <w:pStyle w:val="Normal"/>
              <w:rPr/>
            </w:pPr>
            <w:r>
              <w:rPr/>
            </w:r>
          </w:p>
        </w:tc>
        <w:tc>
          <w:tcPr>
            <w:tcW w:w="6405" w:type="dxa"/>
            <w:gridSpan w:val="2"/>
            <w:tcBorders>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Асбестоцементные </w:t>
            </w:r>
          </w:p>
          <w:p>
            <w:pPr>
              <w:pStyle w:val="Normal"/>
              <w:jc w:val="both"/>
              <w:rPr/>
            </w:pPr>
            <w:r>
              <w:rPr/>
            </w:r>
          </w:p>
        </w:tc>
        <w:tc>
          <w:tcPr>
            <w:tcW w:w="70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0,19 </w:t>
            </w:r>
          </w:p>
          <w:p>
            <w:pPr>
              <w:pStyle w:val="Normal"/>
              <w:jc w:val="center"/>
              <w:rPr/>
            </w:pPr>
            <w:r>
              <w:rPr/>
            </w:r>
          </w:p>
        </w:tc>
        <w:tc>
          <w:tcPr>
            <w:tcW w:w="540"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 </w:t>
            </w:r>
          </w:p>
          <w:p>
            <w:pPr>
              <w:pStyle w:val="Normal"/>
              <w:rPr/>
            </w:pPr>
            <w:r>
              <w:rPr/>
            </w:r>
          </w:p>
        </w:tc>
        <w:tc>
          <w:tcPr>
            <w:tcW w:w="106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11,0 </w:t>
            </w:r>
          </w:p>
          <w:p>
            <w:pPr>
              <w:pStyle w:val="Normal"/>
              <w:rPr/>
            </w:pPr>
            <w:r>
              <w:rPr/>
            </w:r>
          </w:p>
        </w:tc>
        <w:tc>
          <w:tcPr>
            <w:tcW w:w="139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0,561 </w:t>
            </w:r>
          </w:p>
          <w:p>
            <w:pPr>
              <w:pStyle w:val="Normal"/>
              <w:rPr/>
            </w:pPr>
            <w:r>
              <w:rPr/>
            </w:r>
          </w:p>
        </w:tc>
        <w:tc>
          <w:tcPr>
            <w:tcW w:w="6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3,51 </w:t>
            </w:r>
          </w:p>
          <w:p>
            <w:pPr>
              <w:pStyle w:val="Normal"/>
              <w:rPr/>
            </w:pPr>
            <w:r>
              <w:rPr/>
            </w:r>
          </w:p>
        </w:tc>
      </w:tr>
      <w:tr>
        <w:trPr/>
        <w:tc>
          <w:tcPr>
            <w:tcW w:w="510" w:type="dxa"/>
            <w:tcBorders>
              <w:start w:val="single" w:sz="2" w:space="0" w:color="000000"/>
            </w:tcBorders>
            <w:shd w:fill="auto" w:val="clear"/>
            <w:tcMar>
              <w:start w:w="102" w:type="dxa"/>
            </w:tcMar>
          </w:tcPr>
          <w:p>
            <w:pPr>
              <w:pStyle w:val="Normal"/>
              <w:rPr/>
            </w:pPr>
            <w:r>
              <w:rPr/>
              <w:t xml:space="preserve">5 </w:t>
            </w:r>
          </w:p>
          <w:p>
            <w:pPr>
              <w:pStyle w:val="Normal"/>
              <w:rPr/>
            </w:pPr>
            <w:r>
              <w:rPr/>
            </w:r>
          </w:p>
        </w:tc>
        <w:tc>
          <w:tcPr>
            <w:tcW w:w="6405"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Железобетонные виброгидропрессованные </w:t>
            </w:r>
          </w:p>
          <w:p>
            <w:pPr>
              <w:pStyle w:val="Normal"/>
              <w:jc w:val="both"/>
              <w:rPr/>
            </w:pPr>
            <w:r>
              <w:rPr/>
            </w:r>
          </w:p>
        </w:tc>
        <w:tc>
          <w:tcPr>
            <w:tcW w:w="70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0,19 </w:t>
            </w:r>
          </w:p>
          <w:p>
            <w:pPr>
              <w:pStyle w:val="Normal"/>
              <w:jc w:val="center"/>
              <w:rPr/>
            </w:pPr>
            <w:r>
              <w:rPr/>
            </w:r>
          </w:p>
        </w:tc>
        <w:tc>
          <w:tcPr>
            <w:tcW w:w="540"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 </w:t>
            </w:r>
          </w:p>
          <w:p>
            <w:pPr>
              <w:pStyle w:val="Normal"/>
              <w:rPr/>
            </w:pPr>
            <w:r>
              <w:rPr/>
            </w:r>
          </w:p>
        </w:tc>
        <w:tc>
          <w:tcPr>
            <w:tcW w:w="106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15,74 </w:t>
            </w:r>
          </w:p>
          <w:p>
            <w:pPr>
              <w:pStyle w:val="Normal"/>
              <w:rPr/>
            </w:pPr>
            <w:r>
              <w:rPr/>
            </w:r>
          </w:p>
        </w:tc>
        <w:tc>
          <w:tcPr>
            <w:tcW w:w="139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0,802 </w:t>
            </w:r>
          </w:p>
          <w:p>
            <w:pPr>
              <w:pStyle w:val="Normal"/>
              <w:rPr/>
            </w:pPr>
            <w:r>
              <w:rPr/>
            </w:r>
          </w:p>
        </w:tc>
        <w:tc>
          <w:tcPr>
            <w:tcW w:w="6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3,51 </w:t>
            </w:r>
          </w:p>
          <w:p>
            <w:pPr>
              <w:pStyle w:val="Normal"/>
              <w:rPr/>
            </w:pPr>
            <w:r>
              <w:rPr/>
            </w:r>
          </w:p>
        </w:tc>
      </w:tr>
      <w:tr>
        <w:trPr/>
        <w:tc>
          <w:tcPr>
            <w:tcW w:w="510" w:type="dxa"/>
            <w:tcBorders>
              <w:start w:val="single" w:sz="2" w:space="0" w:color="000000"/>
            </w:tcBorders>
            <w:shd w:fill="auto" w:val="clear"/>
            <w:tcMar>
              <w:start w:w="102" w:type="dxa"/>
            </w:tcMar>
          </w:tcPr>
          <w:p>
            <w:pPr>
              <w:pStyle w:val="Normal"/>
              <w:rPr/>
            </w:pPr>
            <w:r>
              <w:rPr/>
              <w:t xml:space="preserve">6 </w:t>
            </w:r>
          </w:p>
          <w:p>
            <w:pPr>
              <w:pStyle w:val="Normal"/>
              <w:rPr/>
            </w:pPr>
            <w:r>
              <w:rPr/>
            </w:r>
          </w:p>
        </w:tc>
        <w:tc>
          <w:tcPr>
            <w:tcW w:w="6405"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Железобетонные центрифугированные </w:t>
            </w:r>
          </w:p>
          <w:p>
            <w:pPr>
              <w:pStyle w:val="Normal"/>
              <w:jc w:val="both"/>
              <w:rPr/>
            </w:pPr>
            <w:r>
              <w:rPr/>
            </w:r>
          </w:p>
        </w:tc>
        <w:tc>
          <w:tcPr>
            <w:tcW w:w="70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0,19 </w:t>
            </w:r>
          </w:p>
          <w:p>
            <w:pPr>
              <w:pStyle w:val="Normal"/>
              <w:jc w:val="center"/>
              <w:rPr/>
            </w:pPr>
            <w:r>
              <w:rPr/>
            </w:r>
          </w:p>
        </w:tc>
        <w:tc>
          <w:tcPr>
            <w:tcW w:w="540"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 </w:t>
            </w:r>
          </w:p>
          <w:p>
            <w:pPr>
              <w:pStyle w:val="Normal"/>
              <w:rPr/>
            </w:pPr>
            <w:r>
              <w:rPr/>
            </w:r>
          </w:p>
        </w:tc>
        <w:tc>
          <w:tcPr>
            <w:tcW w:w="106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13,85 </w:t>
            </w:r>
          </w:p>
          <w:p>
            <w:pPr>
              <w:pStyle w:val="Normal"/>
              <w:rPr/>
            </w:pPr>
            <w:r>
              <w:rPr/>
            </w:r>
          </w:p>
        </w:tc>
        <w:tc>
          <w:tcPr>
            <w:tcW w:w="139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0,706 </w:t>
            </w:r>
          </w:p>
          <w:p>
            <w:pPr>
              <w:pStyle w:val="Normal"/>
              <w:rPr/>
            </w:pPr>
            <w:r>
              <w:rPr/>
            </w:r>
          </w:p>
        </w:tc>
        <w:tc>
          <w:tcPr>
            <w:tcW w:w="6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3,51 </w:t>
            </w:r>
          </w:p>
          <w:p>
            <w:pPr>
              <w:pStyle w:val="Normal"/>
              <w:rPr/>
            </w:pPr>
            <w:r>
              <w:rPr/>
            </w:r>
          </w:p>
        </w:tc>
      </w:tr>
      <w:tr>
        <w:trPr/>
        <w:tc>
          <w:tcPr>
            <w:tcW w:w="510" w:type="dxa"/>
            <w:tcBorders>
              <w:start w:val="single" w:sz="2" w:space="0" w:color="000000"/>
            </w:tcBorders>
            <w:shd w:fill="auto" w:val="clear"/>
            <w:tcMar>
              <w:start w:w="102" w:type="dxa"/>
            </w:tcMar>
          </w:tcPr>
          <w:p>
            <w:pPr>
              <w:pStyle w:val="Normal"/>
              <w:rPr/>
            </w:pPr>
            <w:r>
              <w:rPr/>
              <w:t xml:space="preserve">7 </w:t>
            </w:r>
          </w:p>
          <w:p>
            <w:pPr>
              <w:pStyle w:val="Normal"/>
              <w:rPr/>
            </w:pPr>
            <w:r>
              <w:rPr/>
            </w:r>
          </w:p>
        </w:tc>
        <w:tc>
          <w:tcPr>
            <w:tcW w:w="6405"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Стальные и чугунные с внутренним пластмассовым или полимерцементным покрытием, нанесенным методом центрифугирования </w:t>
            </w:r>
          </w:p>
          <w:p>
            <w:pPr>
              <w:pStyle w:val="Normal"/>
              <w:jc w:val="both"/>
              <w:rPr/>
            </w:pPr>
            <w:r>
              <w:rPr/>
            </w:r>
          </w:p>
        </w:tc>
        <w:tc>
          <w:tcPr>
            <w:tcW w:w="70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0,19 </w:t>
            </w:r>
          </w:p>
          <w:p>
            <w:pPr>
              <w:pStyle w:val="Normal"/>
              <w:jc w:val="center"/>
              <w:rPr/>
            </w:pPr>
            <w:r>
              <w:rPr/>
            </w:r>
          </w:p>
        </w:tc>
        <w:tc>
          <w:tcPr>
            <w:tcW w:w="540"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 </w:t>
            </w:r>
          </w:p>
          <w:p>
            <w:pPr>
              <w:pStyle w:val="Normal"/>
              <w:rPr/>
            </w:pPr>
            <w:r>
              <w:rPr/>
            </w:r>
          </w:p>
        </w:tc>
        <w:tc>
          <w:tcPr>
            <w:tcW w:w="106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11,0 </w:t>
            </w:r>
          </w:p>
          <w:p>
            <w:pPr>
              <w:pStyle w:val="Normal"/>
              <w:rPr/>
            </w:pPr>
            <w:r>
              <w:rPr/>
            </w:r>
          </w:p>
        </w:tc>
        <w:tc>
          <w:tcPr>
            <w:tcW w:w="139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0,561 </w:t>
            </w:r>
          </w:p>
          <w:p>
            <w:pPr>
              <w:pStyle w:val="Normal"/>
              <w:rPr/>
            </w:pPr>
            <w:r>
              <w:rPr/>
            </w:r>
          </w:p>
        </w:tc>
        <w:tc>
          <w:tcPr>
            <w:tcW w:w="6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3,51 </w:t>
            </w:r>
          </w:p>
          <w:p>
            <w:pPr>
              <w:pStyle w:val="Normal"/>
              <w:rPr/>
            </w:pPr>
            <w:r>
              <w:rPr/>
            </w:r>
          </w:p>
        </w:tc>
      </w:tr>
      <w:tr>
        <w:trPr/>
        <w:tc>
          <w:tcPr>
            <w:tcW w:w="510" w:type="dxa"/>
            <w:tcBorders>
              <w:start w:val="single" w:sz="2" w:space="0" w:color="000000"/>
            </w:tcBorders>
            <w:shd w:fill="auto" w:val="clear"/>
            <w:tcMar>
              <w:start w:w="102" w:type="dxa"/>
            </w:tcMar>
          </w:tcPr>
          <w:p>
            <w:pPr>
              <w:pStyle w:val="Normal"/>
              <w:rPr/>
            </w:pPr>
            <w:r>
              <w:rPr/>
              <w:t xml:space="preserve">8 </w:t>
            </w:r>
          </w:p>
          <w:p>
            <w:pPr>
              <w:pStyle w:val="Normal"/>
              <w:rPr/>
            </w:pPr>
            <w:r>
              <w:rPr/>
            </w:r>
          </w:p>
        </w:tc>
        <w:tc>
          <w:tcPr>
            <w:tcW w:w="6405"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Стальные и чугунные с внутренним цементно-песчаным покрытием, нанесенным методом набрызга с последующим заглаживанием </w:t>
            </w:r>
          </w:p>
          <w:p>
            <w:pPr>
              <w:pStyle w:val="Normal"/>
              <w:jc w:val="both"/>
              <w:rPr/>
            </w:pPr>
            <w:r>
              <w:rPr/>
            </w:r>
          </w:p>
        </w:tc>
        <w:tc>
          <w:tcPr>
            <w:tcW w:w="70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0,19 </w:t>
            </w:r>
          </w:p>
          <w:p>
            <w:pPr>
              <w:pStyle w:val="Normal"/>
              <w:jc w:val="center"/>
              <w:rPr/>
            </w:pPr>
            <w:r>
              <w:rPr/>
            </w:r>
          </w:p>
        </w:tc>
        <w:tc>
          <w:tcPr>
            <w:tcW w:w="540"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 </w:t>
            </w:r>
          </w:p>
          <w:p>
            <w:pPr>
              <w:pStyle w:val="Normal"/>
              <w:rPr/>
            </w:pPr>
            <w:r>
              <w:rPr/>
            </w:r>
          </w:p>
        </w:tc>
        <w:tc>
          <w:tcPr>
            <w:tcW w:w="106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15,74 </w:t>
            </w:r>
          </w:p>
          <w:p>
            <w:pPr>
              <w:pStyle w:val="Normal"/>
              <w:rPr/>
            </w:pPr>
            <w:r>
              <w:rPr/>
            </w:r>
          </w:p>
        </w:tc>
        <w:tc>
          <w:tcPr>
            <w:tcW w:w="139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0,802 </w:t>
            </w:r>
          </w:p>
          <w:p>
            <w:pPr>
              <w:pStyle w:val="Normal"/>
              <w:rPr/>
            </w:pPr>
            <w:r>
              <w:rPr/>
            </w:r>
          </w:p>
        </w:tc>
        <w:tc>
          <w:tcPr>
            <w:tcW w:w="6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3,51 </w:t>
            </w:r>
          </w:p>
          <w:p>
            <w:pPr>
              <w:pStyle w:val="Normal"/>
              <w:rPr/>
            </w:pPr>
            <w:r>
              <w:rPr/>
            </w:r>
          </w:p>
        </w:tc>
      </w:tr>
      <w:tr>
        <w:trPr/>
        <w:tc>
          <w:tcPr>
            <w:tcW w:w="510" w:type="dxa"/>
            <w:tcBorders>
              <w:start w:val="single" w:sz="2" w:space="0" w:color="000000"/>
            </w:tcBorders>
            <w:shd w:fill="auto" w:val="clear"/>
            <w:tcMar>
              <w:start w:w="102" w:type="dxa"/>
            </w:tcMar>
          </w:tcPr>
          <w:p>
            <w:pPr>
              <w:pStyle w:val="Normal"/>
              <w:rPr/>
            </w:pPr>
            <w:r>
              <w:rPr/>
              <w:t xml:space="preserve">9 </w:t>
            </w:r>
          </w:p>
          <w:p>
            <w:pPr>
              <w:pStyle w:val="Normal"/>
              <w:rPr/>
            </w:pPr>
            <w:r>
              <w:rPr/>
            </w:r>
          </w:p>
        </w:tc>
        <w:tc>
          <w:tcPr>
            <w:tcW w:w="6405"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Стальные и чугунные с внутренним цементно-песчаным покрытием, нанесенным методом центрифугирования </w:t>
            </w:r>
          </w:p>
          <w:p>
            <w:pPr>
              <w:pStyle w:val="Normal"/>
              <w:jc w:val="both"/>
              <w:rPr/>
            </w:pPr>
            <w:r>
              <w:rPr/>
            </w:r>
          </w:p>
        </w:tc>
        <w:tc>
          <w:tcPr>
            <w:tcW w:w="70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0,19 </w:t>
            </w:r>
          </w:p>
          <w:p>
            <w:pPr>
              <w:pStyle w:val="Normal"/>
              <w:jc w:val="center"/>
              <w:rPr/>
            </w:pPr>
            <w:r>
              <w:rPr/>
            </w:r>
          </w:p>
        </w:tc>
        <w:tc>
          <w:tcPr>
            <w:tcW w:w="540"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 </w:t>
            </w:r>
          </w:p>
          <w:p>
            <w:pPr>
              <w:pStyle w:val="Normal"/>
              <w:rPr/>
            </w:pPr>
            <w:r>
              <w:rPr/>
            </w:r>
          </w:p>
        </w:tc>
        <w:tc>
          <w:tcPr>
            <w:tcW w:w="106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13,85 </w:t>
            </w:r>
          </w:p>
          <w:p>
            <w:pPr>
              <w:pStyle w:val="Normal"/>
              <w:rPr/>
            </w:pPr>
            <w:r>
              <w:rPr/>
            </w:r>
          </w:p>
        </w:tc>
        <w:tc>
          <w:tcPr>
            <w:tcW w:w="139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0,706 </w:t>
            </w:r>
          </w:p>
          <w:p>
            <w:pPr>
              <w:pStyle w:val="Normal"/>
              <w:rPr/>
            </w:pPr>
            <w:r>
              <w:rPr/>
            </w:r>
          </w:p>
        </w:tc>
        <w:tc>
          <w:tcPr>
            <w:tcW w:w="6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3,51 </w:t>
            </w:r>
          </w:p>
          <w:p>
            <w:pPr>
              <w:pStyle w:val="Normal"/>
              <w:rPr/>
            </w:pPr>
            <w:r>
              <w:rPr/>
            </w:r>
          </w:p>
        </w:tc>
      </w:tr>
      <w:tr>
        <w:trPr/>
        <w:tc>
          <w:tcPr>
            <w:tcW w:w="510" w:type="dxa"/>
            <w:tcBorders>
              <w:start w:val="single" w:sz="2" w:space="0" w:color="000000"/>
            </w:tcBorders>
            <w:shd w:fill="auto" w:val="clear"/>
            <w:tcMar>
              <w:start w:w="102" w:type="dxa"/>
            </w:tcMar>
          </w:tcPr>
          <w:p>
            <w:pPr>
              <w:pStyle w:val="Normal"/>
              <w:rPr/>
            </w:pPr>
            <w:r>
              <w:rPr/>
              <w:t xml:space="preserve">10 </w:t>
            </w:r>
          </w:p>
          <w:p>
            <w:pPr>
              <w:pStyle w:val="Normal"/>
              <w:rPr/>
            </w:pPr>
            <w:r>
              <w:rPr/>
            </w:r>
          </w:p>
        </w:tc>
        <w:tc>
          <w:tcPr>
            <w:tcW w:w="6405"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Пластмассовые </w:t>
            </w:r>
          </w:p>
          <w:p>
            <w:pPr>
              <w:pStyle w:val="Normal"/>
              <w:jc w:val="both"/>
              <w:rPr/>
            </w:pPr>
            <w:r>
              <w:rPr/>
            </w:r>
          </w:p>
        </w:tc>
        <w:tc>
          <w:tcPr>
            <w:tcW w:w="70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0,226 </w:t>
            </w:r>
          </w:p>
          <w:p>
            <w:pPr>
              <w:pStyle w:val="Normal"/>
              <w:jc w:val="center"/>
              <w:rPr/>
            </w:pPr>
            <w:r>
              <w:rPr/>
            </w:r>
          </w:p>
        </w:tc>
        <w:tc>
          <w:tcPr>
            <w:tcW w:w="540"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0 </w:t>
            </w:r>
          </w:p>
          <w:p>
            <w:pPr>
              <w:pStyle w:val="Normal"/>
              <w:rPr/>
            </w:pPr>
            <w:r>
              <w:rPr/>
            </w:r>
          </w:p>
        </w:tc>
        <w:tc>
          <w:tcPr>
            <w:tcW w:w="106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13,44 </w:t>
            </w:r>
          </w:p>
          <w:p>
            <w:pPr>
              <w:pStyle w:val="Normal"/>
              <w:rPr/>
            </w:pPr>
            <w:r>
              <w:rPr/>
            </w:r>
          </w:p>
        </w:tc>
        <w:tc>
          <w:tcPr>
            <w:tcW w:w="139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0,685 </w:t>
            </w:r>
          </w:p>
          <w:p>
            <w:pPr>
              <w:pStyle w:val="Normal"/>
              <w:rPr/>
            </w:pPr>
            <w:r>
              <w:rPr/>
            </w:r>
          </w:p>
        </w:tc>
        <w:tc>
          <w:tcPr>
            <w:tcW w:w="6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1 </w:t>
            </w:r>
          </w:p>
          <w:p>
            <w:pPr>
              <w:pStyle w:val="Normal"/>
              <w:rPr/>
            </w:pPr>
            <w:r>
              <w:rPr/>
            </w:r>
          </w:p>
        </w:tc>
      </w:tr>
      <w:tr>
        <w:trPr/>
        <w:tc>
          <w:tcPr>
            <w:tcW w:w="51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11 </w:t>
            </w:r>
          </w:p>
          <w:p>
            <w:pPr>
              <w:pStyle w:val="Normal"/>
              <w:rPr/>
            </w:pPr>
            <w:r>
              <w:rPr/>
            </w:r>
          </w:p>
        </w:tc>
        <w:tc>
          <w:tcPr>
            <w:tcW w:w="6405"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both"/>
              <w:rPr/>
            </w:pPr>
            <w:r>
              <w:rPr/>
              <w:t xml:space="preserve">Стеклянные </w:t>
            </w:r>
          </w:p>
          <w:p>
            <w:pPr>
              <w:pStyle w:val="Normal"/>
              <w:jc w:val="both"/>
              <w:rPr/>
            </w:pPr>
            <w:r>
              <w:rPr/>
            </w:r>
          </w:p>
        </w:tc>
        <w:tc>
          <w:tcPr>
            <w:tcW w:w="70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0,226 </w:t>
            </w:r>
          </w:p>
          <w:p>
            <w:pPr>
              <w:pStyle w:val="Normal"/>
              <w:jc w:val="center"/>
              <w:rPr/>
            </w:pPr>
            <w:r>
              <w:rPr/>
            </w:r>
          </w:p>
        </w:tc>
        <w:tc>
          <w:tcPr>
            <w:tcW w:w="540" w:type="dxa"/>
            <w:gridSpan w:val="2"/>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0 </w:t>
            </w:r>
          </w:p>
          <w:p>
            <w:pPr>
              <w:pStyle w:val="Normal"/>
              <w:rPr/>
            </w:pPr>
            <w:r>
              <w:rPr/>
            </w:r>
          </w:p>
        </w:tc>
        <w:tc>
          <w:tcPr>
            <w:tcW w:w="106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14,61 </w:t>
            </w:r>
          </w:p>
          <w:p>
            <w:pPr>
              <w:pStyle w:val="Normal"/>
              <w:rPr/>
            </w:pPr>
            <w:r>
              <w:rPr/>
            </w:r>
          </w:p>
        </w:tc>
        <w:tc>
          <w:tcPr>
            <w:tcW w:w="1395" w:type="dxa"/>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rPr/>
            </w:pPr>
            <w:r>
              <w:rPr/>
              <w:t xml:space="preserve">0,745 </w:t>
            </w:r>
          </w:p>
          <w:p>
            <w:pPr>
              <w:pStyle w:val="Normal"/>
              <w:rPr/>
            </w:pPr>
            <w:r>
              <w:rPr/>
            </w:r>
          </w:p>
        </w:tc>
        <w:tc>
          <w:tcPr>
            <w:tcW w:w="6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1 </w:t>
            </w:r>
          </w:p>
          <w:p>
            <w:pPr>
              <w:pStyle w:val="Normal"/>
              <w:rPr/>
            </w:pPr>
            <w:r>
              <w:rPr/>
            </w:r>
          </w:p>
        </w:tc>
      </w:tr>
    </w:tbl>
    <w:p>
      <w:pPr>
        <w:pStyle w:val="Normal"/>
        <w:ind w:firstLine="270"/>
        <w:jc w:val="both"/>
        <w:rPr/>
      </w:pPr>
      <w:r>
        <w:rPr/>
      </w:r>
    </w:p>
    <w:tbl>
      <w:tblPr>
        <w:tblW w:w="7455" w:type="dxa"/>
        <w:jc w:val="start"/>
        <w:tblInd w:w="360" w:type="dxa"/>
        <w:tblBorders/>
        <w:tblCellMar>
          <w:top w:w="0" w:type="dxa"/>
          <w:start w:w="15" w:type="dxa"/>
          <w:bottom w:w="0" w:type="dxa"/>
          <w:end w:w="15" w:type="dxa"/>
        </w:tblCellMar>
      </w:tblPr>
      <w:tblGrid>
        <w:gridCol w:w="3165"/>
        <w:gridCol w:w="4290"/>
      </w:tblGrid>
      <w:tr>
        <w:trPr/>
        <w:tc>
          <w:tcPr>
            <w:tcW w:w="3165" w:type="dxa"/>
            <w:tcBorders/>
            <w:shd w:fill="auto" w:val="clear"/>
          </w:tcPr>
          <w:p>
            <w:pPr>
              <w:pStyle w:val="Normal"/>
              <w:rPr/>
            </w:pPr>
            <w:r>
              <w:rPr>
                <w:vanish/>
              </w:rPr>
              <w:t>#G0</w:t>
            </w:r>
            <w:r>
              <w:rPr/>
              <w:t xml:space="preserve">  </w:t>
            </w:r>
          </w:p>
          <w:p>
            <w:pPr>
              <w:pStyle w:val="Normal"/>
              <w:jc w:val="both"/>
              <w:rPr/>
            </w:pPr>
            <w:r>
              <w:rPr/>
              <w:t xml:space="preserve">Примечание. Значение С дано для </w:t>
            </w:r>
          </w:p>
          <w:p>
            <w:pPr>
              <w:pStyle w:val="Normal"/>
              <w:jc w:val="both"/>
              <w:rPr/>
            </w:pPr>
            <w:r>
              <w:rPr/>
            </w:r>
          </w:p>
        </w:tc>
        <w:tc>
          <w:tcPr>
            <w:tcW w:w="4290" w:type="dxa"/>
            <w:tcBorders/>
            <w:shd w:fill="auto" w:val="clear"/>
          </w:tcPr>
          <w:p>
            <w:pPr>
              <w:pStyle w:val="Normal"/>
              <w:rPr/>
            </w:pPr>
            <w:r>
              <w:rPr/>
              <w:t xml:space="preserve">  </w:t>
            </w:r>
          </w:p>
          <w:p>
            <w:pPr>
              <w:pStyle w:val="Normal"/>
              <w:rPr/>
            </w:pPr>
            <w:r>
              <w:rPr/>
              <w:drawing>
                <wp:inline distT="0" distB="0" distL="0" distR="0">
                  <wp:extent cx="2073910" cy="207645"/>
                  <wp:effectExtent l="0" t="0" r="0" b="0"/>
                  <wp:docPr id="383" name="Изображение3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Изображение383" descr="" title=""/>
                          <pic:cNvPicPr>
                            <a:picLocks noChangeAspect="1" noChangeArrowheads="1"/>
                          </pic:cNvPicPr>
                        </pic:nvPicPr>
                        <pic:blipFill>
                          <a:blip r:embed="rId384"/>
                          <a:stretch>
                            <a:fillRect/>
                          </a:stretch>
                        </pic:blipFill>
                        <pic:spPr bwMode="auto">
                          <a:xfrm>
                            <a:off x="0" y="0"/>
                            <a:ext cx="2073910" cy="207645"/>
                          </a:xfrm>
                          <a:prstGeom prst="rect">
                            <a:avLst/>
                          </a:prstGeom>
                        </pic:spPr>
                      </pic:pic>
                    </a:graphicData>
                  </a:graphic>
                </wp:inline>
              </w:drawing>
            </w:r>
          </w:p>
        </w:tc>
      </w:tr>
    </w:tbl>
    <w:p>
      <w:pPr>
        <w:pStyle w:val="Normal"/>
        <w:jc w:val="both"/>
        <w:rPr/>
      </w:pPr>
      <w:r>
        <w:rPr/>
      </w:r>
    </w:p>
    <w:p>
      <w:pPr>
        <w:pStyle w:val="Normal"/>
        <w:ind w:firstLine="315"/>
        <w:jc w:val="both"/>
        <w:rPr/>
      </w:pPr>
      <w:r>
        <w:rPr/>
        <w:t>Эти значения соответствуют современной технологии их изготовления.</w:t>
      </w:r>
    </w:p>
    <w:p>
      <w:pPr>
        <w:pStyle w:val="Normal"/>
        <w:ind w:firstLine="90"/>
        <w:jc w:val="both"/>
        <w:rPr/>
      </w:pPr>
      <w:r>
        <w:rPr/>
      </w:r>
    </w:p>
    <w:p>
      <w:pPr>
        <w:pStyle w:val="Normal"/>
        <w:ind w:firstLine="360"/>
        <w:jc w:val="both"/>
        <w:rPr/>
      </w:pPr>
      <w:r>
        <w:rPr/>
        <w:t>Если гарантируемые заводом-изготовителем значения A(0), А(1) и С отличаются от приведенных в табл. 1, то они должны указываться в ГОСТ или технических условиях на изготовление труб.</w:t>
      </w:r>
    </w:p>
    <w:p>
      <w:pPr>
        <w:pStyle w:val="Normal"/>
        <w:ind w:firstLine="360"/>
        <w:jc w:val="both"/>
        <w:rPr/>
      </w:pPr>
      <w:r>
        <w:rPr/>
      </w:r>
    </w:p>
    <w:p>
      <w:pPr>
        <w:pStyle w:val="Normal"/>
        <w:ind w:firstLine="225"/>
        <w:jc w:val="both"/>
        <w:rPr/>
      </w:pPr>
      <w:r>
        <w:rPr/>
        <w:t>3. При отсутствии стабилизационной обработки воды или эффективных внутренних защитных покрытий гидравлическое сопротивление новых стальных и чугунных труб быстро возрастает. В этих условиях формулы для определения потерь напора в новых стальных и чугунных трубах следует использовать только при проверочных расчетах в случае необходимости анализа условий работы системы подачи воды в начальный период ее эксплуатации.</w:t>
      </w:r>
    </w:p>
    <w:p>
      <w:pPr>
        <w:pStyle w:val="Normal"/>
        <w:ind w:firstLine="225"/>
        <w:jc w:val="both"/>
        <w:rPr/>
      </w:pPr>
      <w:r>
        <w:rPr/>
      </w:r>
    </w:p>
    <w:p>
      <w:pPr>
        <w:pStyle w:val="Normal"/>
        <w:ind w:firstLine="225"/>
        <w:jc w:val="both"/>
        <w:rPr/>
      </w:pPr>
      <w:r>
        <w:rPr/>
        <w:t>Стальные и чугунные трубы следует, как правило, применять с внутренними полимер-цементными, цементно-песчаными или полиэтиленовыми защитными покрытиями. В случае их применения без таких покрытий и отсутствия стабилизационной обработки к значениям А(1) и С по табл. 1 и значению К по табл. 2 следует вводить коэффициент (не более 2), величина которого должна быть обоснована данными о возрастании потерь напора в трубопроводах, работающих в аналогичных условиях.</w:t>
      </w:r>
    </w:p>
    <w:p>
      <w:pPr>
        <w:pStyle w:val="Normal"/>
        <w:ind w:firstLine="225"/>
        <w:jc w:val="both"/>
        <w:rPr/>
      </w:pPr>
      <w:r>
        <w:rPr/>
      </w:r>
    </w:p>
    <w:p>
      <w:pPr>
        <w:pStyle w:val="Normal"/>
        <w:ind w:firstLine="225"/>
        <w:jc w:val="both"/>
        <w:rPr/>
      </w:pPr>
      <w:r>
        <w:rPr/>
        <w:t>4. Гидравлическое сопротивление соединительных частей следует определять по справочникам, гидравлическое сопротивление арматуры - по паспортам заводов-изготовителей.</w:t>
      </w:r>
    </w:p>
    <w:p>
      <w:pPr>
        <w:pStyle w:val="Normal"/>
        <w:ind w:firstLine="225"/>
        <w:jc w:val="both"/>
        <w:rPr/>
      </w:pPr>
      <w:r>
        <w:rPr/>
      </w:r>
    </w:p>
    <w:p>
      <w:pPr>
        <w:pStyle w:val="Normal"/>
        <w:ind w:firstLine="225"/>
        <w:jc w:val="both"/>
        <w:rPr/>
      </w:pPr>
      <w:r>
        <w:rPr/>
        <w:t>При отсутствии данных о числе соединительных частей и арматуры, устанавливаемых на трубопроводах, потери напора в них допускается учитывать дополнительно в размере 10 - 20% величины потери напора в трубопроводах.</w:t>
      </w:r>
    </w:p>
    <w:p>
      <w:pPr>
        <w:pStyle w:val="Normal"/>
        <w:ind w:firstLine="225"/>
        <w:jc w:val="both"/>
        <w:rPr/>
      </w:pPr>
      <w:r>
        <w:rPr/>
      </w:r>
    </w:p>
    <w:p>
      <w:pPr>
        <w:pStyle w:val="Normal"/>
        <w:ind w:firstLine="225"/>
        <w:jc w:val="both"/>
        <w:rPr/>
      </w:pPr>
      <w:r>
        <w:rPr/>
        <w:t>5. При технико-экономических расчетах и выполнении гидравлических расчетов систем подачи и распределения воды на ЭВМ потери напора в трубопроводах рекомендуется определять по формуле</w:t>
      </w:r>
    </w:p>
    <w:p>
      <w:pPr>
        <w:pStyle w:val="Normal"/>
        <w:ind w:firstLine="1260"/>
        <w:jc w:val="both"/>
        <w:rPr/>
      </w:pPr>
      <w:r>
        <w:rPr/>
      </w:r>
    </w:p>
    <w:tbl>
      <w:tblPr>
        <w:tblW w:w="4890" w:type="dxa"/>
        <w:jc w:val="start"/>
        <w:tblInd w:w="165" w:type="dxa"/>
        <w:tblBorders/>
        <w:tblCellMar>
          <w:top w:w="0" w:type="dxa"/>
          <w:start w:w="15" w:type="dxa"/>
          <w:bottom w:w="0" w:type="dxa"/>
          <w:end w:w="15" w:type="dxa"/>
        </w:tblCellMar>
      </w:tblPr>
      <w:tblGrid>
        <w:gridCol w:w="1440"/>
        <w:gridCol w:w="3450"/>
      </w:tblGrid>
      <w:tr>
        <w:trPr/>
        <w:tc>
          <w:tcPr>
            <w:tcW w:w="1440" w:type="dxa"/>
            <w:tcBorders/>
            <w:shd w:fill="auto" w:val="clear"/>
          </w:tcPr>
          <w:p>
            <w:pPr>
              <w:pStyle w:val="Normal"/>
              <w:rPr/>
            </w:pPr>
            <w:r>
              <w:rPr>
                <w:vanish/>
              </w:rPr>
              <w:t>#G0</w:t>
            </w:r>
            <w:r>
              <w:rPr/>
              <w:t xml:space="preserve">  </w:t>
            </w:r>
          </w:p>
          <w:p>
            <w:pPr>
              <w:pStyle w:val="Normal"/>
              <w:rPr/>
            </w:pPr>
            <w:r>
              <w:rPr/>
              <w:drawing>
                <wp:inline distT="0" distB="0" distL="0" distR="0">
                  <wp:extent cx="829310" cy="276225"/>
                  <wp:effectExtent l="0" t="0" r="0" b="0"/>
                  <wp:docPr id="384" name="Изображение3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Изображение384" descr="" title=""/>
                          <pic:cNvPicPr>
                            <a:picLocks noChangeAspect="1" noChangeArrowheads="1"/>
                          </pic:cNvPicPr>
                        </pic:nvPicPr>
                        <pic:blipFill>
                          <a:blip r:embed="rId385"/>
                          <a:stretch>
                            <a:fillRect/>
                          </a:stretch>
                        </pic:blipFill>
                        <pic:spPr bwMode="auto">
                          <a:xfrm>
                            <a:off x="0" y="0"/>
                            <a:ext cx="829310" cy="276225"/>
                          </a:xfrm>
                          <a:prstGeom prst="rect">
                            <a:avLst/>
                          </a:prstGeom>
                        </pic:spPr>
                      </pic:pic>
                    </a:graphicData>
                  </a:graphic>
                </wp:inline>
              </w:drawing>
            </w:r>
          </w:p>
        </w:tc>
        <w:tc>
          <w:tcPr>
            <w:tcW w:w="3450" w:type="dxa"/>
            <w:tcBorders/>
            <w:shd w:fill="auto" w:val="clear"/>
          </w:tcPr>
          <w:p>
            <w:pPr>
              <w:pStyle w:val="Normal"/>
              <w:snapToGrid w:val="false"/>
              <w:rPr/>
            </w:pPr>
            <w:r>
              <w:rPr/>
            </w:r>
          </w:p>
          <w:p>
            <w:pPr>
              <w:pStyle w:val="Normal"/>
              <w:rPr/>
            </w:pPr>
            <w:r>
              <w:rPr/>
              <w:t xml:space="preserve">                                                                      </w:t>
            </w:r>
            <w:r>
              <w:rPr/>
              <w:t>(3)</w:t>
            </w:r>
          </w:p>
          <w:p>
            <w:pPr>
              <w:pStyle w:val="Normal"/>
              <w:rPr/>
            </w:pPr>
            <w:r>
              <w:rPr/>
            </w:r>
          </w:p>
        </w:tc>
      </w:tr>
    </w:tbl>
    <w:p>
      <w:pPr>
        <w:pStyle w:val="Normal"/>
        <w:ind w:firstLine="135"/>
        <w:jc w:val="both"/>
        <w:rPr/>
      </w:pPr>
      <w:r>
        <w:rPr/>
      </w:r>
    </w:p>
    <w:p>
      <w:pPr>
        <w:pStyle w:val="Normal"/>
        <w:ind w:firstLine="1035"/>
        <w:jc w:val="both"/>
        <w:rPr/>
      </w:pPr>
      <w:r>
        <w:rPr/>
      </w:r>
    </w:p>
    <w:p>
      <w:pPr>
        <w:pStyle w:val="Normal"/>
        <w:ind w:firstLine="1035"/>
        <w:jc w:val="both"/>
        <w:rPr/>
      </w:pPr>
      <w:r>
        <w:rPr/>
        <w:t xml:space="preserve">где q - расчетный расход воды, л/с; </w:t>
      </w:r>
    </w:p>
    <w:p>
      <w:pPr>
        <w:pStyle w:val="Normal"/>
        <w:ind w:firstLine="225"/>
        <w:jc w:val="both"/>
        <w:rPr/>
      </w:pPr>
      <w:r>
        <w:rPr/>
      </w:r>
    </w:p>
    <w:p>
      <w:pPr>
        <w:pStyle w:val="Normal"/>
        <w:ind w:firstLine="315"/>
        <w:jc w:val="both"/>
        <w:rPr/>
      </w:pPr>
      <w:r>
        <w:rPr/>
        <w:t>d - расчетный внутренний диаметр труб, м.</w:t>
      </w:r>
    </w:p>
    <w:p>
      <w:pPr>
        <w:pStyle w:val="Normal"/>
        <w:ind w:firstLine="315"/>
        <w:jc w:val="both"/>
        <w:rPr/>
      </w:pPr>
      <w:r>
        <w:rPr/>
      </w:r>
    </w:p>
    <w:p>
      <w:pPr>
        <w:pStyle w:val="Normal"/>
        <w:ind w:firstLine="225"/>
        <w:jc w:val="both"/>
        <w:rPr/>
      </w:pPr>
      <w:r>
        <w:rPr/>
        <w:t>Значения коэффициента К и показателей степени n и p следует принимать согласно табл. 2.</w:t>
      </w:r>
    </w:p>
    <w:p>
      <w:pPr>
        <w:pStyle w:val="Normal"/>
        <w:ind w:firstLine="225"/>
        <w:jc w:val="both"/>
        <w:rPr/>
      </w:pPr>
      <w:r>
        <w:rPr/>
      </w:r>
    </w:p>
    <w:p>
      <w:pPr>
        <w:pStyle w:val="Normal"/>
        <w:jc w:val="end"/>
        <w:rPr/>
      </w:pPr>
      <w:r>
        <w:rPr/>
        <w:t xml:space="preserve">Таблица 2 </w:t>
      </w:r>
    </w:p>
    <w:p>
      <w:pPr>
        <w:pStyle w:val="Normal"/>
        <w:ind w:firstLine="270"/>
        <w:jc w:val="both"/>
        <w:rPr/>
      </w:pPr>
      <w:r>
        <w:rPr/>
      </w:r>
    </w:p>
    <w:p>
      <w:pPr>
        <w:pStyle w:val="Normal"/>
        <w:ind w:firstLine="270"/>
        <w:jc w:val="both"/>
        <w:rPr/>
      </w:pPr>
      <w:r>
        <w:rPr/>
      </w:r>
    </w:p>
    <w:tbl>
      <w:tblPr>
        <w:tblW w:w="7175" w:type="dxa"/>
        <w:jc w:val="start"/>
        <w:tblInd w:w="45" w:type="dxa"/>
        <w:tblBorders>
          <w:top w:val="single" w:sz="2" w:space="0" w:color="000000"/>
          <w:start w:val="single" w:sz="2" w:space="0" w:color="000000"/>
          <w:bottom w:val="single" w:sz="2" w:space="0" w:color="000000"/>
          <w:insideH w:val="single" w:sz="2" w:space="0" w:color="000000"/>
        </w:tblBorders>
        <w:tblCellMar>
          <w:top w:w="0" w:type="dxa"/>
          <w:start w:w="42" w:type="dxa"/>
          <w:bottom w:w="0" w:type="dxa"/>
          <w:end w:w="45" w:type="dxa"/>
        </w:tblCellMar>
      </w:tblPr>
      <w:tblGrid>
        <w:gridCol w:w="420"/>
        <w:gridCol w:w="4590"/>
        <w:gridCol w:w="720"/>
        <w:gridCol w:w="720"/>
        <w:gridCol w:w="725"/>
      </w:tblGrid>
      <w:tr>
        <w:trPr/>
        <w:tc>
          <w:tcPr>
            <w:tcW w:w="4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vanish/>
              </w:rPr>
              <w:t>#G0</w:t>
            </w:r>
            <w:r>
              <w:rPr/>
              <w:t>№ п.п.</w:t>
            </w:r>
          </w:p>
          <w:p>
            <w:pPr>
              <w:pStyle w:val="Normal"/>
              <w:jc w:val="center"/>
              <w:rPr/>
            </w:pPr>
            <w:r>
              <w:rPr/>
            </w:r>
          </w:p>
        </w:tc>
        <w:tc>
          <w:tcPr>
            <w:tcW w:w="45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Вид труб </w:t>
            </w:r>
          </w:p>
          <w:p>
            <w:pPr>
              <w:pStyle w:val="Normal"/>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1000 К </w:t>
            </w:r>
          </w:p>
          <w:p>
            <w:pPr>
              <w:pStyle w:val="Normal"/>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p </w:t>
            </w:r>
          </w:p>
          <w:p>
            <w:pPr>
              <w:pStyle w:val="Normal"/>
              <w:rPr/>
            </w:pPr>
            <w:r>
              <w:rPr/>
            </w:r>
          </w:p>
        </w:tc>
        <w:tc>
          <w:tcPr>
            <w:tcW w:w="72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n </w:t>
            </w:r>
          </w:p>
          <w:p>
            <w:pPr>
              <w:pStyle w:val="Normal"/>
              <w:rPr/>
            </w:pPr>
            <w:r>
              <w:rPr/>
            </w:r>
          </w:p>
        </w:tc>
      </w:tr>
      <w:tr>
        <w:trPr/>
        <w:tc>
          <w:tcPr>
            <w:tcW w:w="42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1 </w:t>
            </w:r>
          </w:p>
          <w:p>
            <w:pPr>
              <w:pStyle w:val="Normal"/>
              <w:rPr/>
            </w:pPr>
            <w:r>
              <w:rPr/>
            </w:r>
          </w:p>
        </w:tc>
        <w:tc>
          <w:tcPr>
            <w:tcW w:w="4590" w:type="dxa"/>
            <w:tcBorders>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Новые стальные без внутреннего защитного покрытия или с битумным защитным покрытием </w:t>
            </w:r>
          </w:p>
          <w:p>
            <w:pPr>
              <w:pStyle w:val="Normal"/>
              <w:jc w:val="both"/>
              <w:rPr/>
            </w:pPr>
            <w:r>
              <w:rPr/>
            </w:r>
          </w:p>
        </w:tc>
        <w:tc>
          <w:tcPr>
            <w:tcW w:w="720"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1,790 </w:t>
            </w:r>
          </w:p>
          <w:p>
            <w:pPr>
              <w:pStyle w:val="Normal"/>
              <w:jc w:val="center"/>
              <w:rPr/>
            </w:pPr>
            <w:r>
              <w:rPr/>
            </w:r>
          </w:p>
        </w:tc>
        <w:tc>
          <w:tcPr>
            <w:tcW w:w="72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5,1 </w:t>
            </w:r>
          </w:p>
          <w:p>
            <w:pPr>
              <w:pStyle w:val="Normal"/>
              <w:rPr/>
            </w:pPr>
            <w:r>
              <w:rPr/>
            </w:r>
          </w:p>
        </w:tc>
        <w:tc>
          <w:tcPr>
            <w:tcW w:w="72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1,9 </w:t>
            </w:r>
          </w:p>
          <w:p>
            <w:pPr>
              <w:pStyle w:val="Normal"/>
              <w:rPr/>
            </w:pPr>
            <w:r>
              <w:rPr/>
            </w:r>
          </w:p>
        </w:tc>
      </w:tr>
      <w:tr>
        <w:trPr/>
        <w:tc>
          <w:tcPr>
            <w:tcW w:w="4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2 </w:t>
            </w:r>
          </w:p>
          <w:p>
            <w:pPr>
              <w:pStyle w:val="Normal"/>
              <w:rPr/>
            </w:pPr>
            <w:r>
              <w:rPr/>
            </w:r>
          </w:p>
        </w:tc>
        <w:tc>
          <w:tcPr>
            <w:tcW w:w="45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Новые чугунные без внутреннего защитного покрытия или с битумным защитным покрытием </w:t>
            </w:r>
          </w:p>
          <w:p>
            <w:pPr>
              <w:pStyle w:val="Normal"/>
              <w:jc w:val="both"/>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1,790 </w:t>
            </w:r>
          </w:p>
          <w:p>
            <w:pPr>
              <w:pStyle w:val="Normal"/>
              <w:jc w:val="center"/>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5,1 </w:t>
            </w:r>
          </w:p>
          <w:p>
            <w:pPr>
              <w:pStyle w:val="Normal"/>
              <w:rPr/>
            </w:pPr>
            <w:r>
              <w:rPr/>
            </w:r>
          </w:p>
        </w:tc>
        <w:tc>
          <w:tcPr>
            <w:tcW w:w="72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1,9 </w:t>
            </w:r>
          </w:p>
          <w:p>
            <w:pPr>
              <w:pStyle w:val="Normal"/>
              <w:rPr/>
            </w:pPr>
            <w:r>
              <w:rPr/>
            </w:r>
          </w:p>
        </w:tc>
      </w:tr>
      <w:tr>
        <w:trPr/>
        <w:tc>
          <w:tcPr>
            <w:tcW w:w="4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3 </w:t>
            </w:r>
          </w:p>
          <w:p>
            <w:pPr>
              <w:pStyle w:val="Normal"/>
              <w:rPr/>
            </w:pPr>
            <w:r>
              <w:rPr/>
            </w:r>
          </w:p>
        </w:tc>
        <w:tc>
          <w:tcPr>
            <w:tcW w:w="45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Неновые стальные и неновые чугунные без внутреннего защитного покрытия или с битумным защитным покрытием </w:t>
            </w:r>
          </w:p>
          <w:p>
            <w:pPr>
              <w:pStyle w:val="Normal"/>
              <w:jc w:val="both"/>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1,735 </w:t>
            </w:r>
          </w:p>
          <w:p>
            <w:pPr>
              <w:pStyle w:val="Normal"/>
              <w:jc w:val="center"/>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5,3 </w:t>
            </w:r>
          </w:p>
          <w:p>
            <w:pPr>
              <w:pStyle w:val="Normal"/>
              <w:rPr/>
            </w:pPr>
            <w:r>
              <w:rPr/>
            </w:r>
          </w:p>
        </w:tc>
        <w:tc>
          <w:tcPr>
            <w:tcW w:w="72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2 </w:t>
            </w:r>
          </w:p>
          <w:p>
            <w:pPr>
              <w:pStyle w:val="Normal"/>
              <w:rPr/>
            </w:pPr>
            <w:r>
              <w:rPr/>
            </w:r>
          </w:p>
        </w:tc>
      </w:tr>
      <w:tr>
        <w:trPr/>
        <w:tc>
          <w:tcPr>
            <w:tcW w:w="4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4 </w:t>
            </w:r>
          </w:p>
          <w:p>
            <w:pPr>
              <w:pStyle w:val="Normal"/>
              <w:rPr/>
            </w:pPr>
            <w:r>
              <w:rPr/>
            </w:r>
          </w:p>
        </w:tc>
        <w:tc>
          <w:tcPr>
            <w:tcW w:w="45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Асбестоцементные </w:t>
            </w:r>
          </w:p>
          <w:p>
            <w:pPr>
              <w:pStyle w:val="Normal"/>
              <w:jc w:val="both"/>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1,180 </w:t>
            </w:r>
          </w:p>
          <w:p>
            <w:pPr>
              <w:pStyle w:val="Normal"/>
              <w:jc w:val="center"/>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4,89 </w:t>
            </w:r>
          </w:p>
          <w:p>
            <w:pPr>
              <w:pStyle w:val="Normal"/>
              <w:rPr/>
            </w:pPr>
            <w:r>
              <w:rPr/>
            </w:r>
          </w:p>
        </w:tc>
        <w:tc>
          <w:tcPr>
            <w:tcW w:w="72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1,85 </w:t>
            </w:r>
          </w:p>
          <w:p>
            <w:pPr>
              <w:pStyle w:val="Normal"/>
              <w:rPr/>
            </w:pPr>
            <w:r>
              <w:rPr/>
            </w:r>
          </w:p>
        </w:tc>
      </w:tr>
      <w:tr>
        <w:trPr/>
        <w:tc>
          <w:tcPr>
            <w:tcW w:w="4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5 </w:t>
            </w:r>
          </w:p>
          <w:p>
            <w:pPr>
              <w:pStyle w:val="Normal"/>
              <w:rPr/>
            </w:pPr>
            <w:r>
              <w:rPr/>
            </w:r>
          </w:p>
        </w:tc>
        <w:tc>
          <w:tcPr>
            <w:tcW w:w="45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Железобетонные виброгидропрессованные </w:t>
            </w:r>
          </w:p>
          <w:p>
            <w:pPr>
              <w:pStyle w:val="Normal"/>
              <w:jc w:val="both"/>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1,688 </w:t>
            </w:r>
          </w:p>
          <w:p>
            <w:pPr>
              <w:pStyle w:val="Normal"/>
              <w:jc w:val="center"/>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4,89 </w:t>
            </w:r>
          </w:p>
          <w:p>
            <w:pPr>
              <w:pStyle w:val="Normal"/>
              <w:rPr/>
            </w:pPr>
            <w:r>
              <w:rPr/>
            </w:r>
          </w:p>
        </w:tc>
        <w:tc>
          <w:tcPr>
            <w:tcW w:w="72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1,85 </w:t>
            </w:r>
          </w:p>
          <w:p>
            <w:pPr>
              <w:pStyle w:val="Normal"/>
              <w:rPr/>
            </w:pPr>
            <w:r>
              <w:rPr/>
            </w:r>
          </w:p>
        </w:tc>
      </w:tr>
      <w:tr>
        <w:trPr/>
        <w:tc>
          <w:tcPr>
            <w:tcW w:w="4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6 </w:t>
            </w:r>
          </w:p>
          <w:p>
            <w:pPr>
              <w:pStyle w:val="Normal"/>
              <w:rPr/>
            </w:pPr>
            <w:r>
              <w:rPr/>
            </w:r>
          </w:p>
        </w:tc>
        <w:tc>
          <w:tcPr>
            <w:tcW w:w="45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Железобетонные центрифугированные </w:t>
            </w:r>
          </w:p>
          <w:p>
            <w:pPr>
              <w:pStyle w:val="Normal"/>
              <w:jc w:val="both"/>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1,486 </w:t>
            </w:r>
          </w:p>
          <w:p>
            <w:pPr>
              <w:pStyle w:val="Normal"/>
              <w:jc w:val="center"/>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4,89 </w:t>
            </w:r>
          </w:p>
          <w:p>
            <w:pPr>
              <w:pStyle w:val="Normal"/>
              <w:rPr/>
            </w:pPr>
            <w:r>
              <w:rPr/>
            </w:r>
          </w:p>
        </w:tc>
        <w:tc>
          <w:tcPr>
            <w:tcW w:w="72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1,85 </w:t>
            </w:r>
          </w:p>
          <w:p>
            <w:pPr>
              <w:pStyle w:val="Normal"/>
              <w:rPr/>
            </w:pPr>
            <w:r>
              <w:rPr/>
            </w:r>
          </w:p>
        </w:tc>
      </w:tr>
      <w:tr>
        <w:trPr/>
        <w:tc>
          <w:tcPr>
            <w:tcW w:w="4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7 </w:t>
            </w:r>
          </w:p>
          <w:p>
            <w:pPr>
              <w:pStyle w:val="Normal"/>
              <w:rPr/>
            </w:pPr>
            <w:r>
              <w:rPr/>
            </w:r>
          </w:p>
        </w:tc>
        <w:tc>
          <w:tcPr>
            <w:tcW w:w="45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Стальные и чугунные с внутренним пластмассовым или полимерцементным покрытием, нанесенным методом центрифугирования </w:t>
            </w:r>
          </w:p>
          <w:p>
            <w:pPr>
              <w:pStyle w:val="Normal"/>
              <w:jc w:val="both"/>
              <w:rPr/>
            </w:pPr>
            <w:r>
              <w:rPr/>
            </w:r>
          </w:p>
        </w:tc>
        <w:tc>
          <w:tcPr>
            <w:tcW w:w="720" w:type="dxa"/>
            <w:tcBorders>
              <w:top w:val="single" w:sz="2" w:space="0" w:color="000000"/>
              <w:start w:val="single" w:sz="2" w:space="0" w:color="000000"/>
            </w:tcBorders>
            <w:shd w:fill="auto" w:val="clear"/>
            <w:tcMar>
              <w:start w:w="42" w:type="dxa"/>
            </w:tcMar>
          </w:tcPr>
          <w:p>
            <w:pPr>
              <w:pStyle w:val="Normal"/>
              <w:jc w:val="center"/>
              <w:rPr/>
            </w:pPr>
            <w:r>
              <w:rPr/>
              <w:t xml:space="preserve">1,180 </w:t>
            </w:r>
          </w:p>
          <w:p>
            <w:pPr>
              <w:pStyle w:val="Normal"/>
              <w:jc w:val="center"/>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4,89 </w:t>
            </w:r>
          </w:p>
          <w:p>
            <w:pPr>
              <w:pStyle w:val="Normal"/>
              <w:rPr/>
            </w:pPr>
            <w:r>
              <w:rPr/>
            </w:r>
          </w:p>
        </w:tc>
        <w:tc>
          <w:tcPr>
            <w:tcW w:w="72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1,85 </w:t>
            </w:r>
          </w:p>
          <w:p>
            <w:pPr>
              <w:pStyle w:val="Normal"/>
              <w:rPr/>
            </w:pPr>
            <w:r>
              <w:rPr/>
            </w:r>
          </w:p>
        </w:tc>
      </w:tr>
      <w:tr>
        <w:trPr/>
        <w:tc>
          <w:tcPr>
            <w:tcW w:w="4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8 </w:t>
            </w:r>
          </w:p>
          <w:p>
            <w:pPr>
              <w:pStyle w:val="Normal"/>
              <w:rPr/>
            </w:pPr>
            <w:r>
              <w:rPr/>
            </w:r>
          </w:p>
        </w:tc>
        <w:tc>
          <w:tcPr>
            <w:tcW w:w="45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Стальные и чугунные с внутренним цементно-песчаным покрытием, нанесенным методом набрызга с последующим заглаживанием </w:t>
            </w:r>
          </w:p>
          <w:p>
            <w:pPr>
              <w:pStyle w:val="Normal"/>
              <w:jc w:val="both"/>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1,688 </w:t>
            </w:r>
          </w:p>
          <w:p>
            <w:pPr>
              <w:pStyle w:val="Normal"/>
              <w:jc w:val="center"/>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4,89 </w:t>
            </w:r>
          </w:p>
          <w:p>
            <w:pPr>
              <w:pStyle w:val="Normal"/>
              <w:rPr/>
            </w:pPr>
            <w:r>
              <w:rPr/>
            </w:r>
          </w:p>
        </w:tc>
        <w:tc>
          <w:tcPr>
            <w:tcW w:w="72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1,85 </w:t>
            </w:r>
          </w:p>
          <w:p>
            <w:pPr>
              <w:pStyle w:val="Normal"/>
              <w:rPr/>
            </w:pPr>
            <w:r>
              <w:rPr/>
            </w:r>
          </w:p>
        </w:tc>
      </w:tr>
      <w:tr>
        <w:trPr/>
        <w:tc>
          <w:tcPr>
            <w:tcW w:w="4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9 </w:t>
            </w:r>
          </w:p>
          <w:p>
            <w:pPr>
              <w:pStyle w:val="Normal"/>
              <w:rPr/>
            </w:pPr>
            <w:r>
              <w:rPr/>
            </w:r>
          </w:p>
        </w:tc>
        <w:tc>
          <w:tcPr>
            <w:tcW w:w="45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Стальные и чугунные с внутренним цементно-песчаным покрытием, нанесенным методом центрифугирования </w:t>
            </w:r>
          </w:p>
          <w:p>
            <w:pPr>
              <w:pStyle w:val="Normal"/>
              <w:jc w:val="both"/>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1,486 </w:t>
            </w:r>
          </w:p>
          <w:p>
            <w:pPr>
              <w:pStyle w:val="Normal"/>
              <w:jc w:val="center"/>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4,89 </w:t>
            </w:r>
          </w:p>
          <w:p>
            <w:pPr>
              <w:pStyle w:val="Normal"/>
              <w:rPr/>
            </w:pPr>
            <w:r>
              <w:rPr/>
            </w:r>
          </w:p>
        </w:tc>
        <w:tc>
          <w:tcPr>
            <w:tcW w:w="72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1,85 </w:t>
            </w:r>
          </w:p>
          <w:p>
            <w:pPr>
              <w:pStyle w:val="Normal"/>
              <w:rPr/>
            </w:pPr>
            <w:r>
              <w:rPr/>
            </w:r>
          </w:p>
        </w:tc>
      </w:tr>
      <w:tr>
        <w:trPr/>
        <w:tc>
          <w:tcPr>
            <w:tcW w:w="4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10 </w:t>
            </w:r>
          </w:p>
          <w:p>
            <w:pPr>
              <w:pStyle w:val="Normal"/>
              <w:rPr/>
            </w:pPr>
            <w:r>
              <w:rPr/>
            </w:r>
          </w:p>
        </w:tc>
        <w:tc>
          <w:tcPr>
            <w:tcW w:w="45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Пластмассовые </w:t>
            </w:r>
          </w:p>
          <w:p>
            <w:pPr>
              <w:pStyle w:val="Normal"/>
              <w:jc w:val="both"/>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1,052 </w:t>
            </w:r>
          </w:p>
          <w:p>
            <w:pPr>
              <w:pStyle w:val="Normal"/>
              <w:jc w:val="center"/>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4,774 </w:t>
            </w:r>
          </w:p>
          <w:p>
            <w:pPr>
              <w:pStyle w:val="Normal"/>
              <w:rPr/>
            </w:pPr>
            <w:r>
              <w:rPr/>
            </w:r>
          </w:p>
        </w:tc>
        <w:tc>
          <w:tcPr>
            <w:tcW w:w="72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1,774 </w:t>
            </w:r>
          </w:p>
          <w:p>
            <w:pPr>
              <w:pStyle w:val="Normal"/>
              <w:rPr/>
            </w:pPr>
            <w:r>
              <w:rPr/>
            </w:r>
          </w:p>
        </w:tc>
      </w:tr>
      <w:tr>
        <w:trPr/>
        <w:tc>
          <w:tcPr>
            <w:tcW w:w="4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11 </w:t>
            </w:r>
          </w:p>
          <w:p>
            <w:pPr>
              <w:pStyle w:val="Normal"/>
              <w:rPr/>
            </w:pPr>
            <w:r>
              <w:rPr/>
            </w:r>
          </w:p>
        </w:tc>
        <w:tc>
          <w:tcPr>
            <w:tcW w:w="459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Стеклянные </w:t>
            </w:r>
          </w:p>
          <w:p>
            <w:pPr>
              <w:pStyle w:val="Normal"/>
              <w:jc w:val="both"/>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1,144 </w:t>
            </w:r>
          </w:p>
          <w:p>
            <w:pPr>
              <w:pStyle w:val="Normal"/>
              <w:jc w:val="center"/>
              <w:rPr/>
            </w:pPr>
            <w:r>
              <w:rPr/>
            </w:r>
          </w:p>
        </w:tc>
        <w:tc>
          <w:tcPr>
            <w:tcW w:w="72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4,774 </w:t>
            </w:r>
          </w:p>
          <w:p>
            <w:pPr>
              <w:pStyle w:val="Normal"/>
              <w:rPr/>
            </w:pPr>
            <w:r>
              <w:rPr/>
            </w:r>
          </w:p>
        </w:tc>
        <w:tc>
          <w:tcPr>
            <w:tcW w:w="72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1,774 </w:t>
            </w:r>
          </w:p>
          <w:p>
            <w:pPr>
              <w:pStyle w:val="Normal"/>
              <w:rPr/>
            </w:pPr>
            <w:r>
              <w:rPr/>
            </w:r>
          </w:p>
        </w:tc>
      </w:tr>
    </w:tbl>
    <w:p>
      <w:pPr>
        <w:pStyle w:val="Normal"/>
        <w:ind w:firstLine="270"/>
        <w:jc w:val="both"/>
        <w:rPr/>
      </w:pPr>
      <w:r>
        <w:rPr/>
      </w:r>
    </w:p>
    <w:p>
      <w:pPr>
        <w:pStyle w:val="Normal"/>
        <w:ind w:firstLine="270"/>
        <w:jc w:val="both"/>
        <w:rPr/>
      </w:pPr>
      <w:r>
        <w:rPr/>
      </w:r>
    </w:p>
    <w:p>
      <w:pPr>
        <w:pStyle w:val="Normal"/>
        <w:jc w:val="end"/>
        <w:rPr/>
      </w:pPr>
      <w:r>
        <w:rPr/>
        <w:t>Приложение 11</w:t>
      </w:r>
    </w:p>
    <w:p>
      <w:pPr>
        <w:pStyle w:val="Normal"/>
        <w:jc w:val="end"/>
        <w:rPr/>
      </w:pPr>
      <w:r>
        <w:rPr/>
        <w:t>Рекомендуемое</w:t>
      </w:r>
    </w:p>
    <w:p>
      <w:pPr>
        <w:pStyle w:val="Normal"/>
        <w:jc w:val="end"/>
        <w:rPr/>
      </w:pPr>
      <w:r>
        <w:rPr/>
      </w:r>
    </w:p>
    <w:p>
      <w:pPr>
        <w:pStyle w:val="Normal"/>
        <w:jc w:val="end"/>
        <w:rPr/>
      </w:pPr>
      <w:r>
        <w:rPr/>
      </w:r>
    </w:p>
    <w:p>
      <w:pPr>
        <w:pStyle w:val="Heading"/>
        <w:jc w:val="center"/>
        <w:rPr/>
      </w:pPr>
      <w:r>
        <w:rPr/>
        <w:t>ОБРАБОТКА ОХЛАЖДАЮЩЕЙ ВОДЫ ХЛОРОМ И МЕДНЫМ КУПОРОСОМ</w:t>
      </w:r>
    </w:p>
    <w:p>
      <w:pPr>
        <w:pStyle w:val="Heading"/>
        <w:jc w:val="center"/>
        <w:rPr/>
      </w:pPr>
      <w:r>
        <w:rPr/>
      </w:r>
    </w:p>
    <w:p>
      <w:pPr>
        <w:pStyle w:val="Normal"/>
        <w:jc w:val="center"/>
        <w:rPr/>
      </w:pPr>
      <w:r>
        <w:rPr/>
      </w:r>
    </w:p>
    <w:tbl>
      <w:tblPr>
        <w:tblW w:w="12935" w:type="dxa"/>
        <w:jc w:val="start"/>
        <w:tblInd w:w="105" w:type="dxa"/>
        <w:tblBorders>
          <w:top w:val="single" w:sz="2" w:space="0" w:color="000000"/>
          <w:start w:val="single" w:sz="2" w:space="0" w:color="000000"/>
        </w:tblBorders>
        <w:tblCellMar>
          <w:top w:w="0" w:type="dxa"/>
          <w:start w:w="102" w:type="dxa"/>
          <w:bottom w:w="0" w:type="dxa"/>
          <w:end w:w="105" w:type="dxa"/>
        </w:tblCellMar>
      </w:tblPr>
      <w:tblGrid>
        <w:gridCol w:w="1950"/>
        <w:gridCol w:w="675"/>
        <w:gridCol w:w="1980"/>
        <w:gridCol w:w="1545"/>
        <w:gridCol w:w="1560"/>
        <w:gridCol w:w="1980"/>
        <w:gridCol w:w="1545"/>
        <w:gridCol w:w="1700"/>
      </w:tblGrid>
      <w:tr>
        <w:trPr/>
        <w:tc>
          <w:tcPr>
            <w:tcW w:w="1950" w:type="dxa"/>
            <w:tcBorders>
              <w:top w:val="single" w:sz="2" w:space="0" w:color="000000"/>
              <w:start w:val="single" w:sz="2" w:space="0" w:color="000000"/>
            </w:tcBorders>
            <w:shd w:fill="auto" w:val="clear"/>
            <w:tcMar>
              <w:start w:w="102" w:type="dxa"/>
            </w:tcMar>
          </w:tcPr>
          <w:p>
            <w:pPr>
              <w:pStyle w:val="Normal"/>
              <w:rPr/>
            </w:pPr>
            <w:r>
              <w:rPr>
                <w:vanish/>
              </w:rPr>
              <w:t>#G0</w:t>
            </w:r>
            <w:r>
              <w:rPr/>
              <w:t xml:space="preserve">  </w:t>
            </w:r>
          </w:p>
          <w:p>
            <w:pPr>
              <w:pStyle w:val="Normal"/>
              <w:rPr/>
            </w:pPr>
            <w:r>
              <w:rPr/>
            </w:r>
          </w:p>
        </w:tc>
        <w:tc>
          <w:tcPr>
            <w:tcW w:w="9285" w:type="dxa"/>
            <w:gridSpan w:val="6"/>
            <w:tcBorders>
              <w:top w:val="single" w:sz="2" w:space="0" w:color="000000"/>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Обработка охлаждающей воды </w:t>
            </w:r>
          </w:p>
          <w:p>
            <w:pPr>
              <w:pStyle w:val="Normal"/>
              <w:jc w:val="center"/>
              <w:rPr/>
            </w:pPr>
            <w:r>
              <w:rPr/>
            </w:r>
          </w:p>
        </w:tc>
        <w:tc>
          <w:tcPr>
            <w:tcW w:w="1700" w:type="dxa"/>
            <w:tcBorders>
              <w:top w:val="single" w:sz="2" w:space="0" w:color="000000"/>
              <w:start w:val="single" w:sz="2" w:space="0" w:color="000000"/>
              <w:end w:val="single" w:sz="2" w:space="0" w:color="000000"/>
              <w:insideV w:val="single" w:sz="2" w:space="0" w:color="000000"/>
            </w:tcBorders>
            <w:shd w:fill="auto" w:val="clear"/>
            <w:tcMar>
              <w:start w:w="102" w:type="dxa"/>
            </w:tcMar>
          </w:tcPr>
          <w:p>
            <w:pPr>
              <w:pStyle w:val="Normal"/>
              <w:rPr/>
            </w:pPr>
            <w:r>
              <w:rPr/>
              <w:t xml:space="preserve">  </w:t>
            </w:r>
          </w:p>
          <w:p>
            <w:pPr>
              <w:pStyle w:val="Normal"/>
              <w:rPr/>
            </w:pPr>
            <w:r>
              <w:rPr/>
            </w:r>
          </w:p>
        </w:tc>
      </w:tr>
      <w:tr>
        <w:trPr/>
        <w:tc>
          <w:tcPr>
            <w:tcW w:w="1950" w:type="dxa"/>
            <w:tcBorders>
              <w:start w:val="single" w:sz="2" w:space="0" w:color="000000"/>
            </w:tcBorders>
            <w:shd w:fill="auto" w:val="clear"/>
            <w:tcMar>
              <w:start w:w="102" w:type="dxa"/>
            </w:tcMar>
          </w:tcPr>
          <w:p>
            <w:pPr>
              <w:pStyle w:val="Normal"/>
              <w:rPr/>
            </w:pPr>
            <w:r>
              <w:rPr/>
              <w:t xml:space="preserve">  </w:t>
            </w:r>
          </w:p>
          <w:p>
            <w:pPr>
              <w:pStyle w:val="Normal"/>
              <w:rPr/>
            </w:pPr>
            <w:r>
              <w:rPr/>
            </w:r>
          </w:p>
        </w:tc>
        <w:tc>
          <w:tcPr>
            <w:tcW w:w="4200" w:type="dxa"/>
            <w:gridSpan w:val="3"/>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Хлор </w:t>
            </w:r>
          </w:p>
          <w:p>
            <w:pPr>
              <w:pStyle w:val="Normal"/>
              <w:jc w:val="center"/>
              <w:rPr/>
            </w:pPr>
            <w:r>
              <w:rPr/>
            </w:r>
          </w:p>
        </w:tc>
        <w:tc>
          <w:tcPr>
            <w:tcW w:w="5085" w:type="dxa"/>
            <w:gridSpan w:val="3"/>
            <w:tcBorders>
              <w:start w:val="single" w:sz="2" w:space="0" w:color="000000"/>
              <w:bottom w:val="single" w:sz="2" w:space="0" w:color="000000"/>
              <w:insideH w:val="single" w:sz="2" w:space="0" w:color="000000"/>
            </w:tcBorders>
            <w:shd w:fill="auto" w:val="clear"/>
            <w:tcMar>
              <w:start w:w="102" w:type="dxa"/>
            </w:tcMar>
          </w:tcPr>
          <w:p>
            <w:pPr>
              <w:pStyle w:val="Normal"/>
              <w:rPr/>
            </w:pPr>
            <w:r>
              <w:rPr/>
              <w:t>Медный купорос (по иону меди)</w:t>
            </w:r>
          </w:p>
          <w:p>
            <w:pPr>
              <w:pStyle w:val="Normal"/>
              <w:rPr/>
            </w:pPr>
            <w:r>
              <w:rPr/>
            </w:r>
          </w:p>
        </w:tc>
        <w:tc>
          <w:tcPr>
            <w:tcW w:w="170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  </w:t>
            </w:r>
          </w:p>
          <w:p>
            <w:pPr>
              <w:pStyle w:val="Normal"/>
              <w:rPr/>
            </w:pPr>
            <w:r>
              <w:rPr/>
            </w:r>
          </w:p>
        </w:tc>
      </w:tr>
      <w:tr>
        <w:trPr/>
        <w:tc>
          <w:tcPr>
            <w:tcW w:w="1950"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Назначение хлора или </w:t>
            </w:r>
          </w:p>
          <w:p>
            <w:pPr>
              <w:pStyle w:val="Normal"/>
              <w:jc w:val="center"/>
              <w:rPr/>
            </w:pPr>
            <w:r>
              <w:rPr/>
              <w:t xml:space="preserve">медного купороса </w:t>
            </w:r>
          </w:p>
          <w:p>
            <w:pPr>
              <w:pStyle w:val="Normal"/>
              <w:jc w:val="center"/>
              <w:rPr/>
            </w:pPr>
            <w:r>
              <w:rPr/>
            </w:r>
          </w:p>
        </w:tc>
        <w:tc>
          <w:tcPr>
            <w:tcW w:w="675" w:type="dxa"/>
            <w:tcBorders>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Доза,</w:t>
            </w:r>
          </w:p>
          <w:p>
            <w:pPr>
              <w:pStyle w:val="Normal"/>
              <w:rPr/>
            </w:pPr>
            <w:r>
              <w:rPr/>
              <w:t xml:space="preserve">мг/л </w:t>
            </w:r>
          </w:p>
          <w:p>
            <w:pPr>
              <w:pStyle w:val="Normal"/>
              <w:rPr/>
            </w:pPr>
            <w:r>
              <w:rPr/>
            </w:r>
          </w:p>
        </w:tc>
        <w:tc>
          <w:tcPr>
            <w:tcW w:w="198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Продолжительность хлорирования каждого периода, мин, ч </w:t>
            </w:r>
          </w:p>
          <w:p>
            <w:pPr>
              <w:pStyle w:val="Normal"/>
              <w:rPr/>
            </w:pPr>
            <w:r>
              <w:rPr/>
            </w:r>
          </w:p>
        </w:tc>
        <w:tc>
          <w:tcPr>
            <w:tcW w:w="1545" w:type="dxa"/>
            <w:tcBorders>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Периодичность </w:t>
            </w:r>
          </w:p>
          <w:p>
            <w:pPr>
              <w:pStyle w:val="Normal"/>
              <w:rPr/>
            </w:pPr>
            <w:r>
              <w:rPr/>
            </w:r>
          </w:p>
        </w:tc>
        <w:tc>
          <w:tcPr>
            <w:tcW w:w="1560" w:type="dxa"/>
            <w:tcBorders>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Доза, мг/л </w:t>
            </w:r>
          </w:p>
          <w:p>
            <w:pPr>
              <w:pStyle w:val="Normal"/>
              <w:rPr/>
            </w:pPr>
            <w:r>
              <w:rPr/>
            </w:r>
          </w:p>
        </w:tc>
        <w:tc>
          <w:tcPr>
            <w:tcW w:w="1980" w:type="dxa"/>
            <w:tcBorders>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t xml:space="preserve">Продолжительность хлорирования каждого периода </w:t>
            </w:r>
          </w:p>
          <w:p>
            <w:pPr>
              <w:pStyle w:val="Normal"/>
              <w:rPr/>
            </w:pPr>
            <w:r>
              <w:rPr/>
            </w:r>
          </w:p>
        </w:tc>
        <w:tc>
          <w:tcPr>
            <w:tcW w:w="1545" w:type="dxa"/>
            <w:tcBorders>
              <w:start w:val="single" w:sz="2" w:space="0" w:color="000000"/>
              <w:bottom w:val="single" w:sz="2" w:space="0" w:color="000000"/>
              <w:insideH w:val="single" w:sz="2" w:space="0" w:color="000000"/>
            </w:tcBorders>
            <w:shd w:fill="auto" w:val="clear"/>
            <w:tcMar>
              <w:start w:w="102" w:type="dxa"/>
            </w:tcMar>
          </w:tcPr>
          <w:p>
            <w:pPr>
              <w:pStyle w:val="Normal"/>
              <w:snapToGrid w:val="false"/>
              <w:rPr/>
            </w:pPr>
            <w:r>
              <w:rPr/>
            </w:r>
          </w:p>
          <w:p>
            <w:pPr>
              <w:pStyle w:val="Normal"/>
              <w:rPr/>
            </w:pPr>
            <w:r>
              <w:rPr/>
            </w:r>
          </w:p>
          <w:p>
            <w:pPr>
              <w:pStyle w:val="Normal"/>
              <w:rPr/>
            </w:pPr>
            <w:r>
              <w:rPr/>
              <w:t xml:space="preserve">Периодичность </w:t>
            </w:r>
          </w:p>
          <w:p>
            <w:pPr>
              <w:pStyle w:val="Normal"/>
              <w:rPr/>
            </w:pPr>
            <w:r>
              <w:rPr/>
            </w:r>
          </w:p>
        </w:tc>
        <w:tc>
          <w:tcPr>
            <w:tcW w:w="170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Дополнительные</w:t>
            </w:r>
          </w:p>
          <w:p>
            <w:pPr>
              <w:pStyle w:val="Normal"/>
              <w:rPr/>
            </w:pPr>
            <w:r>
              <w:rPr/>
              <w:t xml:space="preserve">данные </w:t>
            </w:r>
          </w:p>
          <w:p>
            <w:pPr>
              <w:pStyle w:val="Normal"/>
              <w:rPr/>
            </w:pPr>
            <w:r>
              <w:rPr/>
            </w:r>
          </w:p>
        </w:tc>
      </w:tr>
      <w:tr>
        <w:trPr/>
        <w:tc>
          <w:tcPr>
            <w:tcW w:w="1950" w:type="dxa"/>
            <w:tcBorders>
              <w:start w:val="single" w:sz="2" w:space="0" w:color="000000"/>
            </w:tcBorders>
            <w:shd w:fill="auto" w:val="clear"/>
            <w:tcMar>
              <w:start w:w="102" w:type="dxa"/>
            </w:tcMar>
          </w:tcPr>
          <w:p>
            <w:pPr>
              <w:pStyle w:val="Normal"/>
              <w:jc w:val="both"/>
              <w:rPr/>
            </w:pPr>
            <w:r>
              <w:rPr/>
              <w:t>Борьба с цветением воды в водохранилищах (прудах) - охладителях</w:t>
            </w:r>
          </w:p>
          <w:p>
            <w:pPr>
              <w:pStyle w:val="Normal"/>
              <w:jc w:val="both"/>
              <w:rPr/>
            </w:pPr>
            <w:r>
              <w:rPr/>
            </w:r>
          </w:p>
          <w:p>
            <w:pPr>
              <w:pStyle w:val="Normal"/>
              <w:jc w:val="both"/>
              <w:rPr/>
            </w:pPr>
            <w:r>
              <w:rPr/>
            </w:r>
          </w:p>
        </w:tc>
        <w:tc>
          <w:tcPr>
            <w:tcW w:w="675"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98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545"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560" w:type="dxa"/>
            <w:tcBorders>
              <w:start w:val="single" w:sz="2" w:space="0" w:color="000000"/>
            </w:tcBorders>
            <w:shd w:fill="auto" w:val="clear"/>
            <w:tcMar>
              <w:start w:w="102" w:type="dxa"/>
            </w:tcMar>
          </w:tcPr>
          <w:p>
            <w:pPr>
              <w:pStyle w:val="Normal"/>
              <w:jc w:val="both"/>
              <w:rPr/>
            </w:pPr>
            <w:r>
              <w:rPr/>
              <w:t>0,1- 0,5, считая на объем верхнего слоя воды в водохранилище толщиной 1 - 1,5 м или на весь объем воды в пруду</w:t>
            </w:r>
          </w:p>
          <w:p>
            <w:pPr>
              <w:pStyle w:val="Normal"/>
              <w:jc w:val="both"/>
              <w:rPr/>
            </w:pPr>
            <w:r>
              <w:rPr/>
            </w:r>
          </w:p>
          <w:p>
            <w:pPr>
              <w:pStyle w:val="Normal"/>
              <w:jc w:val="both"/>
              <w:rPr/>
            </w:pPr>
            <w:r>
              <w:rPr/>
            </w:r>
          </w:p>
        </w:tc>
        <w:tc>
          <w:tcPr>
            <w:tcW w:w="1980" w:type="dxa"/>
            <w:tcBorders>
              <w:start w:val="single" w:sz="2" w:space="0" w:color="000000"/>
            </w:tcBorders>
            <w:shd w:fill="auto" w:val="clear"/>
            <w:tcMar>
              <w:start w:w="102" w:type="dxa"/>
            </w:tcMar>
          </w:tcPr>
          <w:p>
            <w:pPr>
              <w:pStyle w:val="Normal"/>
              <w:rPr/>
            </w:pPr>
            <w:r>
              <w:rPr/>
              <w:t xml:space="preserve">Устанавливается опытным путем в процессе эксплуатации </w:t>
            </w:r>
          </w:p>
          <w:p>
            <w:pPr>
              <w:pStyle w:val="Normal"/>
              <w:rPr/>
            </w:pPr>
            <w:r>
              <w:rPr/>
            </w:r>
          </w:p>
        </w:tc>
        <w:tc>
          <w:tcPr>
            <w:tcW w:w="1545"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700" w:type="dxa"/>
            <w:tcBorders>
              <w:start w:val="single" w:sz="2" w:space="0" w:color="000000"/>
              <w:end w:val="single" w:sz="2" w:space="0" w:color="000000"/>
              <w:insideV w:val="single" w:sz="2" w:space="0" w:color="000000"/>
            </w:tcBorders>
            <w:shd w:fill="auto" w:val="clear"/>
            <w:tcMar>
              <w:start w:w="102" w:type="dxa"/>
            </w:tcMar>
          </w:tcPr>
          <w:p>
            <w:pPr>
              <w:pStyle w:val="Normal"/>
              <w:jc w:val="both"/>
              <w:rPr/>
            </w:pPr>
            <w:r>
              <w:rPr/>
              <w:t xml:space="preserve">Для пересчета иона меди на товарный продукт дозу следует умножить на 4 </w:t>
            </w:r>
          </w:p>
          <w:p>
            <w:pPr>
              <w:pStyle w:val="Normal"/>
              <w:jc w:val="both"/>
              <w:rPr/>
            </w:pPr>
            <w:r>
              <w:rPr/>
            </w:r>
          </w:p>
        </w:tc>
      </w:tr>
      <w:tr>
        <w:trPr/>
        <w:tc>
          <w:tcPr>
            <w:tcW w:w="1950" w:type="dxa"/>
            <w:tcBorders>
              <w:start w:val="single" w:sz="2" w:space="0" w:color="000000"/>
            </w:tcBorders>
            <w:shd w:fill="auto" w:val="clear"/>
            <w:tcMar>
              <w:start w:w="102" w:type="dxa"/>
            </w:tcMar>
          </w:tcPr>
          <w:p>
            <w:pPr>
              <w:pStyle w:val="Normal"/>
              <w:rPr/>
            </w:pPr>
            <w:r>
              <w:rPr/>
              <w:t>Предупреждение бактериального биологического обрастания теплообменных аппаратов и трубопроводов</w:t>
            </w:r>
          </w:p>
          <w:p>
            <w:pPr>
              <w:pStyle w:val="Normal"/>
              <w:rPr/>
            </w:pPr>
            <w:r>
              <w:rPr/>
            </w:r>
          </w:p>
          <w:p>
            <w:pPr>
              <w:pStyle w:val="Normal"/>
              <w:rPr/>
            </w:pPr>
            <w:r>
              <w:rPr/>
            </w:r>
          </w:p>
        </w:tc>
        <w:tc>
          <w:tcPr>
            <w:tcW w:w="675"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980" w:type="dxa"/>
            <w:tcBorders>
              <w:start w:val="single" w:sz="2" w:space="0" w:color="000000"/>
            </w:tcBorders>
            <w:shd w:fill="auto" w:val="clear"/>
            <w:tcMar>
              <w:start w:w="102" w:type="dxa"/>
            </w:tcMar>
          </w:tcPr>
          <w:p>
            <w:pPr>
              <w:pStyle w:val="Normal"/>
              <w:jc w:val="center"/>
              <w:rPr/>
            </w:pPr>
            <w:r>
              <w:rPr/>
              <w:t xml:space="preserve">40 - 60 мин </w:t>
            </w:r>
          </w:p>
          <w:p>
            <w:pPr>
              <w:pStyle w:val="Normal"/>
              <w:jc w:val="center"/>
              <w:rPr/>
            </w:pPr>
            <w:r>
              <w:rPr/>
            </w:r>
          </w:p>
        </w:tc>
        <w:tc>
          <w:tcPr>
            <w:tcW w:w="1545" w:type="dxa"/>
            <w:tcBorders>
              <w:start w:val="single" w:sz="2" w:space="0" w:color="000000"/>
            </w:tcBorders>
            <w:shd w:fill="auto" w:val="clear"/>
            <w:tcMar>
              <w:start w:w="102" w:type="dxa"/>
            </w:tcMar>
          </w:tcPr>
          <w:p>
            <w:pPr>
              <w:pStyle w:val="Normal"/>
              <w:rPr/>
            </w:pPr>
            <w:r>
              <w:rPr/>
              <w:t>2 -  6 раз</w:t>
            </w:r>
          </w:p>
          <w:p>
            <w:pPr>
              <w:pStyle w:val="Normal"/>
              <w:rPr/>
            </w:pPr>
            <w:r>
              <w:rPr/>
              <w:t xml:space="preserve">в сут </w:t>
            </w:r>
          </w:p>
          <w:p>
            <w:pPr>
              <w:pStyle w:val="Normal"/>
              <w:rPr/>
            </w:pPr>
            <w:r>
              <w:rPr/>
            </w:r>
          </w:p>
        </w:tc>
        <w:tc>
          <w:tcPr>
            <w:tcW w:w="156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98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545"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700" w:type="dxa"/>
            <w:tcBorders>
              <w:start w:val="single" w:sz="2" w:space="0" w:color="000000"/>
              <w:end w:val="single" w:sz="2" w:space="0" w:color="000000"/>
              <w:insideV w:val="single" w:sz="2" w:space="0" w:color="000000"/>
            </w:tcBorders>
            <w:shd w:fill="auto" w:val="clear"/>
            <w:tcMar>
              <w:start w:w="102" w:type="dxa"/>
            </w:tcMar>
          </w:tcPr>
          <w:p>
            <w:pPr>
              <w:pStyle w:val="Normal"/>
              <w:jc w:val="both"/>
              <w:rPr/>
            </w:pPr>
            <w:r>
              <w:rPr/>
              <w:t>Доза хлора должна обеспечивать содержание остаточного активного хлора в оборотной воде после наиболее удаленных теплообменных аппаратов 1 мг-л в течение 30 - 40 мин</w:t>
            </w:r>
          </w:p>
          <w:p>
            <w:pPr>
              <w:pStyle w:val="Normal"/>
              <w:jc w:val="both"/>
              <w:rPr/>
            </w:pPr>
            <w:r>
              <w:rPr/>
            </w:r>
          </w:p>
          <w:p>
            <w:pPr>
              <w:pStyle w:val="Normal"/>
              <w:jc w:val="both"/>
              <w:rPr/>
            </w:pPr>
            <w:r>
              <w:rPr/>
            </w:r>
          </w:p>
        </w:tc>
      </w:tr>
      <w:tr>
        <w:trPr/>
        <w:tc>
          <w:tcPr>
            <w:tcW w:w="1950" w:type="dxa"/>
            <w:tcBorders>
              <w:start w:val="single" w:sz="2" w:space="0" w:color="000000"/>
            </w:tcBorders>
            <w:shd w:fill="auto" w:val="clear"/>
            <w:tcMar>
              <w:start w:w="102" w:type="dxa"/>
            </w:tcMar>
          </w:tcPr>
          <w:p>
            <w:pPr>
              <w:pStyle w:val="Normal"/>
              <w:rPr/>
            </w:pPr>
            <w:r>
              <w:rPr/>
              <w:t>Предупреждение обрастания водорослями градирен, брызгальных бассейнов и оросительных теплообменных аппаратов</w:t>
            </w:r>
          </w:p>
          <w:p>
            <w:pPr>
              <w:pStyle w:val="Normal"/>
              <w:rPr/>
            </w:pPr>
            <w:r>
              <w:rPr/>
            </w:r>
          </w:p>
          <w:p>
            <w:pPr>
              <w:pStyle w:val="Normal"/>
              <w:rPr/>
            </w:pPr>
            <w:r>
              <w:rPr/>
            </w:r>
          </w:p>
        </w:tc>
        <w:tc>
          <w:tcPr>
            <w:tcW w:w="675"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980"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545" w:type="dxa"/>
            <w:tcBorders>
              <w:start w:val="single" w:sz="2" w:space="0" w:color="000000"/>
            </w:tcBorders>
            <w:shd w:fill="auto" w:val="clear"/>
            <w:tcMar>
              <w:start w:w="102" w:type="dxa"/>
            </w:tcMar>
          </w:tcPr>
          <w:p>
            <w:pPr>
              <w:pStyle w:val="Normal"/>
              <w:rPr/>
            </w:pPr>
            <w:r>
              <w:rPr/>
              <w:t xml:space="preserve">             </w:t>
            </w:r>
            <w:r>
              <w:rPr/>
              <w:t>-</w:t>
            </w:r>
          </w:p>
          <w:p>
            <w:pPr>
              <w:pStyle w:val="Normal"/>
              <w:rPr/>
            </w:pPr>
            <w:r>
              <w:rPr/>
            </w:r>
          </w:p>
        </w:tc>
        <w:tc>
          <w:tcPr>
            <w:tcW w:w="1560" w:type="dxa"/>
            <w:tcBorders>
              <w:start w:val="single" w:sz="2" w:space="0" w:color="000000"/>
            </w:tcBorders>
            <w:shd w:fill="auto" w:val="clear"/>
            <w:tcMar>
              <w:start w:w="102" w:type="dxa"/>
            </w:tcMar>
          </w:tcPr>
          <w:p>
            <w:pPr>
              <w:pStyle w:val="Normal"/>
              <w:jc w:val="center"/>
              <w:rPr/>
            </w:pPr>
            <w:r>
              <w:rPr/>
              <w:t xml:space="preserve">1 - 2 </w:t>
            </w:r>
          </w:p>
          <w:p>
            <w:pPr>
              <w:pStyle w:val="Normal"/>
              <w:jc w:val="center"/>
              <w:rPr/>
            </w:pPr>
            <w:r>
              <w:rPr/>
            </w:r>
          </w:p>
        </w:tc>
        <w:tc>
          <w:tcPr>
            <w:tcW w:w="1980" w:type="dxa"/>
            <w:tcBorders>
              <w:start w:val="single" w:sz="2" w:space="0" w:color="000000"/>
            </w:tcBorders>
            <w:shd w:fill="auto" w:val="clear"/>
            <w:tcMar>
              <w:start w:w="102" w:type="dxa"/>
            </w:tcMar>
          </w:tcPr>
          <w:p>
            <w:pPr>
              <w:pStyle w:val="Normal"/>
              <w:rPr/>
            </w:pPr>
            <w:r>
              <w:rPr/>
              <w:t xml:space="preserve">1 ч </w:t>
            </w:r>
          </w:p>
          <w:p>
            <w:pPr>
              <w:pStyle w:val="Normal"/>
              <w:rPr/>
            </w:pPr>
            <w:r>
              <w:rPr/>
            </w:r>
          </w:p>
        </w:tc>
        <w:tc>
          <w:tcPr>
            <w:tcW w:w="1545" w:type="dxa"/>
            <w:tcBorders>
              <w:start w:val="single" w:sz="2" w:space="0" w:color="000000"/>
            </w:tcBorders>
            <w:shd w:fill="auto" w:val="clear"/>
            <w:tcMar>
              <w:start w:w="102" w:type="dxa"/>
            </w:tcMar>
          </w:tcPr>
          <w:p>
            <w:pPr>
              <w:pStyle w:val="Normal"/>
              <w:rPr/>
            </w:pPr>
            <w:r>
              <w:rPr/>
              <w:t>3 - 4 раза</w:t>
            </w:r>
          </w:p>
          <w:p>
            <w:pPr>
              <w:pStyle w:val="Normal"/>
              <w:rPr/>
            </w:pPr>
            <w:r>
              <w:rPr/>
              <w:t xml:space="preserve">в месяц </w:t>
            </w:r>
          </w:p>
          <w:p>
            <w:pPr>
              <w:pStyle w:val="Normal"/>
              <w:rPr/>
            </w:pPr>
            <w:r>
              <w:rPr/>
            </w:r>
          </w:p>
        </w:tc>
        <w:tc>
          <w:tcPr>
            <w:tcW w:w="1700" w:type="dxa"/>
            <w:tcBorders>
              <w:start w:val="single" w:sz="2" w:space="0" w:color="000000"/>
              <w:end w:val="single" w:sz="2" w:space="0" w:color="000000"/>
              <w:insideV w:val="single" w:sz="2" w:space="0" w:color="000000"/>
            </w:tcBorders>
            <w:shd w:fill="auto" w:val="clear"/>
            <w:tcMar>
              <w:start w:w="102" w:type="dxa"/>
            </w:tcMar>
          </w:tcPr>
          <w:p>
            <w:pPr>
              <w:pStyle w:val="Normal"/>
              <w:rPr/>
            </w:pPr>
            <w:r>
              <w:rPr/>
              <w:t xml:space="preserve">     </w:t>
            </w:r>
          </w:p>
          <w:p>
            <w:pPr>
              <w:pStyle w:val="Normal"/>
              <w:jc w:val="center"/>
              <w:rPr/>
            </w:pPr>
            <w:r>
              <w:rPr/>
              <w:t>-</w:t>
            </w:r>
          </w:p>
          <w:p>
            <w:pPr>
              <w:pStyle w:val="Normal"/>
              <w:jc w:val="center"/>
              <w:rPr/>
            </w:pPr>
            <w:r>
              <w:rPr/>
            </w:r>
          </w:p>
        </w:tc>
      </w:tr>
      <w:tr>
        <w:trPr/>
        <w:tc>
          <w:tcPr>
            <w:tcW w:w="1950" w:type="dxa"/>
            <w:tcBorders>
              <w:start w:val="single" w:sz="2" w:space="0" w:color="000000"/>
              <w:bottom w:val="single" w:sz="2" w:space="0" w:color="000000"/>
              <w:insideH w:val="single" w:sz="2" w:space="0" w:color="000000"/>
            </w:tcBorders>
            <w:shd w:fill="auto" w:val="clear"/>
            <w:tcMar>
              <w:start w:w="102" w:type="dxa"/>
            </w:tcMar>
          </w:tcPr>
          <w:p>
            <w:pPr>
              <w:pStyle w:val="Normal"/>
              <w:jc w:val="both"/>
              <w:rPr/>
            </w:pPr>
            <w:r>
              <w:rPr/>
              <w:t>Предупреждение биологического обрастания микроорганизмами, водорослями градирен, брызгальных бассейнов и оросительных теплообменных аппаратов</w:t>
            </w:r>
          </w:p>
          <w:p>
            <w:pPr>
              <w:pStyle w:val="Normal"/>
              <w:jc w:val="both"/>
              <w:rPr/>
            </w:pPr>
            <w:r>
              <w:rPr/>
            </w:r>
          </w:p>
          <w:p>
            <w:pPr>
              <w:pStyle w:val="Normal"/>
              <w:jc w:val="both"/>
              <w:rPr/>
            </w:pPr>
            <w:r>
              <w:rPr/>
            </w:r>
          </w:p>
        </w:tc>
        <w:tc>
          <w:tcPr>
            <w:tcW w:w="675" w:type="dxa"/>
            <w:tcBorders>
              <w:start w:val="single" w:sz="2" w:space="0" w:color="000000"/>
              <w:bottom w:val="single" w:sz="2" w:space="0" w:color="000000"/>
              <w:insideH w:val="single" w:sz="2" w:space="0" w:color="000000"/>
            </w:tcBorders>
            <w:shd w:fill="auto" w:val="clear"/>
            <w:tcMar>
              <w:start w:w="102" w:type="dxa"/>
            </w:tcMar>
          </w:tcPr>
          <w:p>
            <w:pPr>
              <w:pStyle w:val="Normal"/>
              <w:jc w:val="center"/>
              <w:rPr/>
            </w:pPr>
            <w:r>
              <w:rPr/>
              <w:t xml:space="preserve">7-10 </w:t>
            </w:r>
          </w:p>
          <w:p>
            <w:pPr>
              <w:pStyle w:val="Normal"/>
              <w:jc w:val="center"/>
              <w:rPr/>
            </w:pPr>
            <w:r>
              <w:rPr/>
            </w:r>
          </w:p>
        </w:tc>
        <w:tc>
          <w:tcPr>
            <w:tcW w:w="198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 ч </w:t>
            </w:r>
          </w:p>
          <w:p>
            <w:pPr>
              <w:pStyle w:val="Normal"/>
              <w:rPr/>
            </w:pPr>
            <w:r>
              <w:rPr/>
            </w:r>
          </w:p>
        </w:tc>
        <w:tc>
          <w:tcPr>
            <w:tcW w:w="154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3 - 4 раза</w:t>
            </w:r>
          </w:p>
          <w:p>
            <w:pPr>
              <w:pStyle w:val="Normal"/>
              <w:rPr/>
            </w:pPr>
            <w:r>
              <w:rPr/>
              <w:t xml:space="preserve">в месяц </w:t>
            </w:r>
          </w:p>
          <w:p>
            <w:pPr>
              <w:pStyle w:val="Normal"/>
              <w:rPr/>
            </w:pPr>
            <w:r>
              <w:rPr/>
            </w:r>
          </w:p>
        </w:tc>
        <w:tc>
          <w:tcPr>
            <w:tcW w:w="156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1 - 2 </w:t>
            </w:r>
          </w:p>
          <w:p>
            <w:pPr>
              <w:pStyle w:val="Normal"/>
              <w:rPr/>
            </w:pPr>
            <w:r>
              <w:rPr/>
            </w:r>
          </w:p>
        </w:tc>
        <w:tc>
          <w:tcPr>
            <w:tcW w:w="1980"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 xml:space="preserve">1 ч </w:t>
            </w:r>
          </w:p>
          <w:p>
            <w:pPr>
              <w:pStyle w:val="Normal"/>
              <w:rPr/>
            </w:pPr>
            <w:r>
              <w:rPr/>
            </w:r>
          </w:p>
        </w:tc>
        <w:tc>
          <w:tcPr>
            <w:tcW w:w="1545" w:type="dxa"/>
            <w:tcBorders>
              <w:start w:val="single" w:sz="2" w:space="0" w:color="000000"/>
              <w:bottom w:val="single" w:sz="2" w:space="0" w:color="000000"/>
              <w:insideH w:val="single" w:sz="2" w:space="0" w:color="000000"/>
            </w:tcBorders>
            <w:shd w:fill="auto" w:val="clear"/>
            <w:tcMar>
              <w:start w:w="102" w:type="dxa"/>
            </w:tcMar>
          </w:tcPr>
          <w:p>
            <w:pPr>
              <w:pStyle w:val="Normal"/>
              <w:rPr/>
            </w:pPr>
            <w:r>
              <w:rPr/>
              <w:t>3  - 4 раза</w:t>
            </w:r>
          </w:p>
          <w:p>
            <w:pPr>
              <w:pStyle w:val="Normal"/>
              <w:rPr/>
            </w:pPr>
            <w:r>
              <w:rPr/>
              <w:t xml:space="preserve">в месяц </w:t>
            </w:r>
          </w:p>
          <w:p>
            <w:pPr>
              <w:pStyle w:val="Normal"/>
              <w:rPr/>
            </w:pPr>
            <w:r>
              <w:rPr/>
            </w:r>
          </w:p>
        </w:tc>
        <w:tc>
          <w:tcPr>
            <w:tcW w:w="170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102" w:type="dxa"/>
            </w:tcMar>
          </w:tcPr>
          <w:p>
            <w:pPr>
              <w:pStyle w:val="Normal"/>
              <w:rPr/>
            </w:pPr>
            <w:r>
              <w:rPr/>
              <w:t xml:space="preserve"> </w:t>
            </w:r>
            <w:r>
              <w:rPr/>
              <w:t>-</w:t>
            </w:r>
          </w:p>
          <w:p>
            <w:pPr>
              <w:pStyle w:val="Normal"/>
              <w:rPr/>
            </w:pPr>
            <w:r>
              <w:rPr/>
            </w:r>
          </w:p>
        </w:tc>
      </w:tr>
    </w:tbl>
    <w:p>
      <w:pPr>
        <w:pStyle w:val="Normal"/>
        <w:ind w:firstLine="270"/>
        <w:jc w:val="both"/>
        <w:rPr/>
      </w:pPr>
      <w:r>
        <w:rPr/>
      </w:r>
    </w:p>
    <w:p>
      <w:pPr>
        <w:pStyle w:val="Normal"/>
        <w:ind w:firstLine="270"/>
        <w:jc w:val="both"/>
        <w:rPr/>
      </w:pPr>
      <w:r>
        <w:rPr/>
      </w:r>
    </w:p>
    <w:p>
      <w:pPr>
        <w:pStyle w:val="Normal"/>
        <w:ind w:firstLine="225"/>
        <w:jc w:val="both"/>
        <w:rPr/>
      </w:pPr>
      <w:r>
        <w:rPr/>
        <w:t>Примечание. Рекомендации по обработке воды медным купоросом не распространяются на водохранилища (пруды) - охладители рыбохозяйственного значения.</w:t>
      </w:r>
    </w:p>
    <w:p>
      <w:pPr>
        <w:pStyle w:val="Normal"/>
        <w:ind w:firstLine="225"/>
        <w:jc w:val="both"/>
        <w:rPr/>
      </w:pPr>
      <w:r>
        <w:rPr/>
      </w:r>
    </w:p>
    <w:p>
      <w:pPr>
        <w:pStyle w:val="Normal"/>
        <w:ind w:firstLine="225"/>
        <w:jc w:val="both"/>
        <w:rPr/>
      </w:pPr>
      <w:r>
        <w:rPr/>
        <w:t>Применение медного купороса в системах оборотного водоснабжения с градирнями, брызгальными бассейнами и оросительными теплообменными аппаратами, имеющих сбросы воды в водоемы рыбохозяйственного значения, допускается при условии соблюдения ПДК по меди для указанных водоемов.</w:t>
      </w:r>
    </w:p>
    <w:p>
      <w:pPr>
        <w:pStyle w:val="Normal"/>
        <w:ind w:firstLine="270"/>
        <w:jc w:val="both"/>
        <w:rPr/>
      </w:pPr>
      <w:r>
        <w:rPr/>
      </w:r>
    </w:p>
    <w:p>
      <w:pPr>
        <w:pStyle w:val="Normal"/>
        <w:ind w:firstLine="270"/>
        <w:jc w:val="both"/>
        <w:rPr/>
      </w:pPr>
      <w:r>
        <w:rPr/>
      </w:r>
    </w:p>
    <w:p>
      <w:pPr>
        <w:pStyle w:val="Normal"/>
        <w:jc w:val="end"/>
        <w:rPr/>
      </w:pPr>
      <w:r>
        <w:rPr/>
        <w:t xml:space="preserve">Приложение 12 </w:t>
      </w:r>
    </w:p>
    <w:p>
      <w:pPr>
        <w:pStyle w:val="Normal"/>
        <w:jc w:val="end"/>
        <w:rPr/>
      </w:pPr>
      <w:r>
        <w:rPr/>
        <w:t xml:space="preserve">Рекомендуемое </w:t>
      </w:r>
    </w:p>
    <w:p>
      <w:pPr>
        <w:pStyle w:val="Normal"/>
        <w:ind w:firstLine="270"/>
        <w:jc w:val="both"/>
        <w:rPr/>
      </w:pPr>
      <w:r>
        <w:rPr/>
      </w:r>
    </w:p>
    <w:p>
      <w:pPr>
        <w:pStyle w:val="Normal"/>
        <w:ind w:firstLine="225"/>
        <w:jc w:val="both"/>
        <w:rPr/>
      </w:pPr>
      <w:r>
        <w:rPr/>
      </w:r>
    </w:p>
    <w:p>
      <w:pPr>
        <w:pStyle w:val="Heading"/>
        <w:jc w:val="center"/>
        <w:rPr/>
      </w:pPr>
      <w:r>
        <w:rPr/>
        <w:t>РАСЧЕТ РЕЖИМОВ ОБРАБОТКИ</w:t>
      </w:r>
    </w:p>
    <w:p>
      <w:pPr>
        <w:pStyle w:val="Heading"/>
        <w:jc w:val="center"/>
        <w:rPr/>
      </w:pPr>
      <w:r>
        <w:rPr/>
        <w:t>ОХЛАЖДАЮЩЕЙ ВОДЫ</w:t>
      </w:r>
    </w:p>
    <w:p>
      <w:pPr>
        <w:pStyle w:val="Heading"/>
        <w:jc w:val="center"/>
        <w:rPr/>
      </w:pPr>
      <w:r>
        <w:rPr/>
        <w:t>ДЛЯ ПРЕДОТВРАЩЕНИЯ КАРБОНАТНЫХ</w:t>
      </w:r>
    </w:p>
    <w:p>
      <w:pPr>
        <w:pStyle w:val="Heading"/>
        <w:jc w:val="center"/>
        <w:rPr/>
      </w:pPr>
      <w:r>
        <w:rPr/>
        <w:t xml:space="preserve">И СУЛЬФАТНЫХ ОТЛОЖЕНИЙ </w:t>
      </w:r>
    </w:p>
    <w:p>
      <w:pPr>
        <w:pStyle w:val="Normal"/>
        <w:ind w:firstLine="270"/>
        <w:jc w:val="both"/>
        <w:rPr/>
      </w:pPr>
      <w:r>
        <w:rPr/>
      </w:r>
    </w:p>
    <w:p>
      <w:pPr>
        <w:pStyle w:val="Normal"/>
        <w:ind w:firstLine="270"/>
        <w:jc w:val="both"/>
        <w:rPr/>
      </w:pPr>
      <w:r>
        <w:rPr/>
      </w:r>
    </w:p>
    <w:p>
      <w:pPr>
        <w:pStyle w:val="Normal"/>
        <w:ind w:firstLine="225"/>
        <w:jc w:val="both"/>
        <w:rPr/>
      </w:pPr>
      <w:r>
        <w:rPr/>
        <w:t>1. При подкислении воды дозу кислоты Дкис, мг/л, в расчете на добавочную воду следует определять по формуле</w:t>
      </w:r>
    </w:p>
    <w:p>
      <w:pPr>
        <w:pStyle w:val="Normal"/>
        <w:ind w:firstLine="225"/>
        <w:jc w:val="both"/>
        <w:rPr/>
      </w:pPr>
      <w:r>
        <w:rPr/>
      </w:r>
    </w:p>
    <w:p>
      <w:pPr>
        <w:pStyle w:val="Normal"/>
        <w:ind w:firstLine="1395"/>
        <w:jc w:val="both"/>
        <w:rPr/>
      </w:pPr>
      <w:r>
        <w:rPr/>
      </w:r>
    </w:p>
    <w:tbl>
      <w:tblPr>
        <w:tblW w:w="5655" w:type="dxa"/>
        <w:jc w:val="start"/>
        <w:tblInd w:w="165" w:type="dxa"/>
        <w:tblBorders/>
        <w:tblCellMar>
          <w:top w:w="0" w:type="dxa"/>
          <w:start w:w="15" w:type="dxa"/>
          <w:bottom w:w="0" w:type="dxa"/>
          <w:end w:w="15" w:type="dxa"/>
        </w:tblCellMar>
      </w:tblPr>
      <w:tblGrid>
        <w:gridCol w:w="3885"/>
        <w:gridCol w:w="1770"/>
      </w:tblGrid>
      <w:tr>
        <w:trPr/>
        <w:tc>
          <w:tcPr>
            <w:tcW w:w="3885" w:type="dxa"/>
            <w:tcBorders/>
            <w:shd w:fill="auto" w:val="clear"/>
          </w:tcPr>
          <w:p>
            <w:pPr>
              <w:pStyle w:val="Normal"/>
              <w:rPr/>
            </w:pPr>
            <w:r>
              <w:rPr>
                <w:vanish/>
              </w:rPr>
              <w:t>#G0</w:t>
            </w:r>
            <w:r>
              <w:rPr/>
              <w:t xml:space="preserve">  </w:t>
            </w:r>
          </w:p>
          <w:p>
            <w:pPr>
              <w:pStyle w:val="Normal"/>
              <w:rPr/>
            </w:pPr>
            <w:r>
              <w:rPr/>
              <w:drawing>
                <wp:inline distT="0" distB="0" distL="0" distR="0">
                  <wp:extent cx="2545715" cy="299720"/>
                  <wp:effectExtent l="0" t="0" r="0" b="0"/>
                  <wp:docPr id="385" name="Изображение3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Изображение385" descr="" title=""/>
                          <pic:cNvPicPr>
                            <a:picLocks noChangeAspect="1" noChangeArrowheads="1"/>
                          </pic:cNvPicPr>
                        </pic:nvPicPr>
                        <pic:blipFill>
                          <a:blip r:embed="rId386"/>
                          <a:stretch>
                            <a:fillRect/>
                          </a:stretch>
                        </pic:blipFill>
                        <pic:spPr bwMode="auto">
                          <a:xfrm>
                            <a:off x="0" y="0"/>
                            <a:ext cx="2545715" cy="299720"/>
                          </a:xfrm>
                          <a:prstGeom prst="rect">
                            <a:avLst/>
                          </a:prstGeom>
                        </pic:spPr>
                      </pic:pic>
                    </a:graphicData>
                  </a:graphic>
                </wp:inline>
              </w:drawing>
            </w:r>
          </w:p>
        </w:tc>
        <w:tc>
          <w:tcPr>
            <w:tcW w:w="1770" w:type="dxa"/>
            <w:tcBorders/>
            <w:shd w:fill="auto" w:val="clear"/>
          </w:tcPr>
          <w:p>
            <w:pPr>
              <w:pStyle w:val="Normal"/>
              <w:snapToGrid w:val="false"/>
              <w:rPr/>
            </w:pPr>
            <w:r>
              <w:rPr/>
            </w:r>
          </w:p>
          <w:p>
            <w:pPr>
              <w:pStyle w:val="Normal"/>
              <w:rPr/>
            </w:pPr>
            <w:r>
              <w:rPr/>
              <w:t xml:space="preserve">                             </w:t>
            </w:r>
            <w:r>
              <w:rPr/>
              <w:t xml:space="preserve">(1)    </w:t>
            </w:r>
          </w:p>
          <w:p>
            <w:pPr>
              <w:pStyle w:val="Normal"/>
              <w:rPr/>
            </w:pPr>
            <w:r>
              <w:rPr/>
            </w:r>
          </w:p>
        </w:tc>
      </w:tr>
    </w:tbl>
    <w:p>
      <w:pPr>
        <w:pStyle w:val="Normal"/>
        <w:ind w:firstLine="45"/>
        <w:jc w:val="both"/>
        <w:rPr/>
      </w:pPr>
      <w:r>
        <w:rPr/>
        <w:tab/>
      </w:r>
    </w:p>
    <w:p>
      <w:pPr>
        <w:pStyle w:val="Normal"/>
        <w:ind w:firstLine="270"/>
        <w:jc w:val="both"/>
        <w:rPr/>
      </w:pPr>
      <w:r>
        <w:rPr/>
      </w:r>
    </w:p>
    <w:p>
      <w:pPr>
        <w:pStyle w:val="Normal"/>
        <w:ind w:firstLine="270"/>
        <w:jc w:val="both"/>
        <w:rPr/>
      </w:pPr>
      <w:r>
        <w:rPr/>
        <w:t>где е(кис) - эквивалентный вес кислоты, мг/мг-экв, для серной кислоты -  49, для соляной - 36,5;</w:t>
      </w:r>
    </w:p>
    <w:p>
      <w:pPr>
        <w:pStyle w:val="Normal"/>
        <w:ind w:firstLine="270"/>
        <w:jc w:val="both"/>
        <w:rPr/>
      </w:pPr>
      <w:r>
        <w:rPr/>
      </w:r>
    </w:p>
    <w:p>
      <w:pPr>
        <w:pStyle w:val="Normal"/>
        <w:ind w:firstLine="225"/>
        <w:jc w:val="both"/>
        <w:rPr/>
      </w:pPr>
      <w:r>
        <w:rPr/>
        <w:t>Щ(доб) - щелочность добавочной воды, мг-экв/л;</w:t>
      </w:r>
    </w:p>
    <w:p>
      <w:pPr>
        <w:pStyle w:val="Normal"/>
        <w:ind w:firstLine="225"/>
        <w:jc w:val="both"/>
        <w:rPr/>
      </w:pPr>
      <w:r>
        <w:rPr/>
      </w:r>
    </w:p>
    <w:p>
      <w:pPr>
        <w:pStyle w:val="Normal"/>
        <w:ind w:firstLine="225"/>
        <w:jc w:val="both"/>
        <w:rPr/>
      </w:pPr>
      <w:r>
        <w:rPr/>
        <w:t>Щ(об) - щелочность оборотной воды, устанавливающаяся при обработке воды кислотой, мг-экв/л;</w:t>
      </w:r>
    </w:p>
    <w:p>
      <w:pPr>
        <w:pStyle w:val="Normal"/>
        <w:ind w:firstLine="225"/>
        <w:jc w:val="both"/>
        <w:rPr/>
      </w:pPr>
      <w:r>
        <w:rPr/>
      </w:r>
    </w:p>
    <w:p>
      <w:pPr>
        <w:pStyle w:val="Normal"/>
        <w:ind w:firstLine="225"/>
        <w:jc w:val="both"/>
        <w:rPr/>
      </w:pPr>
      <w:r>
        <w:rPr/>
        <w:t xml:space="preserve">С(кис) - содержание H2SO4 или НСl в технической кислоте, %; </w:t>
      </w:r>
    </w:p>
    <w:p>
      <w:pPr>
        <w:pStyle w:val="Normal"/>
        <w:ind w:firstLine="225"/>
        <w:jc w:val="both"/>
        <w:rPr/>
      </w:pPr>
      <w:r>
        <w:rPr/>
      </w:r>
    </w:p>
    <w:p>
      <w:pPr>
        <w:pStyle w:val="Normal"/>
        <w:ind w:firstLine="225"/>
        <w:jc w:val="both"/>
        <w:rPr/>
      </w:pPr>
      <w:r>
        <w:rPr/>
        <w:t>К(у) - коэффициент концентрирования (упаривания) солей, не выпадающих в осадок, определяемый К(у) = (Р(1) + Р(2) + Р(3))/Р(2) + Р(3)  = Р/Р(2) + Р(3),</w:t>
      </w:r>
    </w:p>
    <w:p>
      <w:pPr>
        <w:pStyle w:val="Normal"/>
        <w:ind w:firstLine="225"/>
        <w:jc w:val="both"/>
        <w:rPr/>
      </w:pPr>
      <w:r>
        <w:rPr/>
      </w:r>
    </w:p>
    <w:p>
      <w:pPr>
        <w:pStyle w:val="Normal"/>
        <w:ind w:firstLine="225"/>
        <w:jc w:val="both"/>
        <w:rPr/>
      </w:pPr>
      <w:r>
        <w:rPr/>
        <w:t>где Р(1), Р(2), Р(3) - потери воды из системы на испарение, унос ветром и сброс (продувку), %, расхода оборотной воды.</w:t>
      </w:r>
    </w:p>
    <w:p>
      <w:pPr>
        <w:pStyle w:val="Normal"/>
        <w:ind w:firstLine="180"/>
        <w:jc w:val="both"/>
        <w:rPr/>
      </w:pPr>
      <w:r>
        <w:rPr/>
      </w:r>
    </w:p>
    <w:p>
      <w:pPr>
        <w:pStyle w:val="Normal"/>
        <w:ind w:firstLine="315"/>
        <w:jc w:val="both"/>
        <w:rPr/>
      </w:pPr>
      <w:r>
        <w:rPr/>
        <w:t>Щелочность оборотной воды Щ(об) надлежит определять по формуле</w:t>
      </w:r>
    </w:p>
    <w:p>
      <w:pPr>
        <w:pStyle w:val="Normal"/>
        <w:ind w:firstLine="225"/>
        <w:jc w:val="both"/>
        <w:rPr/>
      </w:pPr>
      <w:r>
        <w:rPr/>
      </w:r>
    </w:p>
    <w:tbl>
      <w:tblPr>
        <w:tblW w:w="8295" w:type="dxa"/>
        <w:jc w:val="start"/>
        <w:tblInd w:w="135" w:type="dxa"/>
        <w:tblBorders/>
        <w:tblCellMar>
          <w:top w:w="0" w:type="dxa"/>
          <w:start w:w="15" w:type="dxa"/>
          <w:bottom w:w="0" w:type="dxa"/>
          <w:end w:w="15" w:type="dxa"/>
        </w:tblCellMar>
      </w:tblPr>
      <w:tblGrid>
        <w:gridCol w:w="7320"/>
        <w:gridCol w:w="975"/>
      </w:tblGrid>
      <w:tr>
        <w:trPr/>
        <w:tc>
          <w:tcPr>
            <w:tcW w:w="7320" w:type="dxa"/>
            <w:tcBorders/>
            <w:shd w:fill="auto" w:val="clear"/>
          </w:tcPr>
          <w:p>
            <w:pPr>
              <w:pStyle w:val="Normal"/>
              <w:rPr/>
            </w:pPr>
            <w:r>
              <w:rPr>
                <w:vanish/>
              </w:rPr>
              <w:t>#G0</w:t>
            </w:r>
            <w:r>
              <w:rPr/>
              <w:t xml:space="preserve">  </w:t>
            </w:r>
          </w:p>
          <w:p>
            <w:pPr>
              <w:pStyle w:val="Normal"/>
              <w:rPr/>
            </w:pPr>
            <w:r>
              <w:rPr/>
              <w:drawing>
                <wp:inline distT="0" distB="0" distL="0" distR="0">
                  <wp:extent cx="6024880" cy="345440"/>
                  <wp:effectExtent l="0" t="0" r="0" b="0"/>
                  <wp:docPr id="386" name="Изображение3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Изображение386" descr="" title=""/>
                          <pic:cNvPicPr>
                            <a:picLocks noChangeAspect="1" noChangeArrowheads="1"/>
                          </pic:cNvPicPr>
                        </pic:nvPicPr>
                        <pic:blipFill>
                          <a:blip r:embed="rId387"/>
                          <a:stretch>
                            <a:fillRect/>
                          </a:stretch>
                        </pic:blipFill>
                        <pic:spPr bwMode="auto">
                          <a:xfrm>
                            <a:off x="0" y="0"/>
                            <a:ext cx="6024880" cy="345440"/>
                          </a:xfrm>
                          <a:prstGeom prst="rect">
                            <a:avLst/>
                          </a:prstGeom>
                        </pic:spPr>
                      </pic:pic>
                    </a:graphicData>
                  </a:graphic>
                </wp:inline>
              </w:drawing>
            </w:r>
          </w:p>
        </w:tc>
        <w:tc>
          <w:tcPr>
            <w:tcW w:w="975" w:type="dxa"/>
            <w:tcBorders/>
            <w:shd w:fill="auto" w:val="clear"/>
          </w:tcPr>
          <w:p>
            <w:pPr>
              <w:pStyle w:val="Normal"/>
              <w:snapToGrid w:val="false"/>
              <w:rPr/>
            </w:pPr>
            <w:r>
              <w:rPr/>
            </w:r>
          </w:p>
          <w:p>
            <w:pPr>
              <w:pStyle w:val="Normal"/>
              <w:rPr/>
            </w:pPr>
            <w:r>
              <w:rPr/>
              <w:t xml:space="preserve">               </w:t>
            </w:r>
            <w:r>
              <w:rPr/>
              <w:t>(2)</w:t>
            </w:r>
          </w:p>
          <w:p>
            <w:pPr>
              <w:pStyle w:val="Normal"/>
              <w:rPr/>
            </w:pPr>
            <w:r>
              <w:rPr/>
            </w:r>
          </w:p>
        </w:tc>
      </w:tr>
    </w:tbl>
    <w:p>
      <w:pPr>
        <w:pStyle w:val="Normal"/>
        <w:jc w:val="both"/>
        <w:rPr/>
      </w:pPr>
      <w:r>
        <w:rPr/>
      </w:r>
    </w:p>
    <w:p>
      <w:pPr>
        <w:pStyle w:val="Normal"/>
        <w:ind w:firstLine="270"/>
        <w:jc w:val="both"/>
        <w:rPr/>
      </w:pPr>
      <w:r>
        <w:rPr/>
        <w:tab/>
        <w:tab/>
        <w:tab/>
        <w:tab/>
        <w:tab/>
        <w:tab/>
        <w:tab/>
        <w:tab/>
      </w:r>
    </w:p>
    <w:tbl>
      <w:tblPr>
        <w:tblW w:w="6585" w:type="dxa"/>
        <w:jc w:val="start"/>
        <w:tblInd w:w="165" w:type="dxa"/>
        <w:tblBorders/>
        <w:tblCellMar>
          <w:top w:w="0" w:type="dxa"/>
          <w:start w:w="15" w:type="dxa"/>
          <w:bottom w:w="0" w:type="dxa"/>
          <w:end w:w="15" w:type="dxa"/>
        </w:tblCellMar>
      </w:tblPr>
      <w:tblGrid>
        <w:gridCol w:w="2250"/>
        <w:gridCol w:w="4335"/>
      </w:tblGrid>
      <w:tr>
        <w:trPr/>
        <w:tc>
          <w:tcPr>
            <w:tcW w:w="2250" w:type="dxa"/>
            <w:tcBorders/>
            <w:shd w:fill="auto" w:val="clear"/>
          </w:tcPr>
          <w:p>
            <w:pPr>
              <w:pStyle w:val="Normal"/>
              <w:rPr/>
            </w:pPr>
            <w:r>
              <w:rPr>
                <w:vanish/>
              </w:rPr>
              <w:t>#G0</w:t>
            </w:r>
            <w:r>
              <w:rPr/>
              <w:t xml:space="preserve">  </w:t>
            </w:r>
          </w:p>
          <w:p>
            <w:pPr>
              <w:pStyle w:val="Normal"/>
              <w:rPr/>
            </w:pPr>
            <w:r>
              <w:rPr/>
              <w:drawing>
                <wp:inline distT="0" distB="0" distL="0" distR="0">
                  <wp:extent cx="1393825" cy="288290"/>
                  <wp:effectExtent l="0" t="0" r="0" b="0"/>
                  <wp:docPr id="387" name="Изображение3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Изображение387" descr="" title=""/>
                          <pic:cNvPicPr>
                            <a:picLocks noChangeAspect="1" noChangeArrowheads="1"/>
                          </pic:cNvPicPr>
                        </pic:nvPicPr>
                        <pic:blipFill>
                          <a:blip r:embed="rId388"/>
                          <a:stretch>
                            <a:fillRect/>
                          </a:stretch>
                        </pic:blipFill>
                        <pic:spPr bwMode="auto">
                          <a:xfrm>
                            <a:off x="0" y="0"/>
                            <a:ext cx="1393825" cy="288290"/>
                          </a:xfrm>
                          <a:prstGeom prst="rect">
                            <a:avLst/>
                          </a:prstGeom>
                        </pic:spPr>
                      </pic:pic>
                    </a:graphicData>
                  </a:graphic>
                </wp:inline>
              </w:drawing>
            </w:r>
          </w:p>
        </w:tc>
        <w:tc>
          <w:tcPr>
            <w:tcW w:w="4335" w:type="dxa"/>
            <w:tcBorders/>
            <w:shd w:fill="auto" w:val="clear"/>
          </w:tcPr>
          <w:p>
            <w:pPr>
              <w:pStyle w:val="Normal"/>
              <w:snapToGrid w:val="false"/>
              <w:rPr/>
            </w:pPr>
            <w:r>
              <w:rPr/>
            </w:r>
          </w:p>
          <w:p>
            <w:pPr>
              <w:pStyle w:val="Normal"/>
              <w:rPr/>
            </w:pPr>
            <w:r>
              <w:rPr/>
              <w:t xml:space="preserve">                                                                             </w:t>
            </w:r>
            <w:r>
              <w:rPr/>
              <w:t>(3)</w:t>
            </w:r>
          </w:p>
          <w:p>
            <w:pPr>
              <w:pStyle w:val="Normal"/>
              <w:rPr/>
            </w:pPr>
            <w:r>
              <w:rPr/>
            </w:r>
          </w:p>
        </w:tc>
      </w:tr>
    </w:tbl>
    <w:p>
      <w:pPr>
        <w:pStyle w:val="Normal"/>
        <w:jc w:val="both"/>
        <w:rPr/>
      </w:pPr>
      <w:r>
        <w:rPr/>
      </w:r>
    </w:p>
    <w:p>
      <w:pPr>
        <w:pStyle w:val="Normal"/>
        <w:ind w:firstLine="1710"/>
        <w:jc w:val="both"/>
        <w:rPr/>
      </w:pPr>
      <w:r>
        <w:rPr/>
      </w:r>
    </w:p>
    <w:tbl>
      <w:tblPr>
        <w:tblW w:w="8460" w:type="dxa"/>
        <w:jc w:val="start"/>
        <w:tblInd w:w="165" w:type="dxa"/>
        <w:tblBorders/>
        <w:tblCellMar>
          <w:top w:w="0" w:type="dxa"/>
          <w:start w:w="15" w:type="dxa"/>
          <w:bottom w:w="0" w:type="dxa"/>
          <w:end w:w="15" w:type="dxa"/>
        </w:tblCellMar>
      </w:tblPr>
      <w:tblGrid>
        <w:gridCol w:w="450"/>
        <w:gridCol w:w="405"/>
        <w:gridCol w:w="7605"/>
      </w:tblGrid>
      <w:tr>
        <w:trPr/>
        <w:tc>
          <w:tcPr>
            <w:tcW w:w="450" w:type="dxa"/>
            <w:tcBorders/>
            <w:shd w:fill="auto" w:val="clear"/>
          </w:tcPr>
          <w:p>
            <w:pPr>
              <w:pStyle w:val="Normal"/>
              <w:rPr/>
            </w:pPr>
            <w:r>
              <w:rPr>
                <w:vanish/>
              </w:rPr>
              <w:t>#G0</w:t>
            </w:r>
            <w:r>
              <w:rPr/>
              <w:t xml:space="preserve">      где </w:t>
            </w:r>
          </w:p>
          <w:p>
            <w:pPr>
              <w:pStyle w:val="Normal"/>
              <w:rPr/>
            </w:pPr>
            <w:r>
              <w:rPr/>
            </w:r>
          </w:p>
        </w:tc>
        <w:tc>
          <w:tcPr>
            <w:tcW w:w="405" w:type="dxa"/>
            <w:tcBorders/>
            <w:shd w:fill="auto" w:val="clear"/>
          </w:tcPr>
          <w:p>
            <w:pPr>
              <w:pStyle w:val="Normal"/>
              <w:rPr/>
            </w:pPr>
            <w:r>
              <w:rPr/>
              <w:t xml:space="preserve">  </w:t>
            </w:r>
          </w:p>
          <w:p>
            <w:pPr>
              <w:pStyle w:val="Normal"/>
              <w:rPr/>
            </w:pPr>
            <w:r>
              <w:rPr/>
              <w:drawing>
                <wp:inline distT="0" distB="0" distL="0" distR="0">
                  <wp:extent cx="184150" cy="207645"/>
                  <wp:effectExtent l="0" t="0" r="0" b="0"/>
                  <wp:docPr id="388" name="Изображение3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Изображение388" descr="" title=""/>
                          <pic:cNvPicPr>
                            <a:picLocks noChangeAspect="1" noChangeArrowheads="1"/>
                          </pic:cNvPicPr>
                        </pic:nvPicPr>
                        <pic:blipFill>
                          <a:blip r:embed="rId389"/>
                          <a:stretch>
                            <a:fillRect/>
                          </a:stretch>
                        </pic:blipFill>
                        <pic:spPr bwMode="auto">
                          <a:xfrm>
                            <a:off x="0" y="0"/>
                            <a:ext cx="184150" cy="207645"/>
                          </a:xfrm>
                          <a:prstGeom prst="rect">
                            <a:avLst/>
                          </a:prstGeom>
                        </pic:spPr>
                      </pic:pic>
                    </a:graphicData>
                  </a:graphic>
                </wp:inline>
              </w:drawing>
            </w:r>
          </w:p>
        </w:tc>
        <w:tc>
          <w:tcPr>
            <w:tcW w:w="7605" w:type="dxa"/>
            <w:tcBorders/>
            <w:shd w:fill="auto" w:val="clear"/>
          </w:tcPr>
          <w:p>
            <w:pPr>
              <w:pStyle w:val="Normal"/>
              <w:snapToGrid w:val="false"/>
              <w:rPr/>
            </w:pPr>
            <w:r>
              <w:rPr/>
            </w:r>
          </w:p>
          <w:p>
            <w:pPr>
              <w:pStyle w:val="Normal"/>
              <w:rPr/>
            </w:pPr>
            <w:r>
              <w:rPr/>
              <w:t xml:space="preserve">  </w:t>
            </w:r>
            <w:r>
              <w:rPr/>
              <w:t xml:space="preserve">- величина, зависящая от общего солесодержания оборотной воды, S(об) и температуры охлажденной воды t(2), принимаемая по табл. 1;     </w:t>
            </w:r>
          </w:p>
          <w:p>
            <w:pPr>
              <w:pStyle w:val="Normal"/>
              <w:rPr/>
            </w:pPr>
            <w:r>
              <w:rPr/>
            </w:r>
          </w:p>
        </w:tc>
      </w:tr>
    </w:tbl>
    <w:p>
      <w:pPr>
        <w:pStyle w:val="Normal"/>
        <w:jc w:val="both"/>
        <w:rPr/>
      </w:pPr>
      <w:r>
        <w:rPr/>
      </w:r>
    </w:p>
    <w:p>
      <w:pPr>
        <w:pStyle w:val="Normal"/>
        <w:ind w:firstLine="270"/>
        <w:jc w:val="both"/>
        <w:rPr/>
      </w:pPr>
      <w:r>
        <w:rPr/>
        <w:t>(Са)доб - концентрация кальция в добавочной воде, мг/л;</w:t>
      </w:r>
    </w:p>
    <w:p>
      <w:pPr>
        <w:pStyle w:val="Normal"/>
        <w:ind w:firstLine="270"/>
        <w:jc w:val="both"/>
        <w:rPr/>
      </w:pPr>
      <w:r>
        <w:rPr/>
      </w:r>
    </w:p>
    <w:p>
      <w:pPr>
        <w:pStyle w:val="Normal"/>
        <w:ind w:firstLine="225"/>
        <w:jc w:val="both"/>
        <w:rPr/>
      </w:pPr>
      <w:r>
        <w:rPr/>
        <w:t>(СО2)охл  - концентрация двуокиси углерода в охлажденной воде, мг/л, определяемая по табл. 2 в зависимости от щелочности добавочной воды и коэффициента упаривания воды в системе К(у);</w:t>
      </w:r>
    </w:p>
    <w:p>
      <w:pPr>
        <w:pStyle w:val="Normal"/>
        <w:ind w:firstLine="225"/>
        <w:jc w:val="both"/>
        <w:rPr/>
      </w:pPr>
      <w:r>
        <w:rPr/>
      </w:r>
    </w:p>
    <w:p>
      <w:pPr>
        <w:pStyle w:val="Normal"/>
        <w:ind w:firstLine="225"/>
        <w:jc w:val="both"/>
        <w:rPr/>
      </w:pPr>
      <w:r>
        <w:rPr/>
        <w:t>(СО2)доб  - концентрация двуокиси углерода в добавочной воде, мг/л.</w:t>
      </w:r>
    </w:p>
    <w:p>
      <w:pPr>
        <w:pStyle w:val="Normal"/>
        <w:ind w:firstLine="225"/>
        <w:jc w:val="both"/>
        <w:rPr/>
      </w:pPr>
      <w:r>
        <w:rPr/>
      </w:r>
    </w:p>
    <w:p>
      <w:pPr>
        <w:pStyle w:val="Normal"/>
        <w:ind w:firstLine="225"/>
        <w:jc w:val="both"/>
        <w:rPr/>
      </w:pPr>
      <w:r>
        <w:rPr/>
        <w:t>Величина солесодержания оборотной воды S(об), мг/л, определяется по формуле</w:t>
      </w:r>
    </w:p>
    <w:p>
      <w:pPr>
        <w:pStyle w:val="Normal"/>
        <w:ind w:firstLine="1395"/>
        <w:jc w:val="both"/>
        <w:rPr/>
      </w:pPr>
      <w:r>
        <w:rPr/>
      </w:r>
    </w:p>
    <w:tbl>
      <w:tblPr>
        <w:tblW w:w="7110" w:type="dxa"/>
        <w:jc w:val="start"/>
        <w:tblInd w:w="165" w:type="dxa"/>
        <w:tblBorders/>
        <w:tblCellMar>
          <w:top w:w="0" w:type="dxa"/>
          <w:start w:w="15" w:type="dxa"/>
          <w:bottom w:w="0" w:type="dxa"/>
          <w:end w:w="15" w:type="dxa"/>
        </w:tblCellMar>
      </w:tblPr>
      <w:tblGrid>
        <w:gridCol w:w="1410"/>
        <w:gridCol w:w="5700"/>
      </w:tblGrid>
      <w:tr>
        <w:trPr/>
        <w:tc>
          <w:tcPr>
            <w:tcW w:w="1410" w:type="dxa"/>
            <w:tcBorders/>
            <w:shd w:fill="auto" w:val="clear"/>
          </w:tcPr>
          <w:p>
            <w:pPr>
              <w:pStyle w:val="Normal"/>
              <w:rPr/>
            </w:pPr>
            <w:r>
              <w:rPr>
                <w:vanish/>
              </w:rPr>
              <w:t>#G0</w:t>
            </w:r>
            <w:r>
              <w:rPr/>
              <w:t xml:space="preserve">  </w:t>
            </w:r>
          </w:p>
          <w:p>
            <w:pPr>
              <w:pStyle w:val="Normal"/>
              <w:rPr/>
            </w:pPr>
            <w:r>
              <w:rPr/>
              <w:drawing>
                <wp:inline distT="0" distB="0" distL="0" distR="0">
                  <wp:extent cx="932815" cy="241935"/>
                  <wp:effectExtent l="0" t="0" r="0" b="0"/>
                  <wp:docPr id="389" name="Изображение3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Изображение389" descr="" title=""/>
                          <pic:cNvPicPr>
                            <a:picLocks noChangeAspect="1" noChangeArrowheads="1"/>
                          </pic:cNvPicPr>
                        </pic:nvPicPr>
                        <pic:blipFill>
                          <a:blip r:embed="rId390"/>
                          <a:stretch>
                            <a:fillRect/>
                          </a:stretch>
                        </pic:blipFill>
                        <pic:spPr bwMode="auto">
                          <a:xfrm>
                            <a:off x="0" y="0"/>
                            <a:ext cx="932815" cy="241935"/>
                          </a:xfrm>
                          <a:prstGeom prst="rect">
                            <a:avLst/>
                          </a:prstGeom>
                        </pic:spPr>
                      </pic:pic>
                    </a:graphicData>
                  </a:graphic>
                </wp:inline>
              </w:drawing>
            </w:r>
          </w:p>
        </w:tc>
        <w:tc>
          <w:tcPr>
            <w:tcW w:w="5700" w:type="dxa"/>
            <w:tcBorders/>
            <w:shd w:fill="auto" w:val="clear"/>
          </w:tcPr>
          <w:p>
            <w:pPr>
              <w:pStyle w:val="Normal"/>
              <w:rPr/>
            </w:pPr>
            <w:r>
              <w:rPr/>
              <w:t xml:space="preserve">  </w:t>
            </w:r>
          </w:p>
          <w:p>
            <w:pPr>
              <w:pStyle w:val="Normal"/>
              <w:rPr/>
            </w:pPr>
            <w:r>
              <w:rPr/>
              <w:t xml:space="preserve">                                                                                                                       </w:t>
            </w:r>
            <w:r>
              <w:rPr/>
              <w:t xml:space="preserve">(4)  </w:t>
            </w:r>
          </w:p>
          <w:p>
            <w:pPr>
              <w:pStyle w:val="Normal"/>
              <w:rPr/>
            </w:pPr>
            <w:r>
              <w:rPr/>
            </w:r>
          </w:p>
        </w:tc>
      </w:tr>
    </w:tbl>
    <w:p>
      <w:pPr>
        <w:pStyle w:val="Normal"/>
        <w:ind w:firstLine="630"/>
        <w:jc w:val="both"/>
        <w:rPr/>
      </w:pPr>
      <w:r>
        <w:rPr/>
        <w:tab/>
        <w:tab/>
        <w:tab/>
      </w:r>
    </w:p>
    <w:p>
      <w:pPr>
        <w:pStyle w:val="Normal"/>
        <w:ind w:firstLine="270"/>
        <w:jc w:val="both"/>
        <w:rPr/>
      </w:pPr>
      <w:r>
        <w:rPr/>
      </w:r>
    </w:p>
    <w:p>
      <w:pPr>
        <w:pStyle w:val="Normal"/>
        <w:ind w:firstLine="270"/>
        <w:jc w:val="both"/>
        <w:rPr/>
      </w:pPr>
      <w:r>
        <w:rPr/>
        <w:t>где S(доб) - солесодержание добавочной воды, мг/л.</w:t>
      </w:r>
    </w:p>
    <w:p>
      <w:pPr>
        <w:pStyle w:val="Normal"/>
        <w:ind w:firstLine="225"/>
        <w:jc w:val="both"/>
        <w:rPr/>
      </w:pPr>
      <w:r>
        <w:rPr/>
      </w:r>
    </w:p>
    <w:p>
      <w:pPr>
        <w:pStyle w:val="Normal"/>
        <w:ind w:firstLine="270"/>
        <w:jc w:val="both"/>
        <w:rPr/>
      </w:pPr>
      <w:r>
        <w:rPr/>
        <w:t>При обработке воды кислотой продувку системы оборотного водоснабжения допускается не предусматривать, если при уносе воды ветром на охладителе и отборе воды на технологические нужды коэффициент упаривания не достигает величины, при которой происходит увеличение концентрации сульфатов, вызывающее выпадение сульфата кальция.</w:t>
      </w:r>
    </w:p>
    <w:p>
      <w:pPr>
        <w:pStyle w:val="Normal"/>
        <w:jc w:val="end"/>
        <w:rPr/>
      </w:pPr>
      <w:r>
        <w:rPr/>
      </w:r>
    </w:p>
    <w:p>
      <w:pPr>
        <w:pStyle w:val="Normal"/>
        <w:jc w:val="end"/>
        <w:rPr/>
      </w:pPr>
      <w:r>
        <w:rPr/>
        <w:t xml:space="preserve">   </w:t>
      </w:r>
      <w:r>
        <w:rPr/>
        <w:t>Таблица 1</w:t>
      </w:r>
    </w:p>
    <w:p>
      <w:pPr>
        <w:pStyle w:val="Normal"/>
        <w:jc w:val="end"/>
        <w:rPr/>
      </w:pPr>
      <w:r>
        <w:rPr/>
      </w:r>
    </w:p>
    <w:p>
      <w:pPr>
        <w:pStyle w:val="Normal"/>
        <w:jc w:val="end"/>
        <w:rPr/>
      </w:pPr>
      <w:r>
        <w:rPr/>
      </w:r>
    </w:p>
    <w:p>
      <w:pPr>
        <w:pStyle w:val="Normal"/>
        <w:jc w:val="end"/>
        <w:rPr/>
      </w:pPr>
      <w:r>
        <w:rPr/>
      </w:r>
    </w:p>
    <w:tbl>
      <w:tblPr>
        <w:tblW w:w="15695"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1275"/>
        <w:gridCol w:w="975"/>
        <w:gridCol w:w="870"/>
        <w:gridCol w:w="975"/>
        <w:gridCol w:w="975"/>
        <w:gridCol w:w="975"/>
        <w:gridCol w:w="975"/>
        <w:gridCol w:w="975"/>
        <w:gridCol w:w="975"/>
        <w:gridCol w:w="975"/>
        <w:gridCol w:w="870"/>
        <w:gridCol w:w="975"/>
        <w:gridCol w:w="975"/>
        <w:gridCol w:w="975"/>
        <w:gridCol w:w="975"/>
        <w:gridCol w:w="980"/>
      </w:tblGrid>
      <w:tr>
        <w:trPr/>
        <w:tc>
          <w:tcPr>
            <w:tcW w:w="1275" w:type="dxa"/>
            <w:tcBorders>
              <w:top w:val="single" w:sz="2" w:space="0" w:color="000000"/>
              <w:start w:val="single" w:sz="2" w:space="0" w:color="000000"/>
            </w:tcBorders>
            <w:shd w:fill="auto" w:val="clear"/>
            <w:tcMar>
              <w:start w:w="42" w:type="dxa"/>
            </w:tcMar>
          </w:tcPr>
          <w:p>
            <w:pPr>
              <w:pStyle w:val="Normal"/>
              <w:jc w:val="center"/>
              <w:rPr/>
            </w:pPr>
            <w:r>
              <w:rPr>
                <w:vanish/>
              </w:rPr>
              <w:t>#G0</w:t>
            </w:r>
            <w:r>
              <w:rPr/>
              <w:t>Температура</w:t>
            </w:r>
          </w:p>
          <w:p>
            <w:pPr>
              <w:pStyle w:val="Normal"/>
              <w:jc w:val="center"/>
              <w:rPr/>
            </w:pPr>
            <w:r>
              <w:rPr/>
              <w:t>охлажден-</w:t>
            </w:r>
          </w:p>
          <w:p>
            <w:pPr>
              <w:pStyle w:val="Normal"/>
              <w:jc w:val="center"/>
              <w:rPr/>
            </w:pPr>
            <w:r>
              <w:rPr/>
              <w:t xml:space="preserve"> </w:t>
            </w:r>
            <w:r>
              <w:rPr/>
              <w:t xml:space="preserve">ной воды </w:t>
            </w:r>
          </w:p>
          <w:p>
            <w:pPr>
              <w:pStyle w:val="Normal"/>
              <w:jc w:val="center"/>
              <w:rPr/>
            </w:pPr>
            <w:r>
              <w:rPr/>
            </w:r>
          </w:p>
        </w:tc>
        <w:tc>
          <w:tcPr>
            <w:tcW w:w="14420" w:type="dxa"/>
            <w:gridSpan w:val="15"/>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Ионная сила раствора (охлажденной воды) ,</w:t>
            </w:r>
          </w:p>
          <w:p>
            <w:pPr>
              <w:pStyle w:val="Normal"/>
              <w:rPr/>
            </w:pPr>
            <w:r>
              <w:rPr/>
              <w:drawing>
                <wp:inline distT="0" distB="0" distL="0" distR="0">
                  <wp:extent cx="817880" cy="207645"/>
                  <wp:effectExtent l="0" t="0" r="0" b="0"/>
                  <wp:docPr id="390" name="Изображение3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Изображение390" descr="" title=""/>
                          <pic:cNvPicPr>
                            <a:picLocks noChangeAspect="1" noChangeArrowheads="1"/>
                          </pic:cNvPicPr>
                        </pic:nvPicPr>
                        <pic:blipFill>
                          <a:blip r:embed="rId391"/>
                          <a:stretch>
                            <a:fillRect/>
                          </a:stretch>
                        </pic:blipFill>
                        <pic:spPr bwMode="auto">
                          <a:xfrm>
                            <a:off x="0" y="0"/>
                            <a:ext cx="817880" cy="207645"/>
                          </a:xfrm>
                          <a:prstGeom prst="rect">
                            <a:avLst/>
                          </a:prstGeom>
                        </pic:spPr>
                      </pic:pic>
                    </a:graphicData>
                  </a:graphic>
                </wp:inline>
              </w:drawing>
            </w:r>
            <w:r>
              <w:rPr/>
              <w:t xml:space="preserve"> </w:t>
            </w:r>
          </w:p>
          <w:p>
            <w:pPr>
              <w:pStyle w:val="Normal"/>
              <w:rPr/>
            </w:pPr>
            <w:r>
              <w:rPr/>
            </w:r>
          </w:p>
        </w:tc>
      </w:tr>
      <w:tr>
        <w:trPr/>
        <w:tc>
          <w:tcPr>
            <w:tcW w:w="1275" w:type="dxa"/>
            <w:tcBorders>
              <w:start w:val="single" w:sz="2" w:space="0" w:color="000000"/>
            </w:tcBorders>
            <w:shd w:fill="auto" w:val="clear"/>
            <w:tcMar>
              <w:start w:w="42" w:type="dxa"/>
            </w:tcMar>
          </w:tcPr>
          <w:p>
            <w:pPr>
              <w:pStyle w:val="Normal"/>
              <w:rPr/>
            </w:pPr>
            <w:r>
              <w:rPr/>
              <w:t>t(2), град.С</w:t>
            </w:r>
          </w:p>
          <w:p>
            <w:pPr>
              <w:pStyle w:val="Normal"/>
              <w:rPr/>
            </w:pPr>
            <w:r>
              <w:rPr/>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0,0049409 </w:t>
            </w:r>
          </w:p>
          <w:p>
            <w:pPr>
              <w:pStyle w:val="Normal"/>
              <w:rPr/>
            </w:pPr>
            <w:r>
              <w:rPr/>
            </w:r>
          </w:p>
        </w:tc>
        <w:tc>
          <w:tcPr>
            <w:tcW w:w="87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0,009882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0,0148232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0,0197643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0,0247055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0,0365233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0,0548014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0,0666192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0,0822021 </w:t>
            </w:r>
          </w:p>
          <w:p>
            <w:pPr>
              <w:pStyle w:val="Normal"/>
              <w:rPr/>
            </w:pPr>
            <w:r>
              <w:rPr/>
            </w:r>
          </w:p>
        </w:tc>
        <w:tc>
          <w:tcPr>
            <w:tcW w:w="87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0,094019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0,1096028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0,1214206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0,1370035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0,1488213 </w:t>
            </w:r>
          </w:p>
          <w:p>
            <w:pPr>
              <w:pStyle w:val="Normal"/>
              <w:rPr/>
            </w:pPr>
            <w:r>
              <w:rPr/>
            </w:r>
          </w:p>
        </w:tc>
        <w:tc>
          <w:tcPr>
            <w:tcW w:w="9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0,1644042 </w:t>
            </w:r>
          </w:p>
          <w:p>
            <w:pPr>
              <w:pStyle w:val="Normal"/>
              <w:rPr/>
            </w:pPr>
            <w:r>
              <w:rPr/>
            </w:r>
          </w:p>
        </w:tc>
      </w:tr>
      <w:tr>
        <w:trPr/>
        <w:tc>
          <w:tcPr>
            <w:tcW w:w="1275"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14420" w:type="dxa"/>
            <w:gridSpan w:val="15"/>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Солесодержание охлажденной воды S(об), мг/л </w:t>
            </w:r>
          </w:p>
          <w:p>
            <w:pPr>
              <w:pStyle w:val="Normal"/>
              <w:rPr/>
            </w:pPr>
            <w:r>
              <w:rPr/>
            </w:r>
          </w:p>
        </w:tc>
      </w:tr>
      <w:tr>
        <w:trPr/>
        <w:tc>
          <w:tcPr>
            <w:tcW w:w="12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200 </w:t>
            </w:r>
          </w:p>
          <w:p>
            <w:pPr>
              <w:pStyle w:val="Normal"/>
              <w:rPr/>
            </w:pPr>
            <w:r>
              <w:rPr/>
            </w:r>
          </w:p>
        </w:tc>
        <w:tc>
          <w:tcPr>
            <w:tcW w:w="87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400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600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800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1000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1500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2000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2500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3000 </w:t>
            </w:r>
          </w:p>
          <w:p>
            <w:pPr>
              <w:pStyle w:val="Normal"/>
              <w:rPr/>
            </w:pPr>
            <w:r>
              <w:rPr/>
            </w:r>
          </w:p>
        </w:tc>
        <w:tc>
          <w:tcPr>
            <w:tcW w:w="870"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3500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4000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4500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5000 </w:t>
            </w:r>
          </w:p>
          <w:p>
            <w:pPr>
              <w:pStyle w:val="Normal"/>
              <w:rPr/>
            </w:pPr>
            <w:r>
              <w:rPr/>
            </w:r>
          </w:p>
        </w:tc>
        <w:tc>
          <w:tcPr>
            <w:tcW w:w="975" w:type="dxa"/>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5500 </w:t>
            </w:r>
          </w:p>
          <w:p>
            <w:pPr>
              <w:pStyle w:val="Normal"/>
              <w:rPr/>
            </w:pPr>
            <w:r>
              <w:rPr/>
            </w:r>
          </w:p>
        </w:tc>
        <w:tc>
          <w:tcPr>
            <w:tcW w:w="980"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6000 </w:t>
            </w:r>
          </w:p>
          <w:p>
            <w:pPr>
              <w:pStyle w:val="Normal"/>
              <w:rPr/>
            </w:pPr>
            <w:r>
              <w:rPr/>
            </w:r>
          </w:p>
        </w:tc>
      </w:tr>
      <w:tr>
        <w:trPr/>
        <w:tc>
          <w:tcPr>
            <w:tcW w:w="1275" w:type="dxa"/>
            <w:tcBorders>
              <w:start w:val="single" w:sz="2" w:space="0" w:color="000000"/>
            </w:tcBorders>
            <w:shd w:fill="auto" w:val="clear"/>
            <w:tcMar>
              <w:start w:w="42" w:type="dxa"/>
            </w:tcMar>
          </w:tcPr>
          <w:p>
            <w:pPr>
              <w:pStyle w:val="Normal"/>
              <w:rPr/>
            </w:pPr>
            <w:r>
              <w:rPr/>
              <w:t xml:space="preserve">5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8,29 </w:t>
            </w:r>
          </w:p>
          <w:p>
            <w:pPr>
              <w:pStyle w:val="Normal"/>
              <w:rPr/>
            </w:pPr>
            <w:r>
              <w:rPr/>
            </w:r>
          </w:p>
        </w:tc>
        <w:tc>
          <w:tcPr>
            <w:tcW w:w="870" w:type="dxa"/>
            <w:tcBorders>
              <w:start w:val="single" w:sz="2" w:space="0" w:color="000000"/>
            </w:tcBorders>
            <w:shd w:fill="auto" w:val="clear"/>
            <w:tcMar>
              <w:start w:w="42" w:type="dxa"/>
            </w:tcMar>
          </w:tcPr>
          <w:p>
            <w:pPr>
              <w:pStyle w:val="Normal"/>
              <w:rPr/>
            </w:pPr>
            <w:r>
              <w:rPr/>
              <w:t xml:space="preserve">8,96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9,49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9,93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10,32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11,11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12,1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12,65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13,29 </w:t>
            </w:r>
          </w:p>
          <w:p>
            <w:pPr>
              <w:pStyle w:val="Normal"/>
              <w:rPr/>
            </w:pPr>
            <w:r>
              <w:rPr/>
            </w:r>
          </w:p>
        </w:tc>
        <w:tc>
          <w:tcPr>
            <w:tcW w:w="870" w:type="dxa"/>
            <w:tcBorders>
              <w:start w:val="single" w:sz="2" w:space="0" w:color="000000"/>
            </w:tcBorders>
            <w:shd w:fill="auto" w:val="clear"/>
            <w:tcMar>
              <w:start w:w="42" w:type="dxa"/>
            </w:tcMar>
          </w:tcPr>
          <w:p>
            <w:pPr>
              <w:pStyle w:val="Normal"/>
              <w:rPr/>
            </w:pPr>
            <w:r>
              <w:rPr/>
              <w:t xml:space="preserve">13,74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14,28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14,7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15,13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15,47 </w:t>
            </w:r>
          </w:p>
          <w:p>
            <w:pPr>
              <w:pStyle w:val="Normal"/>
              <w:rPr/>
            </w:pPr>
            <w:r>
              <w:rPr/>
            </w:r>
          </w:p>
        </w:tc>
        <w:tc>
          <w:tcPr>
            <w:tcW w:w="98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15,89 </w:t>
            </w:r>
          </w:p>
          <w:p>
            <w:pPr>
              <w:pStyle w:val="Normal"/>
              <w:rPr/>
            </w:pPr>
            <w:r>
              <w:rPr/>
            </w:r>
          </w:p>
        </w:tc>
      </w:tr>
      <w:tr>
        <w:trPr/>
        <w:tc>
          <w:tcPr>
            <w:tcW w:w="1275" w:type="dxa"/>
            <w:tcBorders>
              <w:start w:val="single" w:sz="2" w:space="0" w:color="000000"/>
            </w:tcBorders>
            <w:shd w:fill="auto" w:val="clear"/>
            <w:tcMar>
              <w:start w:w="42" w:type="dxa"/>
            </w:tcMar>
          </w:tcPr>
          <w:p>
            <w:pPr>
              <w:pStyle w:val="Normal"/>
              <w:rPr/>
            </w:pPr>
            <w:r>
              <w:rPr/>
              <w:t xml:space="preserve">10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8,09 </w:t>
            </w:r>
          </w:p>
          <w:p>
            <w:pPr>
              <w:pStyle w:val="Normal"/>
              <w:rPr/>
            </w:pPr>
            <w:r>
              <w:rPr/>
            </w:r>
          </w:p>
        </w:tc>
        <w:tc>
          <w:tcPr>
            <w:tcW w:w="870" w:type="dxa"/>
            <w:tcBorders>
              <w:start w:val="single" w:sz="2" w:space="0" w:color="000000"/>
            </w:tcBorders>
            <w:shd w:fill="auto" w:val="clear"/>
            <w:tcMar>
              <w:start w:w="42" w:type="dxa"/>
            </w:tcMar>
          </w:tcPr>
          <w:p>
            <w:pPr>
              <w:pStyle w:val="Normal"/>
              <w:rPr/>
            </w:pPr>
            <w:r>
              <w:rPr/>
              <w:t xml:space="preserve">8,75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9,26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9,69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10,07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10,84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11,81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12,34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12,97 </w:t>
            </w:r>
          </w:p>
          <w:p>
            <w:pPr>
              <w:pStyle w:val="Normal"/>
              <w:rPr/>
            </w:pPr>
            <w:r>
              <w:rPr/>
            </w:r>
          </w:p>
        </w:tc>
        <w:tc>
          <w:tcPr>
            <w:tcW w:w="870" w:type="dxa"/>
            <w:tcBorders>
              <w:start w:val="single" w:sz="2" w:space="0" w:color="000000"/>
            </w:tcBorders>
            <w:shd w:fill="auto" w:val="clear"/>
            <w:tcMar>
              <w:start w:w="42" w:type="dxa"/>
            </w:tcMar>
          </w:tcPr>
          <w:p>
            <w:pPr>
              <w:pStyle w:val="Normal"/>
              <w:rPr/>
            </w:pPr>
            <w:r>
              <w:rPr/>
              <w:t xml:space="preserve">13,41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13.93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14,35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14,76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15,1 </w:t>
            </w:r>
          </w:p>
          <w:p>
            <w:pPr>
              <w:pStyle w:val="Normal"/>
              <w:rPr/>
            </w:pPr>
            <w:r>
              <w:rPr/>
            </w:r>
          </w:p>
        </w:tc>
        <w:tc>
          <w:tcPr>
            <w:tcW w:w="98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15,5 </w:t>
            </w:r>
          </w:p>
          <w:p>
            <w:pPr>
              <w:pStyle w:val="Normal"/>
              <w:rPr/>
            </w:pPr>
            <w:r>
              <w:rPr/>
            </w:r>
          </w:p>
        </w:tc>
      </w:tr>
      <w:tr>
        <w:trPr/>
        <w:tc>
          <w:tcPr>
            <w:tcW w:w="1275" w:type="dxa"/>
            <w:tcBorders>
              <w:start w:val="single" w:sz="2" w:space="0" w:color="000000"/>
            </w:tcBorders>
            <w:shd w:fill="auto" w:val="clear"/>
            <w:tcMar>
              <w:start w:w="42" w:type="dxa"/>
            </w:tcMar>
          </w:tcPr>
          <w:p>
            <w:pPr>
              <w:pStyle w:val="Normal"/>
              <w:rPr/>
            </w:pPr>
            <w:r>
              <w:rPr/>
              <w:t xml:space="preserve">15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7,82 </w:t>
            </w:r>
          </w:p>
          <w:p>
            <w:pPr>
              <w:pStyle w:val="Normal"/>
              <w:rPr/>
            </w:pPr>
            <w:r>
              <w:rPr/>
            </w:r>
          </w:p>
        </w:tc>
        <w:tc>
          <w:tcPr>
            <w:tcW w:w="870" w:type="dxa"/>
            <w:tcBorders>
              <w:start w:val="single" w:sz="2" w:space="0" w:color="000000"/>
            </w:tcBorders>
            <w:shd w:fill="auto" w:val="clear"/>
            <w:tcMar>
              <w:start w:w="42" w:type="dxa"/>
            </w:tcMar>
          </w:tcPr>
          <w:p>
            <w:pPr>
              <w:pStyle w:val="Normal"/>
              <w:rPr/>
            </w:pPr>
            <w:r>
              <w:rPr/>
              <w:t xml:space="preserve">8,47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8,96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9,38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9,75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10,49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11,42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11,94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12,55 </w:t>
            </w:r>
          </w:p>
          <w:p>
            <w:pPr>
              <w:pStyle w:val="Normal"/>
              <w:rPr/>
            </w:pPr>
            <w:r>
              <w:rPr/>
            </w:r>
          </w:p>
        </w:tc>
        <w:tc>
          <w:tcPr>
            <w:tcW w:w="870" w:type="dxa"/>
            <w:tcBorders>
              <w:start w:val="single" w:sz="2" w:space="0" w:color="000000"/>
            </w:tcBorders>
            <w:shd w:fill="auto" w:val="clear"/>
            <w:tcMar>
              <w:start w:w="42" w:type="dxa"/>
            </w:tcMar>
          </w:tcPr>
          <w:p>
            <w:pPr>
              <w:pStyle w:val="Normal"/>
              <w:rPr/>
            </w:pPr>
            <w:r>
              <w:rPr/>
              <w:t xml:space="preserve">12,97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13,48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13,89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14,29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14,61 </w:t>
            </w:r>
          </w:p>
          <w:p>
            <w:pPr>
              <w:pStyle w:val="Normal"/>
              <w:rPr/>
            </w:pPr>
            <w:r>
              <w:rPr/>
            </w:r>
          </w:p>
        </w:tc>
        <w:tc>
          <w:tcPr>
            <w:tcW w:w="98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15 </w:t>
            </w:r>
          </w:p>
          <w:p>
            <w:pPr>
              <w:pStyle w:val="Normal"/>
              <w:rPr/>
            </w:pPr>
            <w:r>
              <w:rPr/>
            </w:r>
          </w:p>
        </w:tc>
      </w:tr>
      <w:tr>
        <w:trPr/>
        <w:tc>
          <w:tcPr>
            <w:tcW w:w="1275" w:type="dxa"/>
            <w:tcBorders>
              <w:start w:val="single" w:sz="2" w:space="0" w:color="000000"/>
            </w:tcBorders>
            <w:shd w:fill="auto" w:val="clear"/>
            <w:tcMar>
              <w:start w:w="42" w:type="dxa"/>
            </w:tcMar>
          </w:tcPr>
          <w:p>
            <w:pPr>
              <w:pStyle w:val="Normal"/>
              <w:rPr/>
            </w:pPr>
            <w:r>
              <w:rPr/>
              <w:t xml:space="preserve">20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7.53 </w:t>
            </w:r>
          </w:p>
          <w:p>
            <w:pPr>
              <w:pStyle w:val="Normal"/>
              <w:rPr/>
            </w:pPr>
            <w:r>
              <w:rPr/>
            </w:r>
          </w:p>
        </w:tc>
        <w:tc>
          <w:tcPr>
            <w:tcW w:w="870" w:type="dxa"/>
            <w:tcBorders>
              <w:start w:val="single" w:sz="2" w:space="0" w:color="000000"/>
            </w:tcBorders>
            <w:shd w:fill="auto" w:val="clear"/>
            <w:tcMar>
              <w:start w:w="42" w:type="dxa"/>
            </w:tcMar>
          </w:tcPr>
          <w:p>
            <w:pPr>
              <w:pStyle w:val="Normal"/>
              <w:rPr/>
            </w:pPr>
            <w:r>
              <w:rPr/>
              <w:t xml:space="preserve">8,14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8,62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9,02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9,37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10,09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10,99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11.49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12,07 </w:t>
            </w:r>
          </w:p>
          <w:p>
            <w:pPr>
              <w:pStyle w:val="Normal"/>
              <w:rPr/>
            </w:pPr>
            <w:r>
              <w:rPr/>
            </w:r>
          </w:p>
        </w:tc>
        <w:tc>
          <w:tcPr>
            <w:tcW w:w="870" w:type="dxa"/>
            <w:tcBorders>
              <w:start w:val="single" w:sz="2" w:space="0" w:color="000000"/>
            </w:tcBorders>
            <w:shd w:fill="auto" w:val="clear"/>
            <w:tcMar>
              <w:start w:w="42" w:type="dxa"/>
            </w:tcMar>
          </w:tcPr>
          <w:p>
            <w:pPr>
              <w:pStyle w:val="Normal"/>
              <w:rPr/>
            </w:pPr>
            <w:r>
              <w:rPr/>
              <w:t xml:space="preserve">12,48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12,98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13,35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13.74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14.05 </w:t>
            </w:r>
          </w:p>
          <w:p>
            <w:pPr>
              <w:pStyle w:val="Normal"/>
              <w:rPr/>
            </w:pPr>
            <w:r>
              <w:rPr/>
            </w:r>
          </w:p>
        </w:tc>
        <w:tc>
          <w:tcPr>
            <w:tcW w:w="98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14.43 </w:t>
            </w:r>
          </w:p>
          <w:p>
            <w:pPr>
              <w:pStyle w:val="Normal"/>
              <w:rPr/>
            </w:pPr>
            <w:r>
              <w:rPr/>
            </w:r>
          </w:p>
        </w:tc>
      </w:tr>
      <w:tr>
        <w:trPr/>
        <w:tc>
          <w:tcPr>
            <w:tcW w:w="1275" w:type="dxa"/>
            <w:tcBorders>
              <w:start w:val="single" w:sz="2" w:space="0" w:color="000000"/>
            </w:tcBorders>
            <w:shd w:fill="auto" w:val="clear"/>
            <w:tcMar>
              <w:start w:w="42" w:type="dxa"/>
            </w:tcMar>
          </w:tcPr>
          <w:p>
            <w:pPr>
              <w:pStyle w:val="Normal"/>
              <w:rPr/>
            </w:pPr>
            <w:r>
              <w:rPr/>
              <w:t xml:space="preserve">25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7,18 </w:t>
            </w:r>
          </w:p>
          <w:p>
            <w:pPr>
              <w:pStyle w:val="Normal"/>
              <w:rPr/>
            </w:pPr>
            <w:r>
              <w:rPr/>
            </w:r>
          </w:p>
        </w:tc>
        <w:tc>
          <w:tcPr>
            <w:tcW w:w="870" w:type="dxa"/>
            <w:tcBorders>
              <w:start w:val="single" w:sz="2" w:space="0" w:color="000000"/>
            </w:tcBorders>
            <w:shd w:fill="auto" w:val="clear"/>
            <w:tcMar>
              <w:start w:w="42" w:type="dxa"/>
            </w:tcMar>
          </w:tcPr>
          <w:p>
            <w:pPr>
              <w:pStyle w:val="Normal"/>
              <w:rPr/>
            </w:pPr>
            <w:r>
              <w:rPr/>
              <w:t xml:space="preserve">7,76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8,22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8,6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8,94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9,62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10,48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10,96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11,51 </w:t>
            </w:r>
          </w:p>
          <w:p>
            <w:pPr>
              <w:pStyle w:val="Normal"/>
              <w:rPr/>
            </w:pPr>
            <w:r>
              <w:rPr/>
            </w:r>
          </w:p>
        </w:tc>
        <w:tc>
          <w:tcPr>
            <w:tcW w:w="870" w:type="dxa"/>
            <w:tcBorders>
              <w:start w:val="single" w:sz="2" w:space="0" w:color="000000"/>
            </w:tcBorders>
            <w:shd w:fill="auto" w:val="clear"/>
            <w:tcMar>
              <w:start w:w="42" w:type="dxa"/>
            </w:tcMar>
          </w:tcPr>
          <w:p>
            <w:pPr>
              <w:pStyle w:val="Normal"/>
              <w:rPr/>
            </w:pPr>
            <w:r>
              <w:rPr/>
              <w:t xml:space="preserve">11,9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12,37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12,74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13,1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13,4 </w:t>
            </w:r>
          </w:p>
          <w:p>
            <w:pPr>
              <w:pStyle w:val="Normal"/>
              <w:rPr/>
            </w:pPr>
            <w:r>
              <w:rPr/>
            </w:r>
          </w:p>
        </w:tc>
        <w:tc>
          <w:tcPr>
            <w:tcW w:w="98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13,76 </w:t>
            </w:r>
          </w:p>
          <w:p>
            <w:pPr>
              <w:pStyle w:val="Normal"/>
              <w:rPr/>
            </w:pPr>
            <w:r>
              <w:rPr/>
            </w:r>
          </w:p>
        </w:tc>
      </w:tr>
      <w:tr>
        <w:trPr/>
        <w:tc>
          <w:tcPr>
            <w:tcW w:w="1275" w:type="dxa"/>
            <w:tcBorders>
              <w:start w:val="single" w:sz="2" w:space="0" w:color="000000"/>
            </w:tcBorders>
            <w:shd w:fill="auto" w:val="clear"/>
            <w:tcMar>
              <w:start w:w="42" w:type="dxa"/>
            </w:tcMar>
          </w:tcPr>
          <w:p>
            <w:pPr>
              <w:pStyle w:val="Normal"/>
              <w:rPr/>
            </w:pPr>
            <w:r>
              <w:rPr/>
              <w:t xml:space="preserve">30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6,83 </w:t>
            </w:r>
          </w:p>
          <w:p>
            <w:pPr>
              <w:pStyle w:val="Normal"/>
              <w:rPr/>
            </w:pPr>
            <w:r>
              <w:rPr/>
            </w:r>
          </w:p>
        </w:tc>
        <w:tc>
          <w:tcPr>
            <w:tcW w:w="870" w:type="dxa"/>
            <w:tcBorders>
              <w:start w:val="single" w:sz="2" w:space="0" w:color="000000"/>
            </w:tcBorders>
            <w:shd w:fill="auto" w:val="clear"/>
            <w:tcMar>
              <w:start w:w="42" w:type="dxa"/>
            </w:tcMar>
          </w:tcPr>
          <w:p>
            <w:pPr>
              <w:pStyle w:val="Normal"/>
              <w:rPr/>
            </w:pPr>
            <w:r>
              <w:rPr/>
              <w:t xml:space="preserve">7,39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7,82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8,18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8,5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9,15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9,97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10,42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10,95 </w:t>
            </w:r>
          </w:p>
          <w:p>
            <w:pPr>
              <w:pStyle w:val="Normal"/>
              <w:rPr/>
            </w:pPr>
            <w:r>
              <w:rPr/>
            </w:r>
          </w:p>
        </w:tc>
        <w:tc>
          <w:tcPr>
            <w:tcW w:w="870" w:type="dxa"/>
            <w:tcBorders>
              <w:start w:val="single" w:sz="2" w:space="0" w:color="000000"/>
            </w:tcBorders>
            <w:shd w:fill="auto" w:val="clear"/>
            <w:tcMar>
              <w:start w:w="42" w:type="dxa"/>
            </w:tcMar>
          </w:tcPr>
          <w:p>
            <w:pPr>
              <w:pStyle w:val="Normal"/>
              <w:rPr/>
            </w:pPr>
            <w:r>
              <w:rPr/>
              <w:t xml:space="preserve">11,32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11,77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12.12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12,47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12,75 </w:t>
            </w:r>
          </w:p>
          <w:p>
            <w:pPr>
              <w:pStyle w:val="Normal"/>
              <w:rPr/>
            </w:pPr>
            <w:r>
              <w:rPr/>
            </w:r>
          </w:p>
        </w:tc>
        <w:tc>
          <w:tcPr>
            <w:tcW w:w="98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13,09 </w:t>
            </w:r>
          </w:p>
          <w:p>
            <w:pPr>
              <w:pStyle w:val="Normal"/>
              <w:rPr/>
            </w:pPr>
            <w:r>
              <w:rPr/>
            </w:r>
          </w:p>
        </w:tc>
      </w:tr>
      <w:tr>
        <w:trPr/>
        <w:tc>
          <w:tcPr>
            <w:tcW w:w="1275" w:type="dxa"/>
            <w:tcBorders>
              <w:start w:val="single" w:sz="2" w:space="0" w:color="000000"/>
            </w:tcBorders>
            <w:shd w:fill="auto" w:val="clear"/>
            <w:tcMar>
              <w:start w:w="42" w:type="dxa"/>
            </w:tcMar>
          </w:tcPr>
          <w:p>
            <w:pPr>
              <w:pStyle w:val="Normal"/>
              <w:rPr/>
            </w:pPr>
            <w:r>
              <w:rPr/>
              <w:t xml:space="preserve">35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6,38 </w:t>
            </w:r>
          </w:p>
          <w:p>
            <w:pPr>
              <w:pStyle w:val="Normal"/>
              <w:rPr/>
            </w:pPr>
            <w:r>
              <w:rPr/>
            </w:r>
          </w:p>
        </w:tc>
        <w:tc>
          <w:tcPr>
            <w:tcW w:w="870" w:type="dxa"/>
            <w:tcBorders>
              <w:start w:val="single" w:sz="2" w:space="0" w:color="000000"/>
            </w:tcBorders>
            <w:shd w:fill="auto" w:val="clear"/>
            <w:tcMar>
              <w:start w:w="42" w:type="dxa"/>
            </w:tcMar>
          </w:tcPr>
          <w:p>
            <w:pPr>
              <w:pStyle w:val="Normal"/>
              <w:rPr/>
            </w:pPr>
            <w:r>
              <w:rPr/>
              <w:t xml:space="preserve">6,9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7,31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7,64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7,95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8,55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9,31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9,74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10,23 </w:t>
            </w:r>
          </w:p>
          <w:p>
            <w:pPr>
              <w:pStyle w:val="Normal"/>
              <w:rPr/>
            </w:pPr>
            <w:r>
              <w:rPr/>
            </w:r>
          </w:p>
        </w:tc>
        <w:tc>
          <w:tcPr>
            <w:tcW w:w="870" w:type="dxa"/>
            <w:tcBorders>
              <w:start w:val="single" w:sz="2" w:space="0" w:color="000000"/>
            </w:tcBorders>
            <w:shd w:fill="auto" w:val="clear"/>
            <w:tcMar>
              <w:start w:w="42" w:type="dxa"/>
            </w:tcMar>
          </w:tcPr>
          <w:p>
            <w:pPr>
              <w:pStyle w:val="Normal"/>
              <w:rPr/>
            </w:pPr>
            <w:r>
              <w:rPr/>
              <w:t xml:space="preserve">10,58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10,99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11,32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11,65 </w:t>
            </w:r>
          </w:p>
          <w:p>
            <w:pPr>
              <w:pStyle w:val="Normal"/>
              <w:rPr/>
            </w:pPr>
            <w:r>
              <w:rPr/>
            </w:r>
          </w:p>
        </w:tc>
        <w:tc>
          <w:tcPr>
            <w:tcW w:w="975" w:type="dxa"/>
            <w:tcBorders>
              <w:start w:val="single" w:sz="2" w:space="0" w:color="000000"/>
            </w:tcBorders>
            <w:shd w:fill="auto" w:val="clear"/>
            <w:tcMar>
              <w:start w:w="42" w:type="dxa"/>
            </w:tcMar>
          </w:tcPr>
          <w:p>
            <w:pPr>
              <w:pStyle w:val="Normal"/>
              <w:rPr/>
            </w:pPr>
            <w:r>
              <w:rPr/>
              <w:t xml:space="preserve">11,91 </w:t>
            </w:r>
          </w:p>
          <w:p>
            <w:pPr>
              <w:pStyle w:val="Normal"/>
              <w:rPr/>
            </w:pPr>
            <w:r>
              <w:rPr/>
            </w:r>
          </w:p>
        </w:tc>
        <w:tc>
          <w:tcPr>
            <w:tcW w:w="980" w:type="dxa"/>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12,23 </w:t>
            </w:r>
          </w:p>
          <w:p>
            <w:pPr>
              <w:pStyle w:val="Normal"/>
              <w:rPr/>
            </w:pPr>
            <w:r>
              <w:rPr/>
            </w:r>
          </w:p>
        </w:tc>
      </w:tr>
      <w:tr>
        <w:trPr/>
        <w:tc>
          <w:tcPr>
            <w:tcW w:w="12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40 </w:t>
            </w:r>
          </w:p>
          <w:p>
            <w:pPr>
              <w:pStyle w:val="Normal"/>
              <w:rPr/>
            </w:pPr>
            <w:r>
              <w:rPr/>
            </w:r>
          </w:p>
        </w:tc>
        <w:tc>
          <w:tcPr>
            <w:tcW w:w="9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5,91 </w:t>
            </w:r>
          </w:p>
          <w:p>
            <w:pPr>
              <w:pStyle w:val="Normal"/>
              <w:rPr/>
            </w:pPr>
            <w:r>
              <w:rPr/>
            </w:r>
          </w:p>
        </w:tc>
        <w:tc>
          <w:tcPr>
            <w:tcW w:w="87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6,39 </w:t>
            </w:r>
          </w:p>
          <w:p>
            <w:pPr>
              <w:pStyle w:val="Normal"/>
              <w:rPr/>
            </w:pPr>
            <w:r>
              <w:rPr/>
            </w:r>
          </w:p>
        </w:tc>
        <w:tc>
          <w:tcPr>
            <w:tcW w:w="9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6,76 </w:t>
            </w:r>
          </w:p>
          <w:p>
            <w:pPr>
              <w:pStyle w:val="Normal"/>
              <w:rPr/>
            </w:pPr>
            <w:r>
              <w:rPr/>
            </w:r>
          </w:p>
        </w:tc>
        <w:tc>
          <w:tcPr>
            <w:tcW w:w="9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7,08 </w:t>
            </w:r>
          </w:p>
          <w:p>
            <w:pPr>
              <w:pStyle w:val="Normal"/>
              <w:rPr/>
            </w:pPr>
            <w:r>
              <w:rPr/>
            </w:r>
          </w:p>
        </w:tc>
        <w:tc>
          <w:tcPr>
            <w:tcW w:w="9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7,36 </w:t>
            </w:r>
          </w:p>
          <w:p>
            <w:pPr>
              <w:pStyle w:val="Normal"/>
              <w:rPr/>
            </w:pPr>
            <w:r>
              <w:rPr/>
            </w:r>
          </w:p>
        </w:tc>
        <w:tc>
          <w:tcPr>
            <w:tcW w:w="9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7,92 </w:t>
            </w:r>
          </w:p>
          <w:p>
            <w:pPr>
              <w:pStyle w:val="Normal"/>
              <w:rPr/>
            </w:pPr>
            <w:r>
              <w:rPr/>
            </w:r>
          </w:p>
        </w:tc>
        <w:tc>
          <w:tcPr>
            <w:tcW w:w="9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8,62 </w:t>
            </w:r>
          </w:p>
          <w:p>
            <w:pPr>
              <w:pStyle w:val="Normal"/>
              <w:rPr/>
            </w:pPr>
            <w:r>
              <w:rPr/>
            </w:r>
          </w:p>
        </w:tc>
        <w:tc>
          <w:tcPr>
            <w:tcW w:w="9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9,02 </w:t>
            </w:r>
          </w:p>
          <w:p>
            <w:pPr>
              <w:pStyle w:val="Normal"/>
              <w:rPr/>
            </w:pPr>
            <w:r>
              <w:rPr/>
            </w:r>
          </w:p>
        </w:tc>
        <w:tc>
          <w:tcPr>
            <w:tcW w:w="9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9,47 </w:t>
            </w:r>
          </w:p>
          <w:p>
            <w:pPr>
              <w:pStyle w:val="Normal"/>
              <w:rPr/>
            </w:pPr>
            <w:r>
              <w:rPr/>
            </w:r>
          </w:p>
        </w:tc>
        <w:tc>
          <w:tcPr>
            <w:tcW w:w="87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9,79 </w:t>
            </w:r>
          </w:p>
          <w:p>
            <w:pPr>
              <w:pStyle w:val="Normal"/>
              <w:rPr/>
            </w:pPr>
            <w:r>
              <w:rPr/>
            </w:r>
          </w:p>
        </w:tc>
        <w:tc>
          <w:tcPr>
            <w:tcW w:w="9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10,18 </w:t>
            </w:r>
          </w:p>
          <w:p>
            <w:pPr>
              <w:pStyle w:val="Normal"/>
              <w:rPr/>
            </w:pPr>
            <w:r>
              <w:rPr/>
            </w:r>
          </w:p>
        </w:tc>
        <w:tc>
          <w:tcPr>
            <w:tcW w:w="9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10,48 </w:t>
            </w:r>
          </w:p>
          <w:p>
            <w:pPr>
              <w:pStyle w:val="Normal"/>
              <w:rPr/>
            </w:pPr>
            <w:r>
              <w:rPr/>
            </w:r>
          </w:p>
        </w:tc>
        <w:tc>
          <w:tcPr>
            <w:tcW w:w="9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10,78 </w:t>
            </w:r>
          </w:p>
          <w:p>
            <w:pPr>
              <w:pStyle w:val="Normal"/>
              <w:rPr/>
            </w:pPr>
            <w:r>
              <w:rPr/>
            </w:r>
          </w:p>
        </w:tc>
        <w:tc>
          <w:tcPr>
            <w:tcW w:w="97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11,03 </w:t>
            </w:r>
          </w:p>
          <w:p>
            <w:pPr>
              <w:pStyle w:val="Normal"/>
              <w:rPr/>
            </w:pPr>
            <w:r>
              <w:rPr/>
            </w:r>
          </w:p>
        </w:tc>
        <w:tc>
          <w:tcPr>
            <w:tcW w:w="98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11,32 </w:t>
            </w:r>
          </w:p>
          <w:p>
            <w:pPr>
              <w:pStyle w:val="Normal"/>
              <w:rPr/>
            </w:pPr>
            <w:r>
              <w:rPr/>
            </w:r>
          </w:p>
        </w:tc>
      </w:tr>
    </w:tbl>
    <w:p>
      <w:pPr>
        <w:pStyle w:val="Normal"/>
        <w:jc w:val="end"/>
        <w:rPr/>
      </w:pPr>
      <w:r>
        <w:rPr/>
      </w:r>
    </w:p>
    <w:p>
      <w:pPr>
        <w:pStyle w:val="Normal"/>
        <w:jc w:val="end"/>
        <w:rPr/>
      </w:pPr>
      <w:r>
        <w:rPr/>
      </w:r>
    </w:p>
    <w:p>
      <w:pPr>
        <w:pStyle w:val="Normal"/>
        <w:jc w:val="end"/>
        <w:rPr/>
      </w:pPr>
      <w:r>
        <w:rPr/>
        <w:t xml:space="preserve">Таблица 2 </w:t>
      </w:r>
    </w:p>
    <w:p>
      <w:pPr>
        <w:pStyle w:val="Normal"/>
        <w:ind w:firstLine="270"/>
        <w:jc w:val="both"/>
        <w:rPr/>
      </w:pPr>
      <w:r>
        <w:rPr/>
      </w:r>
    </w:p>
    <w:p>
      <w:pPr>
        <w:pStyle w:val="Normal"/>
        <w:ind w:firstLine="270"/>
        <w:jc w:val="both"/>
        <w:rPr/>
      </w:pPr>
      <w:r>
        <w:rPr/>
      </w:r>
    </w:p>
    <w:tbl>
      <w:tblPr>
        <w:tblW w:w="6590" w:type="dxa"/>
        <w:jc w:val="start"/>
        <w:tblInd w:w="30" w:type="dxa"/>
        <w:tblBorders>
          <w:top w:val="single" w:sz="2" w:space="0" w:color="000000"/>
          <w:start w:val="single" w:sz="2" w:space="0" w:color="000000"/>
        </w:tblBorders>
        <w:tblCellMar>
          <w:top w:w="0" w:type="dxa"/>
          <w:start w:w="27" w:type="dxa"/>
          <w:bottom w:w="0" w:type="dxa"/>
          <w:end w:w="30" w:type="dxa"/>
        </w:tblCellMar>
      </w:tblPr>
      <w:tblGrid>
        <w:gridCol w:w="1110"/>
        <w:gridCol w:w="555"/>
        <w:gridCol w:w="555"/>
        <w:gridCol w:w="555"/>
        <w:gridCol w:w="555"/>
        <w:gridCol w:w="555"/>
        <w:gridCol w:w="15"/>
        <w:gridCol w:w="540"/>
        <w:gridCol w:w="555"/>
        <w:gridCol w:w="555"/>
        <w:gridCol w:w="555"/>
        <w:gridCol w:w="470"/>
        <w:gridCol w:w="15"/>
      </w:tblGrid>
      <w:tr>
        <w:trPr/>
        <w:tc>
          <w:tcPr>
            <w:tcW w:w="1110" w:type="dxa"/>
            <w:tcBorders>
              <w:top w:val="single" w:sz="2" w:space="0" w:color="000000"/>
              <w:start w:val="single" w:sz="2" w:space="0" w:color="000000"/>
            </w:tcBorders>
            <w:shd w:fill="auto" w:val="clear"/>
            <w:tcMar>
              <w:start w:w="27" w:type="dxa"/>
            </w:tcMar>
          </w:tcPr>
          <w:p>
            <w:pPr>
              <w:pStyle w:val="Normal"/>
              <w:jc w:val="center"/>
              <w:rPr/>
            </w:pPr>
            <w:r>
              <w:rPr>
                <w:vanish/>
              </w:rPr>
              <w:t>#G0</w:t>
            </w:r>
            <w:r>
              <w:rPr/>
              <w:t xml:space="preserve">Щелочность добавочной </w:t>
            </w:r>
          </w:p>
          <w:p>
            <w:pPr>
              <w:pStyle w:val="Normal"/>
              <w:jc w:val="center"/>
              <w:rPr/>
            </w:pPr>
            <w:r>
              <w:rPr/>
            </w:r>
          </w:p>
        </w:tc>
        <w:tc>
          <w:tcPr>
            <w:tcW w:w="5480" w:type="dxa"/>
            <w:gridSpan w:val="11"/>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Коэффициент упаривания К(у) </w:t>
            </w:r>
          </w:p>
          <w:p>
            <w:pPr>
              <w:pStyle w:val="Normal"/>
              <w:rPr/>
            </w:pPr>
            <w:r>
              <w:rPr/>
            </w:r>
          </w:p>
        </w:tc>
      </w:tr>
      <w:tr>
        <w:trPr/>
        <w:tc>
          <w:tcPr>
            <w:tcW w:w="111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воды Щ(доб), </w:t>
            </w:r>
          </w:p>
          <w:p>
            <w:pPr>
              <w:pStyle w:val="Normal"/>
              <w:rPr/>
            </w:pPr>
            <w:r>
              <w:rPr/>
              <w:t xml:space="preserve">мг-экв/л </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1,2 </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1,5 </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2 </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2,5 </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3 </w:t>
            </w:r>
          </w:p>
          <w:p>
            <w:pPr>
              <w:pStyle w:val="Normal"/>
              <w:rPr/>
            </w:pPr>
            <w:r>
              <w:rPr/>
            </w:r>
          </w:p>
        </w:tc>
        <w:tc>
          <w:tcPr>
            <w:tcW w:w="555" w:type="dxa"/>
            <w:gridSpan w:val="2"/>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1,2 </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1,5 </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2 </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2,5 </w:t>
            </w:r>
          </w:p>
          <w:p>
            <w:pPr>
              <w:pStyle w:val="Normal"/>
              <w:rPr/>
            </w:pPr>
            <w:r>
              <w:rPr/>
            </w:r>
          </w:p>
        </w:tc>
        <w:tc>
          <w:tcPr>
            <w:tcW w:w="470"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3 </w:t>
            </w:r>
          </w:p>
          <w:p>
            <w:pPr>
              <w:pStyle w:val="Normal"/>
              <w:rPr/>
            </w:pPr>
            <w:r>
              <w:rPr/>
            </w:r>
          </w:p>
        </w:tc>
      </w:tr>
      <w:tr>
        <w:trPr/>
        <w:tc>
          <w:tcPr>
            <w:tcW w:w="1110" w:type="dxa"/>
            <w:tcBorders>
              <w:start w:val="single" w:sz="2" w:space="0" w:color="000000"/>
            </w:tcBorders>
            <w:shd w:fill="auto" w:val="clear"/>
            <w:tcMar>
              <w:start w:w="27" w:type="dxa"/>
            </w:tcMar>
          </w:tcPr>
          <w:p>
            <w:pPr>
              <w:pStyle w:val="Normal"/>
              <w:rPr/>
            </w:pPr>
            <w:r>
              <w:rPr/>
              <w:t xml:space="preserve">  </w:t>
            </w:r>
          </w:p>
          <w:p>
            <w:pPr>
              <w:pStyle w:val="Normal"/>
              <w:rPr/>
            </w:pPr>
            <w:r>
              <w:rPr/>
            </w:r>
          </w:p>
        </w:tc>
        <w:tc>
          <w:tcPr>
            <w:tcW w:w="5480" w:type="dxa"/>
            <w:gridSpan w:val="11"/>
            <w:tcBorders>
              <w:start w:val="single" w:sz="2" w:space="0" w:color="000000"/>
              <w:end w:val="single" w:sz="2" w:space="0" w:color="000000"/>
              <w:insideV w:val="single" w:sz="2" w:space="0" w:color="000000"/>
            </w:tcBorders>
            <w:shd w:fill="auto" w:val="clear"/>
            <w:tcMar>
              <w:start w:w="27" w:type="dxa"/>
            </w:tcMar>
          </w:tcPr>
          <w:p>
            <w:pPr>
              <w:pStyle w:val="Normal"/>
              <w:jc w:val="center"/>
              <w:rPr/>
            </w:pPr>
            <w:r>
              <w:rPr/>
              <w:t xml:space="preserve">Значения (СО(2))охл в воде, охлажденной на градирнях, мг/л </w:t>
            </w:r>
          </w:p>
          <w:p>
            <w:pPr>
              <w:pStyle w:val="Normal"/>
              <w:jc w:val="center"/>
              <w:rPr/>
            </w:pPr>
            <w:r>
              <w:rPr/>
            </w:r>
          </w:p>
        </w:tc>
      </w:tr>
      <w:tr>
        <w:trPr/>
        <w:tc>
          <w:tcPr>
            <w:tcW w:w="1110" w:type="dxa"/>
            <w:tcBorders>
              <w:start w:val="single" w:sz="2" w:space="0" w:color="000000"/>
            </w:tcBorders>
            <w:shd w:fill="auto" w:val="clear"/>
            <w:tcMar>
              <w:start w:w="27" w:type="dxa"/>
            </w:tcMar>
          </w:tcPr>
          <w:p>
            <w:pPr>
              <w:pStyle w:val="Normal"/>
              <w:rPr/>
            </w:pPr>
            <w:r>
              <w:rPr/>
              <w:t xml:space="preserve">  </w:t>
            </w:r>
          </w:p>
          <w:p>
            <w:pPr>
              <w:pStyle w:val="Normal"/>
              <w:rPr/>
            </w:pPr>
            <w:r>
              <w:rPr/>
            </w:r>
          </w:p>
        </w:tc>
        <w:tc>
          <w:tcPr>
            <w:tcW w:w="2790" w:type="dxa"/>
            <w:gridSpan w:val="6"/>
            <w:tcBorders>
              <w:start w:val="single" w:sz="2" w:space="0" w:color="000000"/>
            </w:tcBorders>
            <w:shd w:fill="auto" w:val="clear"/>
            <w:tcMar>
              <w:start w:w="27" w:type="dxa"/>
            </w:tcMar>
          </w:tcPr>
          <w:p>
            <w:pPr>
              <w:pStyle w:val="Normal"/>
              <w:jc w:val="center"/>
              <w:rPr/>
            </w:pPr>
            <w:r>
              <w:rPr/>
              <w:t xml:space="preserve">При подкислении </w:t>
            </w:r>
          </w:p>
          <w:p>
            <w:pPr>
              <w:pStyle w:val="Normal"/>
              <w:jc w:val="center"/>
              <w:rPr/>
            </w:pPr>
            <w:r>
              <w:rPr/>
            </w:r>
          </w:p>
        </w:tc>
        <w:tc>
          <w:tcPr>
            <w:tcW w:w="2690" w:type="dxa"/>
            <w:gridSpan w:val="5"/>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При декарбонизации </w:t>
            </w:r>
          </w:p>
          <w:p>
            <w:pPr>
              <w:pStyle w:val="Normal"/>
              <w:rPr/>
            </w:pPr>
            <w:r>
              <w:rPr/>
            </w:r>
          </w:p>
        </w:tc>
      </w:tr>
      <w:tr>
        <w:trPr/>
        <w:tc>
          <w:tcPr>
            <w:tcW w:w="1110" w:type="dxa"/>
            <w:tcBorders>
              <w:start w:val="single" w:sz="2" w:space="0" w:color="000000"/>
            </w:tcBorders>
            <w:shd w:fill="auto" w:val="clear"/>
            <w:tcMar>
              <w:start w:w="27" w:type="dxa"/>
            </w:tcMar>
          </w:tcPr>
          <w:p>
            <w:pPr>
              <w:pStyle w:val="Normal"/>
              <w:rPr/>
            </w:pPr>
            <w:r>
              <w:rPr/>
              <w:t xml:space="preserve">1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  </w:t>
            </w:r>
            <w:r>
              <w:rPr/>
              <w:t>-</w:t>
            </w:r>
          </w:p>
          <w:p>
            <w:pPr>
              <w:pStyle w:val="Normal"/>
              <w:rPr/>
            </w:pPr>
            <w:r>
              <w:rPr/>
            </w:r>
          </w:p>
        </w:tc>
        <w:tc>
          <w:tcPr>
            <w:tcW w:w="555" w:type="dxa"/>
            <w:tcBorders>
              <w:start w:val="single" w:sz="2" w:space="0" w:color="000000"/>
            </w:tcBorders>
            <w:shd w:fill="auto" w:val="clear"/>
            <w:tcMar>
              <w:start w:w="27" w:type="dxa"/>
            </w:tcMar>
          </w:tcPr>
          <w:p>
            <w:pPr>
              <w:pStyle w:val="Normal"/>
              <w:jc w:val="center"/>
              <w:rPr/>
            </w:pPr>
            <w:r>
              <w:rPr/>
              <w:t xml:space="preserve">0,6 </w:t>
            </w:r>
          </w:p>
          <w:p>
            <w:pPr>
              <w:pStyle w:val="Normal"/>
              <w:jc w:val="center"/>
              <w:rPr/>
            </w:pPr>
            <w:r>
              <w:rPr/>
            </w:r>
          </w:p>
        </w:tc>
        <w:tc>
          <w:tcPr>
            <w:tcW w:w="555" w:type="dxa"/>
            <w:tcBorders>
              <w:start w:val="single" w:sz="2" w:space="0" w:color="000000"/>
            </w:tcBorders>
            <w:shd w:fill="auto" w:val="clear"/>
            <w:tcMar>
              <w:start w:w="27" w:type="dxa"/>
            </w:tcMar>
          </w:tcPr>
          <w:p>
            <w:pPr>
              <w:pStyle w:val="Normal"/>
              <w:rPr/>
            </w:pPr>
            <w:r>
              <w:rPr/>
              <w:t xml:space="preserve">0,6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0,5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0,5 </w:t>
            </w:r>
          </w:p>
          <w:p>
            <w:pPr>
              <w:pStyle w:val="Normal"/>
              <w:rPr/>
            </w:pPr>
            <w:r>
              <w:rPr/>
            </w:r>
          </w:p>
        </w:tc>
        <w:tc>
          <w:tcPr>
            <w:tcW w:w="555" w:type="dxa"/>
            <w:gridSpan w:val="2"/>
            <w:tcBorders>
              <w:start w:val="single" w:sz="2" w:space="0" w:color="000000"/>
            </w:tcBorders>
            <w:shd w:fill="auto" w:val="clear"/>
            <w:tcMar>
              <w:start w:w="27" w:type="dxa"/>
            </w:tcMar>
          </w:tcPr>
          <w:p>
            <w:pPr>
              <w:pStyle w:val="Normal"/>
              <w:rPr/>
            </w:pPr>
            <w:r>
              <w:rPr/>
              <w:t xml:space="preserve">0,2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0,7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0,9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1,5 </w:t>
            </w:r>
          </w:p>
          <w:p>
            <w:pPr>
              <w:pStyle w:val="Normal"/>
              <w:rPr/>
            </w:pPr>
            <w:r>
              <w:rPr/>
            </w:r>
          </w:p>
        </w:tc>
        <w:tc>
          <w:tcPr>
            <w:tcW w:w="48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2,4 </w:t>
            </w:r>
          </w:p>
          <w:p>
            <w:pPr>
              <w:pStyle w:val="Normal"/>
              <w:rPr/>
            </w:pPr>
            <w:r>
              <w:rPr/>
            </w:r>
          </w:p>
        </w:tc>
      </w:tr>
      <w:tr>
        <w:trPr/>
        <w:tc>
          <w:tcPr>
            <w:tcW w:w="1110" w:type="dxa"/>
            <w:tcBorders>
              <w:start w:val="single" w:sz="2" w:space="0" w:color="000000"/>
            </w:tcBorders>
            <w:shd w:fill="auto" w:val="clear"/>
            <w:tcMar>
              <w:start w:w="27" w:type="dxa"/>
            </w:tcMar>
          </w:tcPr>
          <w:p>
            <w:pPr>
              <w:pStyle w:val="Normal"/>
              <w:rPr/>
            </w:pPr>
            <w:r>
              <w:rPr/>
              <w:t xml:space="preserve">2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2,2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2,1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2,1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2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2 </w:t>
            </w:r>
          </w:p>
          <w:p>
            <w:pPr>
              <w:pStyle w:val="Normal"/>
              <w:rPr/>
            </w:pPr>
            <w:r>
              <w:rPr/>
            </w:r>
          </w:p>
        </w:tc>
        <w:tc>
          <w:tcPr>
            <w:tcW w:w="555" w:type="dxa"/>
            <w:gridSpan w:val="2"/>
            <w:tcBorders>
              <w:start w:val="single" w:sz="2" w:space="0" w:color="000000"/>
            </w:tcBorders>
            <w:shd w:fill="auto" w:val="clear"/>
            <w:tcMar>
              <w:start w:w="27" w:type="dxa"/>
            </w:tcMar>
          </w:tcPr>
          <w:p>
            <w:pPr>
              <w:pStyle w:val="Normal"/>
              <w:rPr/>
            </w:pPr>
            <w:r>
              <w:rPr/>
              <w:t xml:space="preserve">1,8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3,3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6,9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12 </w:t>
            </w:r>
          </w:p>
          <w:p>
            <w:pPr>
              <w:pStyle w:val="Normal"/>
              <w:rPr/>
            </w:pPr>
            <w:r>
              <w:rPr/>
            </w:r>
          </w:p>
        </w:tc>
        <w:tc>
          <w:tcPr>
            <w:tcW w:w="48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18,9 </w:t>
            </w:r>
          </w:p>
          <w:p>
            <w:pPr>
              <w:pStyle w:val="Normal"/>
              <w:rPr/>
            </w:pPr>
            <w:r>
              <w:rPr/>
            </w:r>
          </w:p>
        </w:tc>
      </w:tr>
      <w:tr>
        <w:trPr/>
        <w:tc>
          <w:tcPr>
            <w:tcW w:w="1110" w:type="dxa"/>
            <w:tcBorders>
              <w:start w:val="single" w:sz="2" w:space="0" w:color="000000"/>
            </w:tcBorders>
            <w:shd w:fill="auto" w:val="clear"/>
            <w:tcMar>
              <w:start w:w="27" w:type="dxa"/>
            </w:tcMar>
          </w:tcPr>
          <w:p>
            <w:pPr>
              <w:pStyle w:val="Normal"/>
              <w:rPr/>
            </w:pPr>
            <w:r>
              <w:rPr/>
              <w:t xml:space="preserve">3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3,6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2,8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2,5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2,3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2,2 </w:t>
            </w:r>
          </w:p>
          <w:p>
            <w:pPr>
              <w:pStyle w:val="Normal"/>
              <w:rPr/>
            </w:pPr>
            <w:r>
              <w:rPr/>
            </w:r>
          </w:p>
        </w:tc>
        <w:tc>
          <w:tcPr>
            <w:tcW w:w="555" w:type="dxa"/>
            <w:gridSpan w:val="2"/>
            <w:tcBorders>
              <w:start w:val="single" w:sz="2" w:space="0" w:color="000000"/>
            </w:tcBorders>
            <w:shd w:fill="auto" w:val="clear"/>
            <w:tcMar>
              <w:start w:w="27" w:type="dxa"/>
            </w:tcMar>
          </w:tcPr>
          <w:p>
            <w:pPr>
              <w:pStyle w:val="Normal"/>
              <w:rPr/>
            </w:pPr>
            <w:r>
              <w:rPr/>
              <w:t xml:space="preserve">6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10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26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34 </w:t>
            </w:r>
          </w:p>
          <w:p>
            <w:pPr>
              <w:pStyle w:val="Normal"/>
              <w:rPr/>
            </w:pPr>
            <w:r>
              <w:rPr/>
            </w:r>
          </w:p>
        </w:tc>
        <w:tc>
          <w:tcPr>
            <w:tcW w:w="48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36 </w:t>
            </w:r>
          </w:p>
          <w:p>
            <w:pPr>
              <w:pStyle w:val="Normal"/>
              <w:rPr/>
            </w:pPr>
            <w:r>
              <w:rPr/>
            </w:r>
          </w:p>
        </w:tc>
      </w:tr>
      <w:tr>
        <w:trPr/>
        <w:tc>
          <w:tcPr>
            <w:tcW w:w="1110" w:type="dxa"/>
            <w:tcBorders>
              <w:start w:val="single" w:sz="2" w:space="0" w:color="000000"/>
            </w:tcBorders>
            <w:shd w:fill="auto" w:val="clear"/>
            <w:tcMar>
              <w:start w:w="27" w:type="dxa"/>
            </w:tcMar>
          </w:tcPr>
          <w:p>
            <w:pPr>
              <w:pStyle w:val="Normal"/>
              <w:rPr/>
            </w:pPr>
            <w:r>
              <w:rPr/>
              <w:t xml:space="preserve">4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5,3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4,6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3,8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3,5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3,4 </w:t>
            </w:r>
          </w:p>
          <w:p>
            <w:pPr>
              <w:pStyle w:val="Normal"/>
              <w:rPr/>
            </w:pPr>
            <w:r>
              <w:rPr/>
            </w:r>
          </w:p>
        </w:tc>
        <w:tc>
          <w:tcPr>
            <w:tcW w:w="555" w:type="dxa"/>
            <w:gridSpan w:val="2"/>
            <w:tcBorders>
              <w:start w:val="single" w:sz="2" w:space="0" w:color="000000"/>
            </w:tcBorders>
            <w:shd w:fill="auto" w:val="clear"/>
            <w:tcMar>
              <w:start w:w="27" w:type="dxa"/>
            </w:tcMar>
          </w:tcPr>
          <w:p>
            <w:pPr>
              <w:pStyle w:val="Normal"/>
              <w:rPr/>
            </w:pPr>
            <w:r>
              <w:rPr/>
              <w:t xml:space="preserve">12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28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36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40 </w:t>
            </w:r>
          </w:p>
          <w:p>
            <w:pPr>
              <w:pStyle w:val="Normal"/>
              <w:rPr/>
            </w:pPr>
            <w:r>
              <w:rPr/>
            </w:r>
          </w:p>
        </w:tc>
        <w:tc>
          <w:tcPr>
            <w:tcW w:w="48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43 </w:t>
            </w:r>
          </w:p>
          <w:p>
            <w:pPr>
              <w:pStyle w:val="Normal"/>
              <w:rPr/>
            </w:pPr>
            <w:r>
              <w:rPr/>
            </w:r>
          </w:p>
        </w:tc>
      </w:tr>
      <w:tr>
        <w:trPr/>
        <w:tc>
          <w:tcPr>
            <w:tcW w:w="1110" w:type="dxa"/>
            <w:tcBorders>
              <w:start w:val="single" w:sz="2" w:space="0" w:color="000000"/>
            </w:tcBorders>
            <w:shd w:fill="auto" w:val="clear"/>
            <w:tcMar>
              <w:start w:w="27" w:type="dxa"/>
            </w:tcMar>
          </w:tcPr>
          <w:p>
            <w:pPr>
              <w:pStyle w:val="Normal"/>
              <w:rPr/>
            </w:pPr>
            <w:r>
              <w:rPr/>
              <w:t xml:space="preserve">5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9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6,4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5,1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4,5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4,3 </w:t>
            </w:r>
          </w:p>
          <w:p>
            <w:pPr>
              <w:pStyle w:val="Normal"/>
              <w:rPr/>
            </w:pPr>
            <w:r>
              <w:rPr/>
            </w:r>
          </w:p>
        </w:tc>
        <w:tc>
          <w:tcPr>
            <w:tcW w:w="555" w:type="dxa"/>
            <w:gridSpan w:val="2"/>
            <w:tcBorders>
              <w:start w:val="single" w:sz="2" w:space="0" w:color="000000"/>
            </w:tcBorders>
            <w:shd w:fill="auto" w:val="clear"/>
            <w:tcMar>
              <w:start w:w="27" w:type="dxa"/>
            </w:tcMar>
          </w:tcPr>
          <w:p>
            <w:pPr>
              <w:pStyle w:val="Normal"/>
              <w:rPr/>
            </w:pPr>
            <w:r>
              <w:rPr/>
              <w:t xml:space="preserve">34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36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40 </w:t>
            </w:r>
          </w:p>
          <w:p>
            <w:pPr>
              <w:pStyle w:val="Normal"/>
              <w:rPr/>
            </w:pPr>
            <w:r>
              <w:rPr/>
            </w:r>
          </w:p>
        </w:tc>
        <w:tc>
          <w:tcPr>
            <w:tcW w:w="555" w:type="dxa"/>
            <w:tcBorders>
              <w:start w:val="single" w:sz="2" w:space="0" w:color="000000"/>
            </w:tcBorders>
            <w:shd w:fill="auto" w:val="clear"/>
            <w:tcMar>
              <w:start w:w="27" w:type="dxa"/>
            </w:tcMar>
          </w:tcPr>
          <w:p>
            <w:pPr>
              <w:pStyle w:val="Normal"/>
              <w:rPr/>
            </w:pPr>
            <w:r>
              <w:rPr/>
              <w:t xml:space="preserve">  </w:t>
            </w:r>
            <w:r>
              <w:rPr/>
              <w:t>-</w:t>
            </w:r>
          </w:p>
          <w:p>
            <w:pPr>
              <w:pStyle w:val="Normal"/>
              <w:rPr/>
            </w:pPr>
            <w:r>
              <w:rPr/>
            </w:r>
          </w:p>
        </w:tc>
        <w:tc>
          <w:tcPr>
            <w:tcW w:w="485" w:type="dxa"/>
            <w:tcBorders>
              <w:start w:val="single" w:sz="2" w:space="0" w:color="000000"/>
              <w:end w:val="single" w:sz="2" w:space="0" w:color="000000"/>
              <w:insideV w:val="single" w:sz="2" w:space="0" w:color="000000"/>
            </w:tcBorders>
            <w:shd w:fill="auto" w:val="clear"/>
            <w:tcMar>
              <w:start w:w="27" w:type="dxa"/>
            </w:tcMar>
          </w:tcPr>
          <w:p>
            <w:pPr>
              <w:pStyle w:val="Normal"/>
              <w:rPr/>
            </w:pPr>
            <w:r>
              <w:rPr/>
              <w:t xml:space="preserve">  </w:t>
            </w:r>
            <w:r>
              <w:rPr/>
              <w:t>-</w:t>
            </w:r>
          </w:p>
          <w:p>
            <w:pPr>
              <w:pStyle w:val="Normal"/>
              <w:rPr/>
            </w:pPr>
            <w:r>
              <w:rPr/>
            </w:r>
          </w:p>
        </w:tc>
      </w:tr>
      <w:tr>
        <w:trPr/>
        <w:tc>
          <w:tcPr>
            <w:tcW w:w="1110" w:type="dxa"/>
            <w:tcBorders>
              <w:start w:val="single" w:sz="2" w:space="0" w:color="000000"/>
              <w:bottom w:val="single" w:sz="2" w:space="0" w:color="000000"/>
              <w:insideH w:val="single" w:sz="2" w:space="0" w:color="000000"/>
            </w:tcBorders>
            <w:shd w:fill="auto" w:val="clear"/>
            <w:tcMar>
              <w:start w:w="27" w:type="dxa"/>
            </w:tcMar>
          </w:tcPr>
          <w:p>
            <w:pPr>
              <w:pStyle w:val="Normal"/>
              <w:jc w:val="center"/>
              <w:rPr/>
            </w:pPr>
            <w:r>
              <w:rPr/>
              <w:t xml:space="preserve">6 </w:t>
            </w:r>
          </w:p>
          <w:p>
            <w:pPr>
              <w:pStyle w:val="Normal"/>
              <w:jc w:val="center"/>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16,3 </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9 </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7,6 </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6 </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5,4 </w:t>
            </w:r>
          </w:p>
          <w:p>
            <w:pPr>
              <w:pStyle w:val="Normal"/>
              <w:rPr/>
            </w:pPr>
            <w:r>
              <w:rPr/>
            </w:r>
          </w:p>
        </w:tc>
        <w:tc>
          <w:tcPr>
            <w:tcW w:w="555" w:type="dxa"/>
            <w:gridSpan w:val="2"/>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  </w:t>
            </w:r>
            <w:r>
              <w:rPr/>
              <w:t>-</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  </w:t>
            </w:r>
            <w:r>
              <w:rPr/>
              <w:t>-</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  </w:t>
            </w:r>
            <w:r>
              <w:rPr/>
              <w:t>-</w:t>
            </w:r>
          </w:p>
          <w:p>
            <w:pPr>
              <w:pStyle w:val="Normal"/>
              <w:rPr/>
            </w:pPr>
            <w:r>
              <w:rPr/>
            </w:r>
          </w:p>
        </w:tc>
        <w:tc>
          <w:tcPr>
            <w:tcW w:w="55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  </w:t>
            </w:r>
            <w:r>
              <w:rPr/>
              <w:t>-</w:t>
            </w:r>
          </w:p>
          <w:p>
            <w:pPr>
              <w:pStyle w:val="Normal"/>
              <w:rPr/>
            </w:pPr>
            <w:r>
              <w:rPr/>
            </w:r>
          </w:p>
        </w:tc>
        <w:tc>
          <w:tcPr>
            <w:tcW w:w="48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  </w:t>
            </w:r>
            <w:r>
              <w:rPr/>
              <w:t>-</w:t>
            </w:r>
          </w:p>
          <w:p>
            <w:pPr>
              <w:pStyle w:val="Normal"/>
              <w:rPr/>
            </w:pPr>
            <w:r>
              <w:rPr/>
              <w:t xml:space="preserve">     </w:t>
            </w:r>
          </w:p>
          <w:p>
            <w:pPr>
              <w:pStyle w:val="Normal"/>
              <w:rPr/>
            </w:pPr>
            <w:r>
              <w:rPr/>
            </w:r>
          </w:p>
        </w:tc>
      </w:tr>
    </w:tbl>
    <w:p>
      <w:pPr>
        <w:pStyle w:val="Normal"/>
        <w:jc w:val="both"/>
        <w:rPr/>
      </w:pPr>
      <w:r>
        <w:rPr/>
      </w:r>
    </w:p>
    <w:p>
      <w:pPr>
        <w:pStyle w:val="Normal"/>
        <w:ind w:firstLine="270"/>
        <w:jc w:val="both"/>
        <w:rPr/>
      </w:pPr>
      <w:r>
        <w:rPr/>
        <w:t>Примечание. При охлаждении воды на брызгальных бассейнах и водохранилищах (прудах) - охладителях значения СО(2)охл следует принимать на основании данных технологических изысканий.</w:t>
      </w:r>
    </w:p>
    <w:p>
      <w:pPr>
        <w:pStyle w:val="Normal"/>
        <w:ind w:firstLine="270"/>
        <w:jc w:val="both"/>
        <w:rPr/>
      </w:pPr>
      <w:r>
        <w:rPr/>
      </w:r>
    </w:p>
    <w:p>
      <w:pPr>
        <w:pStyle w:val="Normal"/>
        <w:ind w:firstLine="270"/>
        <w:jc w:val="both"/>
        <w:rPr/>
      </w:pPr>
      <w:r>
        <w:rPr/>
      </w:r>
    </w:p>
    <w:p>
      <w:pPr>
        <w:pStyle w:val="Normal"/>
        <w:jc w:val="end"/>
        <w:rPr/>
      </w:pPr>
      <w:r>
        <w:rPr/>
        <w:t>Таблица 3</w:t>
      </w:r>
    </w:p>
    <w:p>
      <w:pPr>
        <w:pStyle w:val="Normal"/>
        <w:jc w:val="end"/>
        <w:rPr/>
      </w:pPr>
      <w:r>
        <w:rPr/>
      </w:r>
    </w:p>
    <w:p>
      <w:pPr>
        <w:pStyle w:val="Normal"/>
        <w:jc w:val="end"/>
        <w:rPr/>
      </w:pPr>
      <w:r>
        <w:rPr/>
      </w:r>
    </w:p>
    <w:tbl>
      <w:tblPr>
        <w:tblW w:w="9425" w:type="dxa"/>
        <w:jc w:val="start"/>
        <w:tblInd w:w="43" w:type="dxa"/>
        <w:tblBorders>
          <w:top w:val="single" w:sz="2" w:space="0" w:color="000000"/>
          <w:start w:val="single" w:sz="2" w:space="0" w:color="000000"/>
          <w:bottom w:val="single" w:sz="2" w:space="0" w:color="000000"/>
          <w:insideH w:val="single" w:sz="2" w:space="0" w:color="000000"/>
        </w:tblBorders>
        <w:tblCellMar>
          <w:top w:w="0" w:type="dxa"/>
          <w:start w:w="27" w:type="dxa"/>
          <w:bottom w:w="0" w:type="dxa"/>
          <w:end w:w="30" w:type="dxa"/>
        </w:tblCellMar>
      </w:tblPr>
      <w:tblGrid>
        <w:gridCol w:w="2265"/>
        <w:gridCol w:w="450"/>
        <w:gridCol w:w="435"/>
        <w:gridCol w:w="435"/>
        <w:gridCol w:w="420"/>
        <w:gridCol w:w="420"/>
        <w:gridCol w:w="420"/>
        <w:gridCol w:w="420"/>
        <w:gridCol w:w="465"/>
        <w:gridCol w:w="420"/>
        <w:gridCol w:w="465"/>
        <w:gridCol w:w="465"/>
        <w:gridCol w:w="480"/>
        <w:gridCol w:w="465"/>
        <w:gridCol w:w="480"/>
        <w:gridCol w:w="435"/>
        <w:gridCol w:w="485"/>
      </w:tblGrid>
      <w:tr>
        <w:trPr/>
        <w:tc>
          <w:tcPr>
            <w:tcW w:w="226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jc w:val="both"/>
              <w:rPr/>
            </w:pPr>
            <w:r>
              <w:rPr>
                <w:vanish/>
              </w:rPr>
              <w:t>#G0</w:t>
            </w:r>
            <w:r>
              <w:rPr/>
              <w:t>Ионная сила раствора (охлажденной воды),</w:t>
            </w:r>
          </w:p>
          <w:p>
            <w:pPr>
              <w:pStyle w:val="Normal"/>
              <w:jc w:val="both"/>
              <w:rPr/>
            </w:pPr>
            <w:r>
              <w:rPr/>
              <w:drawing>
                <wp:inline distT="0" distB="0" distL="0" distR="0">
                  <wp:extent cx="817880" cy="207645"/>
                  <wp:effectExtent l="0" t="0" r="0" b="0"/>
                  <wp:docPr id="391" name="Изображение3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Изображение391" descr="" title=""/>
                          <pic:cNvPicPr>
                            <a:picLocks noChangeAspect="1" noChangeArrowheads="1"/>
                          </pic:cNvPicPr>
                        </pic:nvPicPr>
                        <pic:blipFill>
                          <a:blip r:embed="rId392"/>
                          <a:stretch>
                            <a:fillRect/>
                          </a:stretch>
                        </pic:blipFill>
                        <pic:spPr bwMode="auto">
                          <a:xfrm>
                            <a:off x="0" y="0"/>
                            <a:ext cx="817880" cy="207645"/>
                          </a:xfrm>
                          <a:prstGeom prst="rect">
                            <a:avLst/>
                          </a:prstGeom>
                        </pic:spPr>
                      </pic:pic>
                    </a:graphicData>
                  </a:graphic>
                </wp:inline>
              </w:drawing>
            </w:r>
          </w:p>
          <w:p>
            <w:pPr>
              <w:pStyle w:val="Normal"/>
              <w:jc w:val="both"/>
              <w:rPr/>
            </w:pPr>
            <w:r>
              <w:rPr/>
            </w:r>
          </w:p>
        </w:tc>
        <w:tc>
          <w:tcPr>
            <w:tcW w:w="45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jc w:val="center"/>
              <w:rPr/>
            </w:pPr>
            <w:r>
              <w:rPr/>
              <w:t xml:space="preserve">0,01 </w:t>
            </w:r>
          </w:p>
          <w:p>
            <w:pPr>
              <w:pStyle w:val="Normal"/>
              <w:jc w:val="center"/>
              <w:rPr/>
            </w:pPr>
            <w:r>
              <w:rPr/>
            </w:r>
          </w:p>
        </w:tc>
        <w:tc>
          <w:tcPr>
            <w:tcW w:w="43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0,02 </w:t>
            </w:r>
          </w:p>
          <w:p>
            <w:pPr>
              <w:pStyle w:val="Normal"/>
              <w:rPr/>
            </w:pPr>
            <w:r>
              <w:rPr/>
            </w:r>
          </w:p>
        </w:tc>
        <w:tc>
          <w:tcPr>
            <w:tcW w:w="43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0,03 </w:t>
            </w:r>
          </w:p>
          <w:p>
            <w:pPr>
              <w:pStyle w:val="Normal"/>
              <w:rPr/>
            </w:pPr>
            <w:r>
              <w:rPr/>
            </w:r>
          </w:p>
        </w:tc>
        <w:tc>
          <w:tcPr>
            <w:tcW w:w="42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0,04 </w:t>
            </w:r>
          </w:p>
          <w:p>
            <w:pPr>
              <w:pStyle w:val="Normal"/>
              <w:rPr/>
            </w:pPr>
            <w:r>
              <w:rPr/>
            </w:r>
          </w:p>
        </w:tc>
        <w:tc>
          <w:tcPr>
            <w:tcW w:w="42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0,05 </w:t>
            </w:r>
          </w:p>
          <w:p>
            <w:pPr>
              <w:pStyle w:val="Normal"/>
              <w:rPr/>
            </w:pPr>
            <w:r>
              <w:rPr/>
            </w:r>
          </w:p>
        </w:tc>
        <w:tc>
          <w:tcPr>
            <w:tcW w:w="42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0,06 </w:t>
            </w:r>
          </w:p>
          <w:p>
            <w:pPr>
              <w:pStyle w:val="Normal"/>
              <w:rPr/>
            </w:pPr>
            <w:r>
              <w:rPr/>
            </w:r>
          </w:p>
        </w:tc>
        <w:tc>
          <w:tcPr>
            <w:tcW w:w="42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0,07 </w:t>
            </w:r>
          </w:p>
          <w:p>
            <w:pPr>
              <w:pStyle w:val="Normal"/>
              <w:rPr/>
            </w:pPr>
            <w:r>
              <w:rPr/>
            </w:r>
          </w:p>
        </w:tc>
        <w:tc>
          <w:tcPr>
            <w:tcW w:w="46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0,08 </w:t>
            </w:r>
          </w:p>
          <w:p>
            <w:pPr>
              <w:pStyle w:val="Normal"/>
              <w:rPr/>
            </w:pPr>
            <w:r>
              <w:rPr/>
            </w:r>
          </w:p>
        </w:tc>
        <w:tc>
          <w:tcPr>
            <w:tcW w:w="42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0,09 </w:t>
            </w:r>
          </w:p>
          <w:p>
            <w:pPr>
              <w:pStyle w:val="Normal"/>
              <w:rPr/>
            </w:pPr>
            <w:r>
              <w:rPr/>
            </w:r>
          </w:p>
        </w:tc>
        <w:tc>
          <w:tcPr>
            <w:tcW w:w="46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0,1 </w:t>
            </w:r>
          </w:p>
          <w:p>
            <w:pPr>
              <w:pStyle w:val="Normal"/>
              <w:rPr/>
            </w:pPr>
            <w:r>
              <w:rPr/>
            </w:r>
          </w:p>
        </w:tc>
        <w:tc>
          <w:tcPr>
            <w:tcW w:w="46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0,11 </w:t>
            </w:r>
          </w:p>
          <w:p>
            <w:pPr>
              <w:pStyle w:val="Normal"/>
              <w:rPr/>
            </w:pPr>
            <w:r>
              <w:rPr/>
            </w:r>
          </w:p>
        </w:tc>
        <w:tc>
          <w:tcPr>
            <w:tcW w:w="48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0,12 </w:t>
            </w:r>
          </w:p>
          <w:p>
            <w:pPr>
              <w:pStyle w:val="Normal"/>
              <w:rPr/>
            </w:pPr>
            <w:r>
              <w:rPr/>
            </w:r>
          </w:p>
        </w:tc>
        <w:tc>
          <w:tcPr>
            <w:tcW w:w="46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0,13 </w:t>
            </w:r>
          </w:p>
          <w:p>
            <w:pPr>
              <w:pStyle w:val="Normal"/>
              <w:rPr/>
            </w:pPr>
            <w:r>
              <w:rPr/>
            </w:r>
          </w:p>
        </w:tc>
        <w:tc>
          <w:tcPr>
            <w:tcW w:w="48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0,14 </w:t>
            </w:r>
          </w:p>
          <w:p>
            <w:pPr>
              <w:pStyle w:val="Normal"/>
              <w:rPr/>
            </w:pPr>
            <w:r>
              <w:rPr/>
            </w:r>
          </w:p>
        </w:tc>
        <w:tc>
          <w:tcPr>
            <w:tcW w:w="43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0,15 </w:t>
            </w:r>
          </w:p>
          <w:p>
            <w:pPr>
              <w:pStyle w:val="Normal"/>
              <w:rPr/>
            </w:pPr>
            <w:r>
              <w:rPr/>
            </w:r>
          </w:p>
        </w:tc>
        <w:tc>
          <w:tcPr>
            <w:tcW w:w="48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0,16 </w:t>
            </w:r>
          </w:p>
          <w:p>
            <w:pPr>
              <w:pStyle w:val="Normal"/>
              <w:rPr/>
            </w:pPr>
            <w:r>
              <w:rPr/>
            </w:r>
          </w:p>
        </w:tc>
      </w:tr>
      <w:tr>
        <w:trPr/>
        <w:tc>
          <w:tcPr>
            <w:tcW w:w="2265" w:type="dxa"/>
            <w:tcBorders>
              <w:start w:val="single" w:sz="2" w:space="0" w:color="000000"/>
              <w:bottom w:val="single" w:sz="2" w:space="0" w:color="000000"/>
              <w:insideH w:val="single" w:sz="2" w:space="0" w:color="000000"/>
            </w:tcBorders>
            <w:shd w:fill="auto" w:val="clear"/>
            <w:tcMar>
              <w:start w:w="27" w:type="dxa"/>
            </w:tcMar>
          </w:tcPr>
          <w:p>
            <w:pPr>
              <w:pStyle w:val="Normal"/>
              <w:jc w:val="both"/>
              <w:rPr/>
            </w:pPr>
            <w:r>
              <w:rPr/>
              <w:t xml:space="preserve">Коэффициент активности двухвалентных ионов </w:t>
            </w:r>
          </w:p>
          <w:p>
            <w:pPr>
              <w:pStyle w:val="Normal"/>
              <w:jc w:val="both"/>
              <w:rPr/>
            </w:pPr>
            <w:r>
              <w:rPr/>
            </w:r>
          </w:p>
        </w:tc>
        <w:tc>
          <w:tcPr>
            <w:tcW w:w="450" w:type="dxa"/>
            <w:tcBorders>
              <w:start w:val="single" w:sz="2" w:space="0" w:color="000000"/>
              <w:bottom w:val="single" w:sz="2" w:space="0" w:color="000000"/>
              <w:insideH w:val="single" w:sz="2" w:space="0" w:color="000000"/>
            </w:tcBorders>
            <w:shd w:fill="auto" w:val="clear"/>
            <w:tcMar>
              <w:start w:w="27" w:type="dxa"/>
            </w:tcMar>
          </w:tcPr>
          <w:p>
            <w:pPr>
              <w:pStyle w:val="Normal"/>
              <w:jc w:val="center"/>
              <w:rPr/>
            </w:pPr>
            <w:r>
              <w:rPr/>
              <w:t xml:space="preserve">0,67 </w:t>
            </w:r>
          </w:p>
          <w:p>
            <w:pPr>
              <w:pStyle w:val="Normal"/>
              <w:jc w:val="center"/>
              <w:rPr/>
            </w:pPr>
            <w:r>
              <w:rPr/>
            </w:r>
          </w:p>
        </w:tc>
        <w:tc>
          <w:tcPr>
            <w:tcW w:w="43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0,58 </w:t>
            </w:r>
          </w:p>
          <w:p>
            <w:pPr>
              <w:pStyle w:val="Normal"/>
              <w:rPr/>
            </w:pPr>
            <w:r>
              <w:rPr/>
            </w:r>
          </w:p>
        </w:tc>
        <w:tc>
          <w:tcPr>
            <w:tcW w:w="43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0,53 </w:t>
            </w:r>
          </w:p>
          <w:p>
            <w:pPr>
              <w:pStyle w:val="Normal"/>
              <w:rPr/>
            </w:pPr>
            <w:r>
              <w:rPr/>
            </w:r>
          </w:p>
        </w:tc>
        <w:tc>
          <w:tcPr>
            <w:tcW w:w="42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0,5 </w:t>
            </w:r>
          </w:p>
          <w:p>
            <w:pPr>
              <w:pStyle w:val="Normal"/>
              <w:rPr/>
            </w:pPr>
            <w:r>
              <w:rPr/>
            </w:r>
          </w:p>
        </w:tc>
        <w:tc>
          <w:tcPr>
            <w:tcW w:w="42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0,47 </w:t>
            </w:r>
          </w:p>
          <w:p>
            <w:pPr>
              <w:pStyle w:val="Normal"/>
              <w:rPr/>
            </w:pPr>
            <w:r>
              <w:rPr/>
            </w:r>
          </w:p>
        </w:tc>
        <w:tc>
          <w:tcPr>
            <w:tcW w:w="42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0,45 </w:t>
            </w:r>
          </w:p>
          <w:p>
            <w:pPr>
              <w:pStyle w:val="Normal"/>
              <w:rPr/>
            </w:pPr>
            <w:r>
              <w:rPr/>
            </w:r>
          </w:p>
        </w:tc>
        <w:tc>
          <w:tcPr>
            <w:tcW w:w="42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0,43 </w:t>
            </w:r>
          </w:p>
          <w:p>
            <w:pPr>
              <w:pStyle w:val="Normal"/>
              <w:rPr/>
            </w:pPr>
            <w:r>
              <w:rPr/>
            </w:r>
          </w:p>
        </w:tc>
        <w:tc>
          <w:tcPr>
            <w:tcW w:w="46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0,41 </w:t>
            </w:r>
          </w:p>
          <w:p>
            <w:pPr>
              <w:pStyle w:val="Normal"/>
              <w:rPr/>
            </w:pPr>
            <w:r>
              <w:rPr/>
            </w:r>
          </w:p>
        </w:tc>
        <w:tc>
          <w:tcPr>
            <w:tcW w:w="42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0,39 </w:t>
            </w:r>
          </w:p>
          <w:p>
            <w:pPr>
              <w:pStyle w:val="Normal"/>
              <w:rPr/>
            </w:pPr>
            <w:r>
              <w:rPr/>
            </w:r>
          </w:p>
        </w:tc>
        <w:tc>
          <w:tcPr>
            <w:tcW w:w="46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0,38 </w:t>
            </w:r>
          </w:p>
          <w:p>
            <w:pPr>
              <w:pStyle w:val="Normal"/>
              <w:rPr/>
            </w:pPr>
            <w:r>
              <w:rPr/>
            </w:r>
          </w:p>
        </w:tc>
        <w:tc>
          <w:tcPr>
            <w:tcW w:w="46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0,36 </w:t>
            </w:r>
          </w:p>
          <w:p>
            <w:pPr>
              <w:pStyle w:val="Normal"/>
              <w:rPr/>
            </w:pPr>
            <w:r>
              <w:rPr/>
            </w:r>
          </w:p>
        </w:tc>
        <w:tc>
          <w:tcPr>
            <w:tcW w:w="48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0,35 </w:t>
            </w:r>
          </w:p>
          <w:p>
            <w:pPr>
              <w:pStyle w:val="Normal"/>
              <w:rPr/>
            </w:pPr>
            <w:r>
              <w:rPr/>
            </w:r>
          </w:p>
        </w:tc>
        <w:tc>
          <w:tcPr>
            <w:tcW w:w="46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0,34 </w:t>
            </w:r>
          </w:p>
          <w:p>
            <w:pPr>
              <w:pStyle w:val="Normal"/>
              <w:rPr/>
            </w:pPr>
            <w:r>
              <w:rPr/>
            </w:r>
          </w:p>
        </w:tc>
        <w:tc>
          <w:tcPr>
            <w:tcW w:w="480"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0,32 </w:t>
            </w:r>
          </w:p>
          <w:p>
            <w:pPr>
              <w:pStyle w:val="Normal"/>
              <w:rPr/>
            </w:pPr>
            <w:r>
              <w:rPr/>
            </w:r>
          </w:p>
        </w:tc>
        <w:tc>
          <w:tcPr>
            <w:tcW w:w="435" w:type="dxa"/>
            <w:tcBorders>
              <w:start w:val="single" w:sz="2" w:space="0" w:color="000000"/>
              <w:bottom w:val="single" w:sz="2" w:space="0" w:color="000000"/>
              <w:insideH w:val="single" w:sz="2" w:space="0" w:color="000000"/>
            </w:tcBorders>
            <w:shd w:fill="auto" w:val="clear"/>
            <w:tcMar>
              <w:start w:w="27" w:type="dxa"/>
            </w:tcMar>
          </w:tcPr>
          <w:p>
            <w:pPr>
              <w:pStyle w:val="Normal"/>
              <w:rPr/>
            </w:pPr>
            <w:r>
              <w:rPr/>
              <w:t xml:space="preserve">0,31 </w:t>
            </w:r>
          </w:p>
          <w:p>
            <w:pPr>
              <w:pStyle w:val="Normal"/>
              <w:rPr/>
            </w:pPr>
            <w:r>
              <w:rPr/>
            </w:r>
          </w:p>
        </w:tc>
        <w:tc>
          <w:tcPr>
            <w:tcW w:w="485" w:type="dxa"/>
            <w:tcBorders>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0,3 </w:t>
            </w:r>
          </w:p>
          <w:p>
            <w:pPr>
              <w:pStyle w:val="Normal"/>
              <w:rPr/>
            </w:pPr>
            <w:r>
              <w:rPr/>
            </w:r>
          </w:p>
        </w:tc>
      </w:tr>
    </w:tbl>
    <w:p>
      <w:pPr>
        <w:pStyle w:val="Normal"/>
        <w:ind w:firstLine="540"/>
        <w:jc w:val="both"/>
        <w:rPr/>
      </w:pPr>
      <w:r>
        <w:rPr/>
      </w:r>
    </w:p>
    <w:p>
      <w:pPr>
        <w:pStyle w:val="Normal"/>
        <w:ind w:firstLine="225"/>
        <w:jc w:val="both"/>
        <w:rPr/>
      </w:pPr>
      <w:r>
        <w:rPr/>
      </w:r>
    </w:p>
    <w:p>
      <w:pPr>
        <w:pStyle w:val="Normal"/>
        <w:ind w:firstLine="225"/>
        <w:jc w:val="both"/>
        <w:rPr/>
      </w:pPr>
      <w:r>
        <w:rPr/>
      </w:r>
    </w:p>
    <w:p>
      <w:pPr>
        <w:pStyle w:val="Normal"/>
        <w:ind w:firstLine="315"/>
        <w:jc w:val="both"/>
        <w:rPr/>
      </w:pPr>
      <w:r>
        <w:rPr/>
        <w:t xml:space="preserve">Сульфат кальция не выпадает в системе оборотного водоснабжения, если произведение </w:t>
      </w:r>
    </w:p>
    <w:tbl>
      <w:tblPr>
        <w:tblW w:w="8415" w:type="dxa"/>
        <w:jc w:val="start"/>
        <w:tblInd w:w="15" w:type="dxa"/>
        <w:tblBorders/>
        <w:tblCellMar>
          <w:top w:w="0" w:type="dxa"/>
          <w:start w:w="15" w:type="dxa"/>
          <w:bottom w:w="0" w:type="dxa"/>
          <w:end w:w="15" w:type="dxa"/>
        </w:tblCellMar>
      </w:tblPr>
      <w:tblGrid>
        <w:gridCol w:w="2760"/>
        <w:gridCol w:w="1275"/>
        <w:gridCol w:w="4380"/>
      </w:tblGrid>
      <w:tr>
        <w:trPr/>
        <w:tc>
          <w:tcPr>
            <w:tcW w:w="2760" w:type="dxa"/>
            <w:tcBorders/>
            <w:shd w:fill="auto" w:val="clear"/>
          </w:tcPr>
          <w:p>
            <w:pPr>
              <w:pStyle w:val="Normal"/>
              <w:rPr>
                <w:vanish/>
              </w:rPr>
            </w:pPr>
            <w:r>
              <w:rPr>
                <w:vanish/>
              </w:rPr>
              <w:t>#G0</w:t>
            </w:r>
          </w:p>
          <w:p>
            <w:pPr>
              <w:pStyle w:val="Normal"/>
              <w:rPr/>
            </w:pPr>
            <w:r>
              <w:rPr/>
              <w:t xml:space="preserve"> </w:t>
            </w:r>
            <w:r>
              <w:rPr/>
              <w:t xml:space="preserve">активных концентраций ионов </w:t>
            </w:r>
          </w:p>
          <w:p>
            <w:pPr>
              <w:pStyle w:val="Normal"/>
              <w:rPr/>
            </w:pPr>
            <w:r>
              <w:rPr/>
            </w:r>
          </w:p>
        </w:tc>
        <w:tc>
          <w:tcPr>
            <w:tcW w:w="1275" w:type="dxa"/>
            <w:tcBorders/>
            <w:shd w:fill="auto" w:val="clear"/>
          </w:tcPr>
          <w:p>
            <w:pPr>
              <w:pStyle w:val="Normal"/>
              <w:rPr/>
            </w:pPr>
            <w:r>
              <w:rPr/>
              <w:t xml:space="preserve">  </w:t>
            </w:r>
          </w:p>
          <w:p>
            <w:pPr>
              <w:pStyle w:val="Normal"/>
              <w:rPr/>
            </w:pPr>
            <w:r>
              <w:rPr/>
              <w:drawing>
                <wp:inline distT="0" distB="0" distL="0" distR="0">
                  <wp:extent cx="806450" cy="207645"/>
                  <wp:effectExtent l="0" t="0" r="0" b="0"/>
                  <wp:docPr id="392" name="Изображение3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Изображение392" descr="" title=""/>
                          <pic:cNvPicPr>
                            <a:picLocks noChangeAspect="1" noChangeArrowheads="1"/>
                          </pic:cNvPicPr>
                        </pic:nvPicPr>
                        <pic:blipFill>
                          <a:blip r:embed="rId393"/>
                          <a:stretch>
                            <a:fillRect/>
                          </a:stretch>
                        </pic:blipFill>
                        <pic:spPr bwMode="auto">
                          <a:xfrm>
                            <a:off x="0" y="0"/>
                            <a:ext cx="806450" cy="207645"/>
                          </a:xfrm>
                          <a:prstGeom prst="rect">
                            <a:avLst/>
                          </a:prstGeom>
                        </pic:spPr>
                      </pic:pic>
                    </a:graphicData>
                  </a:graphic>
                </wp:inline>
              </w:drawing>
            </w:r>
          </w:p>
        </w:tc>
        <w:tc>
          <w:tcPr>
            <w:tcW w:w="4380" w:type="dxa"/>
            <w:tcBorders/>
            <w:shd w:fill="auto" w:val="clear"/>
          </w:tcPr>
          <w:p>
            <w:pPr>
              <w:pStyle w:val="Normal"/>
              <w:rPr/>
            </w:pPr>
            <w:r>
              <w:rPr/>
              <w:t xml:space="preserve"> </w:t>
            </w:r>
          </w:p>
          <w:p>
            <w:pPr>
              <w:pStyle w:val="Normal"/>
              <w:rPr/>
            </w:pPr>
            <w:r>
              <w:rPr/>
              <w:t xml:space="preserve">  </w:t>
            </w:r>
            <w:r>
              <w:rPr/>
              <w:t xml:space="preserve">в оборотной воде не превышает произведение </w:t>
            </w:r>
          </w:p>
          <w:p>
            <w:pPr>
              <w:pStyle w:val="Normal"/>
              <w:jc w:val="both"/>
              <w:rPr/>
            </w:pPr>
            <w:r>
              <w:rPr/>
            </w:r>
          </w:p>
          <w:p>
            <w:pPr>
              <w:pStyle w:val="Normal"/>
              <w:jc w:val="both"/>
              <w:rPr/>
            </w:pPr>
            <w:r>
              <w:rPr/>
            </w:r>
          </w:p>
        </w:tc>
      </w:tr>
    </w:tbl>
    <w:p>
      <w:pPr>
        <w:pStyle w:val="Normal"/>
        <w:ind w:firstLine="315"/>
        <w:jc w:val="both"/>
        <w:rPr/>
      </w:pPr>
      <w:r>
        <w:rPr/>
        <w:t>растворимости сульфата кальция</w:t>
      </w:r>
    </w:p>
    <w:p>
      <w:pPr>
        <w:pStyle w:val="Normal"/>
        <w:ind w:firstLine="1395"/>
        <w:jc w:val="both"/>
        <w:rPr/>
      </w:pPr>
      <w:r>
        <w:rPr/>
      </w:r>
    </w:p>
    <w:tbl>
      <w:tblPr>
        <w:tblW w:w="5190" w:type="dxa"/>
        <w:jc w:val="start"/>
        <w:tblInd w:w="165" w:type="dxa"/>
        <w:tblBorders/>
        <w:tblCellMar>
          <w:top w:w="0" w:type="dxa"/>
          <w:start w:w="15" w:type="dxa"/>
          <w:bottom w:w="0" w:type="dxa"/>
          <w:end w:w="15" w:type="dxa"/>
        </w:tblCellMar>
      </w:tblPr>
      <w:tblGrid>
        <w:gridCol w:w="2895"/>
        <w:gridCol w:w="2295"/>
      </w:tblGrid>
      <w:tr>
        <w:trPr/>
        <w:tc>
          <w:tcPr>
            <w:tcW w:w="2895" w:type="dxa"/>
            <w:tcBorders/>
            <w:shd w:fill="auto" w:val="clear"/>
          </w:tcPr>
          <w:p>
            <w:pPr>
              <w:pStyle w:val="Normal"/>
              <w:rPr/>
            </w:pPr>
            <w:r>
              <w:rPr>
                <w:vanish/>
              </w:rPr>
              <w:t>#G0</w:t>
            </w:r>
            <w:r>
              <w:rPr/>
              <w:t xml:space="preserve">  </w:t>
            </w:r>
          </w:p>
          <w:p>
            <w:pPr>
              <w:pStyle w:val="Normal"/>
              <w:rPr/>
            </w:pPr>
            <w:r>
              <w:rPr/>
              <w:drawing>
                <wp:inline distT="0" distB="0" distL="0" distR="0">
                  <wp:extent cx="1635760" cy="288290"/>
                  <wp:effectExtent l="0" t="0" r="0" b="0"/>
                  <wp:docPr id="393" name="Изображение3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Изображение393" descr="" title=""/>
                          <pic:cNvPicPr>
                            <a:picLocks noChangeAspect="1" noChangeArrowheads="1"/>
                          </pic:cNvPicPr>
                        </pic:nvPicPr>
                        <pic:blipFill>
                          <a:blip r:embed="rId394"/>
                          <a:stretch>
                            <a:fillRect/>
                          </a:stretch>
                        </pic:blipFill>
                        <pic:spPr bwMode="auto">
                          <a:xfrm>
                            <a:off x="0" y="0"/>
                            <a:ext cx="1635760" cy="288290"/>
                          </a:xfrm>
                          <a:prstGeom prst="rect">
                            <a:avLst/>
                          </a:prstGeom>
                        </pic:spPr>
                      </pic:pic>
                    </a:graphicData>
                  </a:graphic>
                </wp:inline>
              </w:drawing>
            </w:r>
          </w:p>
        </w:tc>
        <w:tc>
          <w:tcPr>
            <w:tcW w:w="2295" w:type="dxa"/>
            <w:tcBorders/>
            <w:shd w:fill="auto" w:val="clear"/>
          </w:tcPr>
          <w:p>
            <w:pPr>
              <w:pStyle w:val="Normal"/>
              <w:snapToGrid w:val="false"/>
              <w:rPr/>
            </w:pPr>
            <w:r>
              <w:rPr/>
            </w:r>
          </w:p>
          <w:p>
            <w:pPr>
              <w:pStyle w:val="Normal"/>
              <w:rPr/>
            </w:pPr>
            <w:r>
              <w:rPr/>
              <w:t xml:space="preserve">                                             </w:t>
            </w:r>
            <w:r>
              <w:rPr/>
              <w:t>(5)</w:t>
            </w:r>
          </w:p>
          <w:p>
            <w:pPr>
              <w:pStyle w:val="Normal"/>
              <w:rPr/>
            </w:pPr>
            <w:r>
              <w:rPr/>
            </w:r>
          </w:p>
        </w:tc>
      </w:tr>
    </w:tbl>
    <w:p>
      <w:pPr>
        <w:pStyle w:val="Normal"/>
        <w:ind w:firstLine="45"/>
        <w:jc w:val="both"/>
        <w:rPr/>
      </w:pPr>
      <w:r>
        <w:rPr/>
        <w:tab/>
      </w:r>
    </w:p>
    <w:p>
      <w:pPr>
        <w:pStyle w:val="Normal"/>
        <w:ind w:firstLine="270"/>
        <w:jc w:val="both"/>
        <w:rPr/>
      </w:pPr>
      <w:r>
        <w:rPr/>
      </w:r>
    </w:p>
    <w:p>
      <w:pPr>
        <w:pStyle w:val="Normal"/>
        <w:ind w:firstLine="270"/>
        <w:jc w:val="both"/>
        <w:rPr/>
      </w:pPr>
      <w:r>
        <w:rPr/>
        <w:t>где f(и) -  коэффициент активности двухвалентных ионов, принимаемый по табл. 3 в зависимости от величины -ионной    силы раствора (охлажденной воды), г-ион/л, определяемой по формуле</w:t>
      </w:r>
    </w:p>
    <w:p>
      <w:pPr>
        <w:pStyle w:val="Normal"/>
        <w:ind w:firstLine="270"/>
        <w:jc w:val="both"/>
        <w:rPr/>
      </w:pPr>
      <w:r>
        <w:rPr/>
      </w:r>
    </w:p>
    <w:tbl>
      <w:tblPr>
        <w:tblW w:w="6105" w:type="dxa"/>
        <w:jc w:val="start"/>
        <w:tblInd w:w="165" w:type="dxa"/>
        <w:tblBorders/>
        <w:tblCellMar>
          <w:top w:w="0" w:type="dxa"/>
          <w:start w:w="15" w:type="dxa"/>
          <w:bottom w:w="0" w:type="dxa"/>
          <w:end w:w="15" w:type="dxa"/>
        </w:tblCellMar>
      </w:tblPr>
      <w:tblGrid>
        <w:gridCol w:w="4800"/>
        <w:gridCol w:w="1305"/>
      </w:tblGrid>
      <w:tr>
        <w:trPr/>
        <w:tc>
          <w:tcPr>
            <w:tcW w:w="4800" w:type="dxa"/>
            <w:tcBorders/>
            <w:shd w:fill="auto" w:val="clear"/>
          </w:tcPr>
          <w:p>
            <w:pPr>
              <w:pStyle w:val="Normal"/>
              <w:rPr/>
            </w:pPr>
            <w:r>
              <w:rPr>
                <w:vanish/>
              </w:rPr>
              <w:t>#G0</w:t>
            </w:r>
            <w:r>
              <w:rPr/>
              <w:t xml:space="preserve">  </w:t>
            </w:r>
          </w:p>
          <w:p>
            <w:pPr>
              <w:pStyle w:val="Normal"/>
              <w:rPr/>
            </w:pPr>
            <w:r>
              <w:rPr/>
              <w:drawing>
                <wp:inline distT="0" distB="0" distL="0" distR="0">
                  <wp:extent cx="3306445" cy="322580"/>
                  <wp:effectExtent l="0" t="0" r="0" b="0"/>
                  <wp:docPr id="394" name="Изображение3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Изображение394" descr="" title=""/>
                          <pic:cNvPicPr>
                            <a:picLocks noChangeAspect="1" noChangeArrowheads="1"/>
                          </pic:cNvPicPr>
                        </pic:nvPicPr>
                        <pic:blipFill>
                          <a:blip r:embed="rId395"/>
                          <a:stretch>
                            <a:fillRect/>
                          </a:stretch>
                        </pic:blipFill>
                        <pic:spPr bwMode="auto">
                          <a:xfrm>
                            <a:off x="0" y="0"/>
                            <a:ext cx="3306445" cy="322580"/>
                          </a:xfrm>
                          <a:prstGeom prst="rect">
                            <a:avLst/>
                          </a:prstGeom>
                        </pic:spPr>
                      </pic:pic>
                    </a:graphicData>
                  </a:graphic>
                </wp:inline>
              </w:drawing>
            </w:r>
          </w:p>
        </w:tc>
        <w:tc>
          <w:tcPr>
            <w:tcW w:w="1305" w:type="dxa"/>
            <w:tcBorders/>
            <w:shd w:fill="auto" w:val="clear"/>
          </w:tcPr>
          <w:p>
            <w:pPr>
              <w:pStyle w:val="Normal"/>
              <w:snapToGrid w:val="false"/>
              <w:rPr/>
            </w:pPr>
            <w:r>
              <w:rPr/>
            </w:r>
          </w:p>
          <w:p>
            <w:pPr>
              <w:pStyle w:val="Normal"/>
              <w:rPr/>
            </w:pPr>
            <w:r>
              <w:rPr/>
              <w:t xml:space="preserve">             </w:t>
            </w:r>
            <w:r>
              <w:rPr/>
              <w:t>(6)</w:t>
            </w:r>
          </w:p>
          <w:p>
            <w:pPr>
              <w:pStyle w:val="Normal"/>
              <w:rPr/>
            </w:pPr>
            <w:r>
              <w:rPr/>
            </w:r>
          </w:p>
        </w:tc>
      </w:tr>
    </w:tbl>
    <w:p>
      <w:pPr>
        <w:pStyle w:val="Normal"/>
        <w:ind w:firstLine="1395"/>
        <w:jc w:val="both"/>
        <w:rPr/>
      </w:pPr>
      <w:r>
        <w:rPr/>
      </w:r>
    </w:p>
    <w:p>
      <w:pPr>
        <w:pStyle w:val="Normal"/>
        <w:ind w:firstLine="90"/>
        <w:jc w:val="both"/>
        <w:rPr/>
      </w:pPr>
      <w:r>
        <w:rPr/>
      </w:r>
    </w:p>
    <w:tbl>
      <w:tblPr>
        <w:tblW w:w="8205" w:type="dxa"/>
        <w:jc w:val="start"/>
        <w:tblInd w:w="165" w:type="dxa"/>
        <w:tblBorders/>
        <w:tblCellMar>
          <w:top w:w="0" w:type="dxa"/>
          <w:start w:w="15" w:type="dxa"/>
          <w:bottom w:w="0" w:type="dxa"/>
          <w:end w:w="15" w:type="dxa"/>
        </w:tblCellMar>
      </w:tblPr>
      <w:tblGrid>
        <w:gridCol w:w="450"/>
        <w:gridCol w:w="1680"/>
        <w:gridCol w:w="6075"/>
      </w:tblGrid>
      <w:tr>
        <w:trPr/>
        <w:tc>
          <w:tcPr>
            <w:tcW w:w="450" w:type="dxa"/>
            <w:tcBorders/>
            <w:shd w:fill="auto" w:val="clear"/>
          </w:tcPr>
          <w:p>
            <w:pPr>
              <w:pStyle w:val="Normal"/>
              <w:rPr/>
            </w:pPr>
            <w:r>
              <w:rPr>
                <w:vanish/>
              </w:rPr>
              <w:t>#G0</w:t>
            </w:r>
            <w:r>
              <w:rPr/>
              <w:t xml:space="preserve">    где </w:t>
            </w:r>
          </w:p>
          <w:p>
            <w:pPr>
              <w:pStyle w:val="Normal"/>
              <w:rPr/>
            </w:pPr>
            <w:r>
              <w:rPr/>
            </w:r>
          </w:p>
        </w:tc>
        <w:tc>
          <w:tcPr>
            <w:tcW w:w="1680" w:type="dxa"/>
            <w:tcBorders/>
            <w:shd w:fill="auto" w:val="clear"/>
          </w:tcPr>
          <w:p>
            <w:pPr>
              <w:pStyle w:val="Normal"/>
              <w:rPr/>
            </w:pPr>
            <w:r>
              <w:rPr/>
              <w:t xml:space="preserve">  </w:t>
            </w:r>
          </w:p>
          <w:p>
            <w:pPr>
              <w:pStyle w:val="Normal"/>
              <w:rPr/>
            </w:pPr>
            <w:r>
              <w:rPr/>
              <w:drawing>
                <wp:inline distT="0" distB="0" distL="0" distR="0">
                  <wp:extent cx="1336040" cy="241935"/>
                  <wp:effectExtent l="0" t="0" r="0" b="0"/>
                  <wp:docPr id="395" name="Изображение3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Изображение395" descr="" title=""/>
                          <pic:cNvPicPr>
                            <a:picLocks noChangeAspect="1" noChangeArrowheads="1"/>
                          </pic:cNvPicPr>
                        </pic:nvPicPr>
                        <pic:blipFill>
                          <a:blip r:embed="rId396"/>
                          <a:stretch>
                            <a:fillRect/>
                          </a:stretch>
                        </pic:blipFill>
                        <pic:spPr bwMode="auto">
                          <a:xfrm>
                            <a:off x="0" y="0"/>
                            <a:ext cx="1336040" cy="241935"/>
                          </a:xfrm>
                          <a:prstGeom prst="rect">
                            <a:avLst/>
                          </a:prstGeom>
                        </pic:spPr>
                      </pic:pic>
                    </a:graphicData>
                  </a:graphic>
                </wp:inline>
              </w:drawing>
            </w:r>
          </w:p>
        </w:tc>
        <w:tc>
          <w:tcPr>
            <w:tcW w:w="6075" w:type="dxa"/>
            <w:tcBorders/>
            <w:shd w:fill="auto" w:val="clear"/>
          </w:tcPr>
          <w:p>
            <w:pPr>
              <w:pStyle w:val="Normal"/>
              <w:rPr/>
            </w:pPr>
            <w:r>
              <w:rPr/>
              <w:t xml:space="preserve">  </w:t>
            </w:r>
          </w:p>
          <w:p>
            <w:pPr>
              <w:pStyle w:val="Normal"/>
              <w:ind w:firstLine="90"/>
              <w:jc w:val="both"/>
              <w:rPr/>
            </w:pPr>
            <w:r>
              <w:rPr/>
              <w:t xml:space="preserve">- концентрация ионов бикарбонатных, натрия, магния и  кальция в </w:t>
            </w:r>
          </w:p>
          <w:p>
            <w:pPr>
              <w:pStyle w:val="Normal"/>
              <w:ind w:firstLine="90"/>
              <w:jc w:val="both"/>
              <w:rPr/>
            </w:pPr>
            <w:r>
              <w:rPr/>
            </w:r>
          </w:p>
        </w:tc>
      </w:tr>
    </w:tbl>
    <w:p>
      <w:pPr>
        <w:pStyle w:val="Normal"/>
        <w:ind w:firstLine="45"/>
        <w:jc w:val="both"/>
        <w:rPr/>
      </w:pPr>
      <w:r>
        <w:rPr/>
        <w:t>добавочной воде, г-ион/л;</w:t>
      </w:r>
    </w:p>
    <w:p>
      <w:pPr>
        <w:pStyle w:val="Normal"/>
        <w:ind w:firstLine="225"/>
        <w:jc w:val="both"/>
        <w:rPr/>
      </w:pPr>
      <w:r>
        <w:rPr/>
      </w:r>
    </w:p>
    <w:tbl>
      <w:tblPr>
        <w:tblW w:w="8250" w:type="dxa"/>
        <w:jc w:val="start"/>
        <w:tblInd w:w="165" w:type="dxa"/>
        <w:tblBorders/>
        <w:tblCellMar>
          <w:top w:w="0" w:type="dxa"/>
          <w:start w:w="15" w:type="dxa"/>
          <w:bottom w:w="0" w:type="dxa"/>
          <w:end w:w="15" w:type="dxa"/>
        </w:tblCellMar>
      </w:tblPr>
      <w:tblGrid>
        <w:gridCol w:w="705"/>
        <w:gridCol w:w="7545"/>
      </w:tblGrid>
      <w:tr>
        <w:trPr/>
        <w:tc>
          <w:tcPr>
            <w:tcW w:w="705" w:type="dxa"/>
            <w:tcBorders/>
            <w:shd w:fill="auto" w:val="clear"/>
          </w:tcPr>
          <w:p>
            <w:pPr>
              <w:pStyle w:val="Normal"/>
              <w:rPr/>
            </w:pPr>
            <w:r>
              <w:rPr>
                <w:vanish/>
              </w:rPr>
              <w:t>#G0</w:t>
            </w:r>
            <w:r>
              <w:rPr/>
              <w:t xml:space="preserve">  </w:t>
            </w:r>
          </w:p>
          <w:p>
            <w:pPr>
              <w:pStyle w:val="Normal"/>
              <w:rPr/>
            </w:pPr>
            <w:r>
              <w:rPr/>
              <w:drawing>
                <wp:inline distT="0" distB="0" distL="0" distR="0">
                  <wp:extent cx="610870" cy="264795"/>
                  <wp:effectExtent l="0" t="0" r="0" b="0"/>
                  <wp:docPr id="396" name="Изображение3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Изображение396" descr="" title=""/>
                          <pic:cNvPicPr>
                            <a:picLocks noChangeAspect="1" noChangeArrowheads="1"/>
                          </pic:cNvPicPr>
                        </pic:nvPicPr>
                        <pic:blipFill>
                          <a:blip r:embed="rId397"/>
                          <a:stretch>
                            <a:fillRect/>
                          </a:stretch>
                        </pic:blipFill>
                        <pic:spPr bwMode="auto">
                          <a:xfrm>
                            <a:off x="0" y="0"/>
                            <a:ext cx="610870" cy="264795"/>
                          </a:xfrm>
                          <a:prstGeom prst="rect">
                            <a:avLst/>
                          </a:prstGeom>
                        </pic:spPr>
                      </pic:pic>
                    </a:graphicData>
                  </a:graphic>
                </wp:inline>
              </w:drawing>
            </w:r>
          </w:p>
        </w:tc>
        <w:tc>
          <w:tcPr>
            <w:tcW w:w="7545" w:type="dxa"/>
            <w:tcBorders/>
            <w:shd w:fill="auto" w:val="clear"/>
          </w:tcPr>
          <w:p>
            <w:pPr>
              <w:pStyle w:val="Normal"/>
              <w:rPr/>
            </w:pPr>
            <w:r>
              <w:rPr/>
              <w:t xml:space="preserve">  </w:t>
            </w:r>
          </w:p>
          <w:p>
            <w:pPr>
              <w:pStyle w:val="Normal"/>
              <w:ind w:firstLine="90"/>
              <w:jc w:val="both"/>
              <w:rPr/>
            </w:pPr>
            <w:r>
              <w:rPr/>
              <w:t xml:space="preserve">концентрация ионов хлоридного и сульфатного в подкисленной добавочной воде, </w:t>
            </w:r>
          </w:p>
          <w:p>
            <w:pPr>
              <w:pStyle w:val="Normal"/>
              <w:ind w:firstLine="90"/>
              <w:jc w:val="both"/>
              <w:rPr/>
            </w:pPr>
            <w:r>
              <w:rPr/>
            </w:r>
          </w:p>
        </w:tc>
      </w:tr>
    </w:tbl>
    <w:p>
      <w:pPr>
        <w:pStyle w:val="Normal"/>
        <w:ind w:firstLine="225"/>
        <w:jc w:val="both"/>
        <w:rPr/>
      </w:pPr>
      <w:r>
        <w:rPr/>
        <w:t>г-ион/л, принимаемая:</w:t>
      </w:r>
    </w:p>
    <w:p>
      <w:pPr>
        <w:pStyle w:val="Normal"/>
        <w:ind w:firstLine="225"/>
        <w:jc w:val="both"/>
        <w:rPr/>
      </w:pPr>
      <w:r>
        <w:rPr/>
      </w:r>
    </w:p>
    <w:p>
      <w:pPr>
        <w:pStyle w:val="Normal"/>
        <w:ind w:firstLine="225"/>
        <w:jc w:val="both"/>
        <w:rPr/>
      </w:pPr>
      <w:r>
        <w:rPr/>
        <w:t>при подкислении серной кислотой</w:t>
      </w:r>
    </w:p>
    <w:p>
      <w:pPr>
        <w:pStyle w:val="Normal"/>
        <w:ind w:firstLine="225"/>
        <w:jc w:val="both"/>
        <w:rPr/>
      </w:pPr>
      <w:r>
        <w:rPr/>
      </w:r>
    </w:p>
    <w:p>
      <w:pPr>
        <w:pStyle w:val="Normal"/>
        <w:ind w:firstLine="225"/>
        <w:jc w:val="both"/>
        <w:rPr/>
      </w:pPr>
      <w:r>
        <w:rPr/>
        <w:drawing>
          <wp:inline distT="0" distB="0" distL="0" distR="0">
            <wp:extent cx="4895850" cy="230505"/>
            <wp:effectExtent l="0" t="0" r="0" b="0"/>
            <wp:docPr id="397" name="Изображение3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Изображение397" descr="" title=""/>
                    <pic:cNvPicPr>
                      <a:picLocks noChangeAspect="1" noChangeArrowheads="1"/>
                    </pic:cNvPicPr>
                  </pic:nvPicPr>
                  <pic:blipFill>
                    <a:blip r:embed="rId398"/>
                    <a:stretch>
                      <a:fillRect/>
                    </a:stretch>
                  </pic:blipFill>
                  <pic:spPr bwMode="auto">
                    <a:xfrm>
                      <a:off x="0" y="0"/>
                      <a:ext cx="4895850" cy="230505"/>
                    </a:xfrm>
                    <a:prstGeom prst="rect">
                      <a:avLst/>
                    </a:prstGeom>
                  </pic:spPr>
                </pic:pic>
              </a:graphicData>
            </a:graphic>
          </wp:inline>
        </w:drawing>
      </w:r>
    </w:p>
    <w:p>
      <w:pPr>
        <w:pStyle w:val="Normal"/>
        <w:ind w:firstLine="270"/>
        <w:jc w:val="both"/>
        <w:rPr/>
      </w:pPr>
      <w:r>
        <w:rPr/>
      </w:r>
    </w:p>
    <w:p>
      <w:pPr>
        <w:pStyle w:val="Normal"/>
        <w:ind w:firstLine="270"/>
        <w:jc w:val="both"/>
        <w:rPr/>
      </w:pPr>
      <w:r>
        <w:rPr/>
        <w:t xml:space="preserve">при подкислении соляной кислотой </w:t>
      </w:r>
    </w:p>
    <w:p>
      <w:pPr>
        <w:pStyle w:val="Normal"/>
        <w:ind w:firstLine="225"/>
        <w:jc w:val="both"/>
        <w:rPr/>
      </w:pPr>
      <w:r>
        <w:rPr/>
      </w:r>
    </w:p>
    <w:tbl>
      <w:tblPr>
        <w:tblW w:w="6510" w:type="dxa"/>
        <w:jc w:val="start"/>
        <w:tblInd w:w="165" w:type="dxa"/>
        <w:tblBorders/>
        <w:tblCellMar>
          <w:top w:w="0" w:type="dxa"/>
          <w:start w:w="15" w:type="dxa"/>
          <w:bottom w:w="0" w:type="dxa"/>
          <w:end w:w="15" w:type="dxa"/>
        </w:tblCellMar>
      </w:tblPr>
      <w:tblGrid>
        <w:gridCol w:w="4260"/>
        <w:gridCol w:w="2250"/>
      </w:tblGrid>
      <w:tr>
        <w:trPr/>
        <w:tc>
          <w:tcPr>
            <w:tcW w:w="4260" w:type="dxa"/>
            <w:tcBorders/>
            <w:shd w:fill="auto" w:val="clear"/>
          </w:tcPr>
          <w:p>
            <w:pPr>
              <w:pStyle w:val="Normal"/>
              <w:rPr/>
            </w:pPr>
            <w:r>
              <w:rPr>
                <w:vanish/>
              </w:rPr>
              <w:t>#G0</w:t>
            </w:r>
            <w:r>
              <w:rPr/>
              <w:t xml:space="preserve">  </w:t>
            </w:r>
          </w:p>
          <w:p>
            <w:pPr>
              <w:pStyle w:val="Normal"/>
              <w:rPr/>
            </w:pPr>
            <w:r>
              <w:rPr/>
              <w:drawing>
                <wp:inline distT="0" distB="0" distL="0" distR="0">
                  <wp:extent cx="3041015" cy="299720"/>
                  <wp:effectExtent l="0" t="0" r="0" b="0"/>
                  <wp:docPr id="398" name="Изображение3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Изображение398" descr="" title=""/>
                          <pic:cNvPicPr>
                            <a:picLocks noChangeAspect="1" noChangeArrowheads="1"/>
                          </pic:cNvPicPr>
                        </pic:nvPicPr>
                        <pic:blipFill>
                          <a:blip r:embed="rId399"/>
                          <a:stretch>
                            <a:fillRect/>
                          </a:stretch>
                        </pic:blipFill>
                        <pic:spPr bwMode="auto">
                          <a:xfrm>
                            <a:off x="0" y="0"/>
                            <a:ext cx="3041015" cy="299720"/>
                          </a:xfrm>
                          <a:prstGeom prst="rect">
                            <a:avLst/>
                          </a:prstGeom>
                        </pic:spPr>
                      </pic:pic>
                    </a:graphicData>
                  </a:graphic>
                </wp:inline>
              </w:drawing>
            </w:r>
          </w:p>
        </w:tc>
        <w:tc>
          <w:tcPr>
            <w:tcW w:w="2250" w:type="dxa"/>
            <w:tcBorders/>
            <w:shd w:fill="auto" w:val="clear"/>
          </w:tcPr>
          <w:p>
            <w:pPr>
              <w:pStyle w:val="Normal"/>
              <w:rPr/>
            </w:pPr>
            <w:r>
              <w:rPr/>
              <w:t xml:space="preserve"> </w:t>
            </w:r>
          </w:p>
          <w:p>
            <w:pPr>
              <w:pStyle w:val="Normal"/>
              <w:rPr/>
            </w:pPr>
            <w:r>
              <w:rPr/>
              <w:t xml:space="preserve">                                    </w:t>
            </w:r>
            <w:r>
              <w:rPr/>
              <w:t>(8)</w:t>
            </w:r>
          </w:p>
          <w:p>
            <w:pPr>
              <w:pStyle w:val="Normal"/>
              <w:rPr/>
            </w:pPr>
            <w:r>
              <w:rPr/>
            </w:r>
          </w:p>
        </w:tc>
      </w:tr>
    </w:tbl>
    <w:p>
      <w:pPr>
        <w:pStyle w:val="Normal"/>
        <w:jc w:val="both"/>
        <w:rPr/>
      </w:pPr>
      <w:r>
        <w:rPr/>
      </w:r>
    </w:p>
    <w:p>
      <w:pPr>
        <w:pStyle w:val="Normal"/>
        <w:ind w:firstLine="1395"/>
        <w:jc w:val="both"/>
        <w:rPr/>
      </w:pPr>
      <w:r>
        <w:rPr/>
      </w:r>
    </w:p>
    <w:tbl>
      <w:tblPr>
        <w:tblW w:w="8595" w:type="dxa"/>
        <w:jc w:val="start"/>
        <w:tblInd w:w="165" w:type="dxa"/>
        <w:tblBorders/>
        <w:tblCellMar>
          <w:top w:w="0" w:type="dxa"/>
          <w:start w:w="15" w:type="dxa"/>
          <w:bottom w:w="0" w:type="dxa"/>
          <w:end w:w="15" w:type="dxa"/>
        </w:tblCellMar>
      </w:tblPr>
      <w:tblGrid>
        <w:gridCol w:w="450"/>
        <w:gridCol w:w="450"/>
        <w:gridCol w:w="450"/>
        <w:gridCol w:w="495"/>
        <w:gridCol w:w="6750"/>
      </w:tblGrid>
      <w:tr>
        <w:trPr/>
        <w:tc>
          <w:tcPr>
            <w:tcW w:w="450" w:type="dxa"/>
            <w:tcBorders/>
            <w:shd w:fill="auto" w:val="clear"/>
          </w:tcPr>
          <w:p>
            <w:pPr>
              <w:pStyle w:val="Normal"/>
              <w:rPr/>
            </w:pPr>
            <w:r>
              <w:rPr>
                <w:vanish/>
              </w:rPr>
              <w:t>#G0</w:t>
            </w:r>
            <w:r>
              <w:rPr/>
              <w:t xml:space="preserve">       где </w:t>
            </w:r>
          </w:p>
          <w:p>
            <w:pPr>
              <w:pStyle w:val="Normal"/>
              <w:rPr/>
            </w:pPr>
            <w:r>
              <w:rPr/>
            </w:r>
          </w:p>
        </w:tc>
        <w:tc>
          <w:tcPr>
            <w:tcW w:w="450" w:type="dxa"/>
            <w:tcBorders/>
            <w:shd w:fill="auto" w:val="clear"/>
          </w:tcPr>
          <w:p>
            <w:pPr>
              <w:pStyle w:val="Normal"/>
              <w:rPr/>
            </w:pPr>
            <w:r>
              <w:rPr/>
              <w:t xml:space="preserve">  </w:t>
            </w:r>
          </w:p>
          <w:p>
            <w:pPr>
              <w:pStyle w:val="Normal"/>
              <w:rPr/>
            </w:pPr>
            <w:r>
              <w:rPr/>
              <w:drawing>
                <wp:inline distT="0" distB="0" distL="0" distR="0">
                  <wp:extent cx="264795" cy="219075"/>
                  <wp:effectExtent l="0" t="0" r="0" b="0"/>
                  <wp:docPr id="399" name="Изображение3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Изображение399" descr="" title=""/>
                          <pic:cNvPicPr>
                            <a:picLocks noChangeAspect="1" noChangeArrowheads="1"/>
                          </pic:cNvPicPr>
                        </pic:nvPicPr>
                        <pic:blipFill>
                          <a:blip r:embed="rId400"/>
                          <a:stretch>
                            <a:fillRect/>
                          </a:stretch>
                        </pic:blipFill>
                        <pic:spPr bwMode="auto">
                          <a:xfrm>
                            <a:off x="0" y="0"/>
                            <a:ext cx="264795" cy="219075"/>
                          </a:xfrm>
                          <a:prstGeom prst="rect">
                            <a:avLst/>
                          </a:prstGeom>
                        </pic:spPr>
                      </pic:pic>
                    </a:graphicData>
                  </a:graphic>
                </wp:inline>
              </w:drawing>
            </w:r>
          </w:p>
        </w:tc>
        <w:tc>
          <w:tcPr>
            <w:tcW w:w="450" w:type="dxa"/>
            <w:tcBorders/>
            <w:shd w:fill="auto" w:val="clear"/>
          </w:tcPr>
          <w:p>
            <w:pPr>
              <w:pStyle w:val="Normal"/>
              <w:rPr/>
            </w:pPr>
            <w:r>
              <w:rPr/>
              <w:t xml:space="preserve"> </w:t>
            </w:r>
          </w:p>
          <w:p>
            <w:pPr>
              <w:pStyle w:val="Normal"/>
              <w:rPr/>
            </w:pPr>
            <w:r>
              <w:rPr/>
              <w:t xml:space="preserve">    </w:t>
            </w:r>
            <w:r>
              <w:rPr/>
              <w:t xml:space="preserve">и </w:t>
            </w:r>
          </w:p>
          <w:p>
            <w:pPr>
              <w:pStyle w:val="Normal"/>
              <w:rPr/>
            </w:pPr>
            <w:r>
              <w:rPr/>
            </w:r>
          </w:p>
        </w:tc>
        <w:tc>
          <w:tcPr>
            <w:tcW w:w="495" w:type="dxa"/>
            <w:tcBorders/>
            <w:shd w:fill="auto" w:val="clear"/>
          </w:tcPr>
          <w:p>
            <w:pPr>
              <w:pStyle w:val="Normal"/>
              <w:rPr/>
            </w:pPr>
            <w:r>
              <w:rPr/>
              <w:t xml:space="preserve">  </w:t>
            </w:r>
          </w:p>
          <w:p>
            <w:pPr>
              <w:pStyle w:val="Normal"/>
              <w:rPr/>
            </w:pPr>
            <w:r>
              <w:rPr/>
              <w:drawing>
                <wp:inline distT="0" distB="0" distL="0" distR="0">
                  <wp:extent cx="322580" cy="241935"/>
                  <wp:effectExtent l="0" t="0" r="0" b="0"/>
                  <wp:docPr id="400" name="Изображение4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Изображение400" descr="" title=""/>
                          <pic:cNvPicPr>
                            <a:picLocks noChangeAspect="1" noChangeArrowheads="1"/>
                          </pic:cNvPicPr>
                        </pic:nvPicPr>
                        <pic:blipFill>
                          <a:blip r:embed="rId401"/>
                          <a:stretch>
                            <a:fillRect/>
                          </a:stretch>
                        </pic:blipFill>
                        <pic:spPr bwMode="auto">
                          <a:xfrm>
                            <a:off x="0" y="0"/>
                            <a:ext cx="322580" cy="241935"/>
                          </a:xfrm>
                          <a:prstGeom prst="rect">
                            <a:avLst/>
                          </a:prstGeom>
                        </pic:spPr>
                      </pic:pic>
                    </a:graphicData>
                  </a:graphic>
                </wp:inline>
              </w:drawing>
            </w:r>
          </w:p>
        </w:tc>
        <w:tc>
          <w:tcPr>
            <w:tcW w:w="6750" w:type="dxa"/>
            <w:tcBorders/>
            <w:shd w:fill="auto" w:val="clear"/>
          </w:tcPr>
          <w:p>
            <w:pPr>
              <w:pStyle w:val="Normal"/>
              <w:rPr/>
            </w:pPr>
            <w:r>
              <w:rPr/>
              <w:t xml:space="preserve">  </w:t>
            </w:r>
          </w:p>
          <w:p>
            <w:pPr>
              <w:pStyle w:val="Normal"/>
              <w:ind w:firstLine="90"/>
              <w:jc w:val="both"/>
              <w:rPr/>
            </w:pPr>
            <w:r>
              <w:rPr/>
              <w:t xml:space="preserve">- концентрация ионов хлоридных и сульфатных в добавочной воде до </w:t>
            </w:r>
          </w:p>
          <w:p>
            <w:pPr>
              <w:pStyle w:val="Normal"/>
              <w:ind w:firstLine="90"/>
              <w:jc w:val="both"/>
              <w:rPr/>
            </w:pPr>
            <w:r>
              <w:rPr/>
            </w:r>
          </w:p>
        </w:tc>
      </w:tr>
    </w:tbl>
    <w:p>
      <w:pPr>
        <w:pStyle w:val="Normal"/>
        <w:ind w:firstLine="1395"/>
        <w:jc w:val="both"/>
        <w:rPr/>
      </w:pPr>
      <w:r>
        <w:rPr/>
      </w:r>
    </w:p>
    <w:p>
      <w:pPr>
        <w:pStyle w:val="Normal"/>
        <w:ind w:firstLine="1395"/>
        <w:jc w:val="both"/>
        <w:rPr/>
      </w:pPr>
      <w:r>
        <w:rPr/>
        <w:t>подкисления, г-ион/л;</w:t>
      </w:r>
    </w:p>
    <w:p>
      <w:pPr>
        <w:pStyle w:val="Normal"/>
        <w:ind w:firstLine="180"/>
        <w:jc w:val="both"/>
        <w:rPr/>
      </w:pPr>
      <w:r>
        <w:rPr/>
      </w:r>
    </w:p>
    <w:p>
      <w:pPr>
        <w:pStyle w:val="Normal"/>
        <w:ind w:firstLine="315"/>
        <w:jc w:val="both"/>
        <w:rPr/>
      </w:pPr>
      <w:r>
        <w:rPr/>
        <w:t>Д(кис) - доза кислоты, мг/л, определяемая по формуле (1);</w:t>
      </w:r>
    </w:p>
    <w:p>
      <w:pPr>
        <w:pStyle w:val="Normal"/>
        <w:ind w:firstLine="225"/>
        <w:jc w:val="both"/>
        <w:rPr/>
      </w:pPr>
      <w:r>
        <w:rPr/>
      </w:r>
    </w:p>
    <w:tbl>
      <w:tblPr>
        <w:tblW w:w="8400" w:type="dxa"/>
        <w:jc w:val="start"/>
        <w:tblInd w:w="165" w:type="dxa"/>
        <w:tblBorders/>
        <w:tblCellMar>
          <w:top w:w="0" w:type="dxa"/>
          <w:start w:w="15" w:type="dxa"/>
          <w:bottom w:w="0" w:type="dxa"/>
          <w:end w:w="15" w:type="dxa"/>
        </w:tblCellMar>
      </w:tblPr>
      <w:tblGrid>
        <w:gridCol w:w="765"/>
        <w:gridCol w:w="7635"/>
      </w:tblGrid>
      <w:tr>
        <w:trPr/>
        <w:tc>
          <w:tcPr>
            <w:tcW w:w="765" w:type="dxa"/>
            <w:tcBorders/>
            <w:shd w:fill="auto" w:val="clear"/>
          </w:tcPr>
          <w:p>
            <w:pPr>
              <w:pStyle w:val="Normal"/>
              <w:rPr/>
            </w:pPr>
            <w:r>
              <w:rPr>
                <w:vanish/>
              </w:rPr>
              <w:t>#G0</w:t>
            </w:r>
            <w:r>
              <w:rPr/>
              <w:t xml:space="preserve">  </w:t>
            </w:r>
          </w:p>
          <w:p>
            <w:pPr>
              <w:pStyle w:val="Normal"/>
              <w:rPr/>
            </w:pPr>
            <w:r>
              <w:rPr/>
              <w:drawing>
                <wp:inline distT="0" distB="0" distL="0" distR="0">
                  <wp:extent cx="564515" cy="241935"/>
                  <wp:effectExtent l="0" t="0" r="0" b="0"/>
                  <wp:docPr id="401" name="Изображение4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Изображение401" descr="" title=""/>
                          <pic:cNvPicPr>
                            <a:picLocks noChangeAspect="1" noChangeArrowheads="1"/>
                          </pic:cNvPicPr>
                        </pic:nvPicPr>
                        <pic:blipFill>
                          <a:blip r:embed="rId402"/>
                          <a:stretch>
                            <a:fillRect/>
                          </a:stretch>
                        </pic:blipFill>
                        <pic:spPr bwMode="auto">
                          <a:xfrm>
                            <a:off x="0" y="0"/>
                            <a:ext cx="564515" cy="241935"/>
                          </a:xfrm>
                          <a:prstGeom prst="rect">
                            <a:avLst/>
                          </a:prstGeom>
                        </pic:spPr>
                      </pic:pic>
                    </a:graphicData>
                  </a:graphic>
                </wp:inline>
              </w:drawing>
            </w:r>
          </w:p>
        </w:tc>
        <w:tc>
          <w:tcPr>
            <w:tcW w:w="7635" w:type="dxa"/>
            <w:tcBorders/>
            <w:shd w:fill="auto" w:val="clear"/>
          </w:tcPr>
          <w:p>
            <w:pPr>
              <w:pStyle w:val="Normal"/>
              <w:rPr/>
            </w:pPr>
            <w:r>
              <w:rPr/>
              <w:t xml:space="preserve">  </w:t>
            </w:r>
          </w:p>
          <w:p>
            <w:pPr>
              <w:pStyle w:val="Normal"/>
              <w:jc w:val="both"/>
              <w:rPr/>
            </w:pPr>
            <w:r>
              <w:rPr/>
              <w:t xml:space="preserve">- произведение растворимости сульфата кальция (константа), при температуре </w:t>
            </w:r>
          </w:p>
          <w:p>
            <w:pPr>
              <w:pStyle w:val="Normal"/>
              <w:jc w:val="both"/>
              <w:rPr/>
            </w:pPr>
            <w:r>
              <w:rPr/>
            </w:r>
          </w:p>
        </w:tc>
      </w:tr>
    </w:tbl>
    <w:p>
      <w:pPr>
        <w:pStyle w:val="Normal"/>
        <w:ind w:firstLine="45"/>
        <w:jc w:val="both"/>
        <w:rPr/>
      </w:pPr>
      <w:r>
        <w:rPr/>
        <w:t>воды 25-60 град.С следует принимать равным 2,4 x  10_-5.</w:t>
      </w:r>
    </w:p>
    <w:p>
      <w:pPr>
        <w:pStyle w:val="Normal"/>
        <w:ind w:firstLine="45"/>
        <w:jc w:val="both"/>
        <w:rPr/>
      </w:pPr>
      <w:r>
        <w:rPr/>
      </w:r>
    </w:p>
    <w:p>
      <w:pPr>
        <w:pStyle w:val="Normal"/>
        <w:ind w:firstLine="225"/>
        <w:jc w:val="both"/>
        <w:rPr/>
      </w:pPr>
      <w:r>
        <w:rPr/>
        <w:t xml:space="preserve">Если без продувки оборотной системы условие по формуле (5) не выдерживается, то необходимо предусматривать продувку, величина которой обеспечит выполнение этого условия.      </w:t>
      </w:r>
    </w:p>
    <w:p>
      <w:pPr>
        <w:pStyle w:val="Normal"/>
        <w:ind w:firstLine="225"/>
        <w:jc w:val="both"/>
        <w:rPr/>
      </w:pPr>
      <w:r>
        <w:rPr/>
      </w:r>
    </w:p>
    <w:tbl>
      <w:tblPr>
        <w:tblW w:w="9195" w:type="dxa"/>
        <w:jc w:val="start"/>
        <w:tblInd w:w="165" w:type="dxa"/>
        <w:tblBorders/>
        <w:tblCellMar>
          <w:top w:w="0" w:type="dxa"/>
          <w:start w:w="15" w:type="dxa"/>
          <w:bottom w:w="0" w:type="dxa"/>
          <w:end w:w="15" w:type="dxa"/>
        </w:tblCellMar>
      </w:tblPr>
      <w:tblGrid>
        <w:gridCol w:w="4620"/>
        <w:gridCol w:w="465"/>
        <w:gridCol w:w="4110"/>
      </w:tblGrid>
      <w:tr>
        <w:trPr/>
        <w:tc>
          <w:tcPr>
            <w:tcW w:w="4620" w:type="dxa"/>
            <w:tcBorders/>
            <w:shd w:fill="auto" w:val="clear"/>
          </w:tcPr>
          <w:p>
            <w:pPr>
              <w:pStyle w:val="Normal"/>
              <w:rPr>
                <w:vanish/>
              </w:rPr>
            </w:pPr>
            <w:r>
              <w:rPr>
                <w:vanish/>
              </w:rPr>
              <w:t>#G0</w:t>
            </w:r>
          </w:p>
          <w:p>
            <w:pPr>
              <w:pStyle w:val="Normal"/>
              <w:rPr/>
            </w:pPr>
            <w:r>
              <w:rPr/>
              <w:t xml:space="preserve">       </w:t>
            </w:r>
            <w:r>
              <w:rPr/>
              <w:t xml:space="preserve">2. При рекарбонизации дозу двуокиси углерода </w:t>
            </w:r>
          </w:p>
          <w:p>
            <w:pPr>
              <w:pStyle w:val="Normal"/>
              <w:rPr/>
            </w:pPr>
            <w:r>
              <w:rPr/>
            </w:r>
          </w:p>
        </w:tc>
        <w:tc>
          <w:tcPr>
            <w:tcW w:w="465" w:type="dxa"/>
            <w:tcBorders/>
            <w:shd w:fill="auto" w:val="clear"/>
          </w:tcPr>
          <w:p>
            <w:pPr>
              <w:pStyle w:val="Normal"/>
              <w:rPr/>
            </w:pPr>
            <w:r>
              <w:rPr/>
              <w:t xml:space="preserve">  </w:t>
            </w:r>
          </w:p>
          <w:p>
            <w:pPr>
              <w:pStyle w:val="Normal"/>
              <w:rPr/>
            </w:pPr>
            <w:r>
              <w:rPr/>
              <w:drawing>
                <wp:inline distT="0" distB="0" distL="0" distR="0">
                  <wp:extent cx="368935" cy="288290"/>
                  <wp:effectExtent l="0" t="0" r="0" b="0"/>
                  <wp:docPr id="402" name="Изображение4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Изображение402" descr="" title=""/>
                          <pic:cNvPicPr>
                            <a:picLocks noChangeAspect="1" noChangeArrowheads="1"/>
                          </pic:cNvPicPr>
                        </pic:nvPicPr>
                        <pic:blipFill>
                          <a:blip r:embed="rId403"/>
                          <a:stretch>
                            <a:fillRect/>
                          </a:stretch>
                        </pic:blipFill>
                        <pic:spPr bwMode="auto">
                          <a:xfrm>
                            <a:off x="0" y="0"/>
                            <a:ext cx="368935" cy="288290"/>
                          </a:xfrm>
                          <a:prstGeom prst="rect">
                            <a:avLst/>
                          </a:prstGeom>
                        </pic:spPr>
                      </pic:pic>
                    </a:graphicData>
                  </a:graphic>
                </wp:inline>
              </w:drawing>
            </w:r>
          </w:p>
        </w:tc>
        <w:tc>
          <w:tcPr>
            <w:tcW w:w="4110" w:type="dxa"/>
            <w:tcBorders/>
            <w:shd w:fill="auto" w:val="clear"/>
          </w:tcPr>
          <w:p>
            <w:pPr>
              <w:pStyle w:val="Normal"/>
              <w:rPr/>
            </w:pPr>
            <w:r>
              <w:rPr/>
              <w:t xml:space="preserve">  </w:t>
            </w:r>
          </w:p>
          <w:p>
            <w:pPr>
              <w:pStyle w:val="Normal"/>
              <w:jc w:val="both"/>
              <w:rPr/>
            </w:pPr>
            <w:r>
              <w:rPr/>
              <w:t xml:space="preserve">, мг/л, в расчете на расход оборотной воды </w:t>
            </w:r>
          </w:p>
          <w:p>
            <w:pPr>
              <w:pStyle w:val="Normal"/>
              <w:jc w:val="both"/>
              <w:rPr/>
            </w:pPr>
            <w:r>
              <w:rPr/>
            </w:r>
          </w:p>
        </w:tc>
      </w:tr>
    </w:tbl>
    <w:p>
      <w:pPr>
        <w:pStyle w:val="Normal"/>
        <w:ind w:firstLine="225"/>
        <w:jc w:val="both"/>
        <w:rPr/>
      </w:pPr>
      <w:r>
        <w:rPr/>
        <w:t>следует определять по формуле</w:t>
      </w:r>
    </w:p>
    <w:p>
      <w:pPr>
        <w:pStyle w:val="Normal"/>
        <w:ind w:firstLine="225"/>
        <w:jc w:val="both"/>
        <w:rPr/>
      </w:pPr>
      <w:r>
        <w:rPr/>
      </w:r>
    </w:p>
    <w:p>
      <w:pPr>
        <w:pStyle w:val="Normal"/>
        <w:ind w:firstLine="225"/>
        <w:jc w:val="both"/>
        <w:rPr/>
      </w:pPr>
      <w:r>
        <w:rPr/>
      </w:r>
    </w:p>
    <w:tbl>
      <w:tblPr>
        <w:tblW w:w="8040" w:type="dxa"/>
        <w:jc w:val="start"/>
        <w:tblInd w:w="165" w:type="dxa"/>
        <w:tblBorders/>
        <w:tblCellMar>
          <w:top w:w="0" w:type="dxa"/>
          <w:start w:w="15" w:type="dxa"/>
          <w:bottom w:w="0" w:type="dxa"/>
          <w:end w:w="15" w:type="dxa"/>
        </w:tblCellMar>
      </w:tblPr>
      <w:tblGrid>
        <w:gridCol w:w="5835"/>
        <w:gridCol w:w="2205"/>
      </w:tblGrid>
      <w:tr>
        <w:trPr/>
        <w:tc>
          <w:tcPr>
            <w:tcW w:w="5835" w:type="dxa"/>
            <w:tcBorders/>
            <w:shd w:fill="auto" w:val="clear"/>
          </w:tcPr>
          <w:p>
            <w:pPr>
              <w:pStyle w:val="Normal"/>
              <w:rPr/>
            </w:pPr>
            <w:r>
              <w:rPr>
                <w:vanish/>
              </w:rPr>
              <w:t>#G0</w:t>
            </w:r>
            <w:r>
              <w:rPr/>
              <w:t xml:space="preserve">  </w:t>
            </w:r>
          </w:p>
          <w:p>
            <w:pPr>
              <w:pStyle w:val="Normal"/>
              <w:rPr/>
            </w:pPr>
            <w:r>
              <w:rPr/>
              <w:drawing>
                <wp:inline distT="0" distB="0" distL="0" distR="0">
                  <wp:extent cx="4227830" cy="334010"/>
                  <wp:effectExtent l="0" t="0" r="0" b="0"/>
                  <wp:docPr id="403" name="Изображение4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Изображение403" descr="" title=""/>
                          <pic:cNvPicPr>
                            <a:picLocks noChangeAspect="1" noChangeArrowheads="1"/>
                          </pic:cNvPicPr>
                        </pic:nvPicPr>
                        <pic:blipFill>
                          <a:blip r:embed="rId404"/>
                          <a:stretch>
                            <a:fillRect/>
                          </a:stretch>
                        </pic:blipFill>
                        <pic:spPr bwMode="auto">
                          <a:xfrm>
                            <a:off x="0" y="0"/>
                            <a:ext cx="4227830" cy="334010"/>
                          </a:xfrm>
                          <a:prstGeom prst="rect">
                            <a:avLst/>
                          </a:prstGeom>
                        </pic:spPr>
                      </pic:pic>
                    </a:graphicData>
                  </a:graphic>
                </wp:inline>
              </w:drawing>
            </w:r>
          </w:p>
        </w:tc>
        <w:tc>
          <w:tcPr>
            <w:tcW w:w="2205" w:type="dxa"/>
            <w:tcBorders/>
            <w:shd w:fill="auto" w:val="clear"/>
          </w:tcPr>
          <w:p>
            <w:pPr>
              <w:pStyle w:val="Normal"/>
              <w:snapToGrid w:val="false"/>
              <w:rPr/>
            </w:pPr>
            <w:r>
              <w:rPr/>
            </w:r>
          </w:p>
          <w:p>
            <w:pPr>
              <w:pStyle w:val="Normal"/>
              <w:rPr/>
            </w:pPr>
            <w:r>
              <w:rPr/>
              <w:t xml:space="preserve">                                         </w:t>
            </w:r>
            <w:r>
              <w:rPr/>
              <w:t xml:space="preserve">(9)  </w:t>
            </w:r>
          </w:p>
          <w:p>
            <w:pPr>
              <w:pStyle w:val="Normal"/>
              <w:rPr/>
            </w:pPr>
            <w:r>
              <w:rPr/>
            </w:r>
          </w:p>
        </w:tc>
      </w:tr>
    </w:tbl>
    <w:p>
      <w:pPr>
        <w:pStyle w:val="Normal"/>
        <w:jc w:val="both"/>
        <w:rPr/>
      </w:pPr>
      <w:r>
        <w:rPr/>
      </w:r>
    </w:p>
    <w:p>
      <w:pPr>
        <w:pStyle w:val="Normal"/>
        <w:jc w:val="both"/>
        <w:rPr/>
      </w:pPr>
      <w:r>
        <w:rPr/>
      </w:r>
    </w:p>
    <w:p>
      <w:pPr>
        <w:pStyle w:val="Normal"/>
        <w:ind w:firstLine="270"/>
        <w:jc w:val="both"/>
        <w:rPr/>
      </w:pPr>
      <w:r>
        <w:rPr/>
      </w:r>
    </w:p>
    <w:p>
      <w:pPr>
        <w:pStyle w:val="Normal"/>
        <w:ind w:firstLine="225"/>
        <w:jc w:val="both"/>
        <w:rPr/>
      </w:pPr>
      <w:r>
        <w:rPr/>
        <w:t>Введение дымовых газов, очищенных от золы, или газообразной двуокиси углерода в оборотную воду следует предусматривать с помощью газодувок через барботажные трубы или водоструйных эжекторов. Расход дымовых газов q(дг), куб.м/ч, при нормальном атмосферном давлении 0,1 МПа (1 кгс/кв.см) и температуре 0 град.С следует определять по формуле</w:t>
      </w:r>
    </w:p>
    <w:p>
      <w:pPr>
        <w:pStyle w:val="Normal"/>
        <w:ind w:firstLine="225"/>
        <w:jc w:val="both"/>
        <w:rPr/>
      </w:pPr>
      <w:r>
        <w:rPr/>
      </w:r>
    </w:p>
    <w:tbl>
      <w:tblPr>
        <w:tblW w:w="6570" w:type="dxa"/>
        <w:jc w:val="start"/>
        <w:tblInd w:w="165" w:type="dxa"/>
        <w:tblBorders/>
        <w:tblCellMar>
          <w:top w:w="0" w:type="dxa"/>
          <w:start w:w="15" w:type="dxa"/>
          <w:bottom w:w="0" w:type="dxa"/>
          <w:end w:w="15" w:type="dxa"/>
        </w:tblCellMar>
      </w:tblPr>
      <w:tblGrid>
        <w:gridCol w:w="2580"/>
        <w:gridCol w:w="165"/>
        <w:gridCol w:w="3825"/>
      </w:tblGrid>
      <w:tr>
        <w:trPr/>
        <w:tc>
          <w:tcPr>
            <w:tcW w:w="2580" w:type="dxa"/>
            <w:tcBorders/>
            <w:shd w:fill="auto" w:val="clear"/>
          </w:tcPr>
          <w:p>
            <w:pPr>
              <w:pStyle w:val="Normal"/>
              <w:rPr/>
            </w:pPr>
            <w:r>
              <w:rPr>
                <w:vanish/>
              </w:rPr>
              <w:t>#G0</w:t>
            </w:r>
            <w:r>
              <w:rPr/>
              <w:t xml:space="preserve">  </w:t>
            </w:r>
          </w:p>
          <w:p>
            <w:pPr>
              <w:pStyle w:val="Normal"/>
              <w:rPr/>
            </w:pPr>
            <w:r>
              <w:rPr/>
              <w:drawing>
                <wp:inline distT="0" distB="0" distL="0" distR="0">
                  <wp:extent cx="1935480" cy="288290"/>
                  <wp:effectExtent l="0" t="0" r="0" b="0"/>
                  <wp:docPr id="404" name="Изображение4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Изображение404" descr="" title=""/>
                          <pic:cNvPicPr>
                            <a:picLocks noChangeAspect="1" noChangeArrowheads="1"/>
                          </pic:cNvPicPr>
                        </pic:nvPicPr>
                        <pic:blipFill>
                          <a:blip r:embed="rId405"/>
                          <a:stretch>
                            <a:fillRect/>
                          </a:stretch>
                        </pic:blipFill>
                        <pic:spPr bwMode="auto">
                          <a:xfrm>
                            <a:off x="0" y="0"/>
                            <a:ext cx="1935480" cy="288290"/>
                          </a:xfrm>
                          <a:prstGeom prst="rect">
                            <a:avLst/>
                          </a:prstGeom>
                        </pic:spPr>
                      </pic:pic>
                    </a:graphicData>
                  </a:graphic>
                </wp:inline>
              </w:drawing>
            </w:r>
          </w:p>
        </w:tc>
        <w:tc>
          <w:tcPr>
            <w:tcW w:w="165" w:type="dxa"/>
            <w:tcBorders/>
            <w:shd w:fill="auto" w:val="clear"/>
          </w:tcPr>
          <w:p>
            <w:pPr>
              <w:pStyle w:val="Normal"/>
              <w:snapToGrid w:val="false"/>
              <w:rPr/>
            </w:pPr>
            <w:r>
              <w:rPr/>
            </w:r>
          </w:p>
          <w:p>
            <w:pPr>
              <w:pStyle w:val="Normal"/>
              <w:rPr/>
            </w:pPr>
            <w:r>
              <w:rPr/>
              <w:t xml:space="preserve">,   </w:t>
            </w:r>
          </w:p>
          <w:p>
            <w:pPr>
              <w:pStyle w:val="Normal"/>
              <w:rPr/>
            </w:pPr>
            <w:r>
              <w:rPr/>
            </w:r>
          </w:p>
        </w:tc>
        <w:tc>
          <w:tcPr>
            <w:tcW w:w="3825" w:type="dxa"/>
            <w:tcBorders/>
            <w:shd w:fill="auto" w:val="clear"/>
          </w:tcPr>
          <w:p>
            <w:pPr>
              <w:pStyle w:val="Normal"/>
              <w:rPr/>
            </w:pPr>
            <w:r>
              <w:rPr/>
              <w:t xml:space="preserve">                                   </w:t>
            </w:r>
          </w:p>
          <w:p>
            <w:pPr>
              <w:pStyle w:val="Normal"/>
              <w:rPr/>
            </w:pPr>
            <w:r>
              <w:rPr/>
              <w:t xml:space="preserve">                                                                       </w:t>
            </w:r>
            <w:r>
              <w:rPr/>
              <w:t>(10)</w:t>
            </w:r>
          </w:p>
          <w:p>
            <w:pPr>
              <w:pStyle w:val="Normal"/>
              <w:rPr/>
            </w:pPr>
            <w:r>
              <w:rPr/>
            </w:r>
          </w:p>
        </w:tc>
      </w:tr>
    </w:tbl>
    <w:p>
      <w:pPr>
        <w:pStyle w:val="Normal"/>
        <w:jc w:val="both"/>
        <w:rPr/>
      </w:pPr>
      <w:r>
        <w:rPr/>
      </w:r>
    </w:p>
    <w:p>
      <w:pPr>
        <w:pStyle w:val="Normal"/>
        <w:ind w:firstLine="225"/>
        <w:jc w:val="both"/>
        <w:rPr/>
      </w:pPr>
      <w:r>
        <w:rPr/>
      </w:r>
    </w:p>
    <w:p>
      <w:pPr>
        <w:pStyle w:val="Normal"/>
        <w:ind w:firstLine="270"/>
        <w:jc w:val="both"/>
        <w:rPr/>
      </w:pPr>
      <w:r>
        <w:rPr/>
      </w:r>
    </w:p>
    <w:p>
      <w:pPr>
        <w:pStyle w:val="Normal"/>
        <w:ind w:firstLine="270"/>
        <w:jc w:val="both"/>
        <w:rPr/>
      </w:pPr>
      <w:r>
        <w:rPr/>
        <w:t xml:space="preserve">где q(охл) - расход оборотной воды, куб.м/ч;     </w:t>
      </w:r>
    </w:p>
    <w:tbl>
      <w:tblPr>
        <w:tblW w:w="8970" w:type="dxa"/>
        <w:jc w:val="start"/>
        <w:tblInd w:w="165" w:type="dxa"/>
        <w:tblBorders/>
        <w:tblCellMar>
          <w:top w:w="0" w:type="dxa"/>
          <w:start w:w="15" w:type="dxa"/>
          <w:bottom w:w="0" w:type="dxa"/>
          <w:end w:w="15" w:type="dxa"/>
        </w:tblCellMar>
      </w:tblPr>
      <w:tblGrid>
        <w:gridCol w:w="615"/>
        <w:gridCol w:w="8355"/>
      </w:tblGrid>
      <w:tr>
        <w:trPr/>
        <w:tc>
          <w:tcPr>
            <w:tcW w:w="615" w:type="dxa"/>
            <w:tcBorders/>
            <w:shd w:fill="auto" w:val="clear"/>
          </w:tcPr>
          <w:p>
            <w:pPr>
              <w:pStyle w:val="Normal"/>
              <w:rPr/>
            </w:pPr>
            <w:r>
              <w:rPr>
                <w:vanish/>
              </w:rPr>
              <w:t>#G0</w:t>
            </w:r>
            <w:r>
              <w:rPr/>
              <w:t xml:space="preserve">  </w:t>
            </w:r>
          </w:p>
          <w:p>
            <w:pPr>
              <w:pStyle w:val="Normal"/>
              <w:rPr/>
            </w:pPr>
            <w:r>
              <w:rPr/>
              <w:drawing>
                <wp:inline distT="0" distB="0" distL="0" distR="0">
                  <wp:extent cx="334010" cy="241935"/>
                  <wp:effectExtent l="0" t="0" r="0" b="0"/>
                  <wp:docPr id="405" name="Изображение4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Изображение405" descr="" title=""/>
                          <pic:cNvPicPr>
                            <a:picLocks noChangeAspect="1" noChangeArrowheads="1"/>
                          </pic:cNvPicPr>
                        </pic:nvPicPr>
                        <pic:blipFill>
                          <a:blip r:embed="rId406"/>
                          <a:stretch>
                            <a:fillRect/>
                          </a:stretch>
                        </pic:blipFill>
                        <pic:spPr bwMode="auto">
                          <a:xfrm>
                            <a:off x="0" y="0"/>
                            <a:ext cx="334010" cy="241935"/>
                          </a:xfrm>
                          <a:prstGeom prst="rect">
                            <a:avLst/>
                          </a:prstGeom>
                        </pic:spPr>
                      </pic:pic>
                    </a:graphicData>
                  </a:graphic>
                </wp:inline>
              </w:drawing>
            </w:r>
          </w:p>
        </w:tc>
        <w:tc>
          <w:tcPr>
            <w:tcW w:w="8355" w:type="dxa"/>
            <w:tcBorders/>
            <w:shd w:fill="auto" w:val="clear"/>
          </w:tcPr>
          <w:p>
            <w:pPr>
              <w:pStyle w:val="Normal"/>
              <w:rPr/>
            </w:pPr>
            <w:r>
              <w:rPr/>
              <w:t xml:space="preserve">  </w:t>
            </w:r>
          </w:p>
          <w:p>
            <w:pPr>
              <w:pStyle w:val="Normal"/>
              <w:ind w:firstLine="180"/>
              <w:jc w:val="both"/>
              <w:rPr/>
            </w:pPr>
            <w:r>
              <w:rPr/>
              <w:t xml:space="preserve">-  содержание СО(2) в дымовых газах,   % по объему,     определяется  по данным анализа </w:t>
            </w:r>
          </w:p>
          <w:p>
            <w:pPr>
              <w:pStyle w:val="Normal"/>
              <w:ind w:firstLine="180"/>
              <w:jc w:val="both"/>
              <w:rPr/>
            </w:pPr>
            <w:r>
              <w:rPr/>
            </w:r>
          </w:p>
        </w:tc>
      </w:tr>
    </w:tbl>
    <w:p>
      <w:pPr>
        <w:pStyle w:val="Normal"/>
        <w:ind w:firstLine="180"/>
        <w:jc w:val="both"/>
        <w:rPr/>
      </w:pPr>
      <w:r>
        <w:rPr/>
      </w:r>
    </w:p>
    <w:p>
      <w:pPr>
        <w:pStyle w:val="Normal"/>
        <w:ind w:firstLine="45"/>
        <w:jc w:val="both"/>
        <w:rPr/>
      </w:pPr>
      <w:r>
        <w:rPr/>
        <w:t>дымовых газов.</w:t>
      </w:r>
    </w:p>
    <w:p>
      <w:pPr>
        <w:pStyle w:val="Normal"/>
        <w:ind w:firstLine="45"/>
        <w:jc w:val="both"/>
        <w:rPr/>
      </w:pPr>
      <w:r>
        <w:rPr/>
      </w:r>
    </w:p>
    <w:p>
      <w:pPr>
        <w:pStyle w:val="Normal"/>
        <w:ind w:firstLine="225"/>
        <w:jc w:val="both"/>
        <w:rPr/>
      </w:pPr>
      <w:r>
        <w:rPr/>
        <w:t xml:space="preserve">При отсутствии этих данных допускается принимать содержание СО(2) в дымовых газах от сжигания: угля - 5-8 %, нефти и мазута - 8-12 %; доменного газа - 15-22 %; при введении в воду </w:t>
      </w:r>
    </w:p>
    <w:tbl>
      <w:tblPr>
        <w:tblW w:w="8100" w:type="dxa"/>
        <w:jc w:val="start"/>
        <w:tblInd w:w="15" w:type="dxa"/>
        <w:tblBorders/>
        <w:tblCellMar>
          <w:top w:w="0" w:type="dxa"/>
          <w:start w:w="15" w:type="dxa"/>
          <w:bottom w:w="0" w:type="dxa"/>
          <w:end w:w="15" w:type="dxa"/>
        </w:tblCellMar>
      </w:tblPr>
      <w:tblGrid>
        <w:gridCol w:w="3735"/>
        <w:gridCol w:w="945"/>
        <w:gridCol w:w="3420"/>
      </w:tblGrid>
      <w:tr>
        <w:trPr/>
        <w:tc>
          <w:tcPr>
            <w:tcW w:w="3735" w:type="dxa"/>
            <w:tcBorders/>
            <w:shd w:fill="auto" w:val="clear"/>
          </w:tcPr>
          <w:p>
            <w:pPr>
              <w:pStyle w:val="Normal"/>
              <w:rPr/>
            </w:pPr>
            <w:r>
              <w:rPr>
                <w:vanish/>
              </w:rPr>
              <w:t>#G0</w:t>
            </w:r>
            <w:r>
              <w:rPr/>
              <w:t xml:space="preserve">  </w:t>
            </w:r>
          </w:p>
          <w:p>
            <w:pPr>
              <w:pStyle w:val="Normal"/>
              <w:jc w:val="both"/>
              <w:rPr/>
            </w:pPr>
            <w:r>
              <w:rPr/>
              <w:t xml:space="preserve">чистой газообразной двуокиси углерода </w:t>
            </w:r>
          </w:p>
          <w:p>
            <w:pPr>
              <w:pStyle w:val="Normal"/>
              <w:jc w:val="both"/>
              <w:rPr/>
            </w:pPr>
            <w:r>
              <w:rPr/>
            </w:r>
          </w:p>
        </w:tc>
        <w:tc>
          <w:tcPr>
            <w:tcW w:w="945" w:type="dxa"/>
            <w:tcBorders/>
            <w:shd w:fill="auto" w:val="clear"/>
          </w:tcPr>
          <w:p>
            <w:pPr>
              <w:pStyle w:val="Normal"/>
              <w:rPr/>
            </w:pPr>
            <w:r>
              <w:rPr/>
              <w:t xml:space="preserve">  </w:t>
            </w:r>
          </w:p>
          <w:p>
            <w:pPr>
              <w:pStyle w:val="Normal"/>
              <w:rPr/>
            </w:pPr>
            <w:r>
              <w:rPr/>
              <w:drawing>
                <wp:inline distT="0" distB="0" distL="0" distR="0">
                  <wp:extent cx="334010" cy="241935"/>
                  <wp:effectExtent l="0" t="0" r="0" b="0"/>
                  <wp:docPr id="406" name="Изображение4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Изображение406" descr="" title=""/>
                          <pic:cNvPicPr>
                            <a:picLocks noChangeAspect="1" noChangeArrowheads="1"/>
                          </pic:cNvPicPr>
                        </pic:nvPicPr>
                        <pic:blipFill>
                          <a:blip r:embed="rId407"/>
                          <a:stretch>
                            <a:fillRect/>
                          </a:stretch>
                        </pic:blipFill>
                        <pic:spPr bwMode="auto">
                          <a:xfrm>
                            <a:off x="0" y="0"/>
                            <a:ext cx="334010" cy="241935"/>
                          </a:xfrm>
                          <a:prstGeom prst="rect">
                            <a:avLst/>
                          </a:prstGeom>
                        </pic:spPr>
                      </pic:pic>
                    </a:graphicData>
                  </a:graphic>
                </wp:inline>
              </w:drawing>
            </w:r>
          </w:p>
        </w:tc>
        <w:tc>
          <w:tcPr>
            <w:tcW w:w="3420" w:type="dxa"/>
            <w:tcBorders/>
            <w:shd w:fill="auto" w:val="clear"/>
          </w:tcPr>
          <w:p>
            <w:pPr>
              <w:pStyle w:val="Normal"/>
              <w:rPr/>
            </w:pPr>
            <w:r>
              <w:rPr/>
              <w:t xml:space="preserve"> </w:t>
            </w:r>
          </w:p>
          <w:p>
            <w:pPr>
              <w:pStyle w:val="Normal"/>
              <w:ind w:firstLine="45"/>
              <w:jc w:val="both"/>
              <w:rPr/>
            </w:pPr>
            <w:r>
              <w:rPr/>
              <w:t xml:space="preserve">принимается равным 100 %;     </w:t>
            </w:r>
          </w:p>
          <w:p>
            <w:pPr>
              <w:pStyle w:val="Normal"/>
              <w:ind w:firstLine="45"/>
              <w:jc w:val="both"/>
              <w:rPr/>
            </w:pPr>
            <w:r>
              <w:rPr/>
            </w:r>
          </w:p>
        </w:tc>
      </w:tr>
    </w:tbl>
    <w:p>
      <w:pPr>
        <w:pStyle w:val="Normal"/>
        <w:ind w:firstLine="225"/>
        <w:jc w:val="both"/>
        <w:rPr/>
      </w:pPr>
      <w:r>
        <w:rPr/>
      </w:r>
    </w:p>
    <w:tbl>
      <w:tblPr>
        <w:tblW w:w="8430" w:type="dxa"/>
        <w:jc w:val="start"/>
        <w:tblInd w:w="15" w:type="dxa"/>
        <w:tblBorders/>
        <w:tblCellMar>
          <w:top w:w="0" w:type="dxa"/>
          <w:start w:w="15" w:type="dxa"/>
          <w:bottom w:w="0" w:type="dxa"/>
          <w:end w:w="15" w:type="dxa"/>
        </w:tblCellMar>
      </w:tblPr>
      <w:tblGrid>
        <w:gridCol w:w="840"/>
        <w:gridCol w:w="7590"/>
      </w:tblGrid>
      <w:tr>
        <w:trPr/>
        <w:tc>
          <w:tcPr>
            <w:tcW w:w="840" w:type="dxa"/>
            <w:tcBorders/>
            <w:shd w:fill="auto" w:val="clear"/>
          </w:tcPr>
          <w:p>
            <w:pPr>
              <w:pStyle w:val="Normal"/>
              <w:rPr/>
            </w:pPr>
            <w:r>
              <w:rPr/>
              <w:drawing>
                <wp:inline distT="0" distB="0" distL="0" distR="0">
                  <wp:extent cx="241935" cy="184150"/>
                  <wp:effectExtent l="0" t="0" r="0" b="0"/>
                  <wp:docPr id="407" name="Изображение4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Изображение407" descr="" title=""/>
                          <pic:cNvPicPr>
                            <a:picLocks noChangeAspect="1" noChangeArrowheads="1"/>
                          </pic:cNvPicPr>
                        </pic:nvPicPr>
                        <pic:blipFill>
                          <a:blip r:embed="rId408"/>
                          <a:stretch>
                            <a:fillRect/>
                          </a:stretch>
                        </pic:blipFill>
                        <pic:spPr bwMode="auto">
                          <a:xfrm>
                            <a:off x="0" y="0"/>
                            <a:ext cx="241935" cy="184150"/>
                          </a:xfrm>
                          <a:prstGeom prst="rect">
                            <a:avLst/>
                          </a:prstGeom>
                        </pic:spPr>
                      </pic:pic>
                    </a:graphicData>
                  </a:graphic>
                </wp:inline>
              </w:drawing>
            </w:r>
            <w:r>
              <w:rPr>
                <w:vanish/>
              </w:rPr>
              <w:t>#G0</w:t>
            </w:r>
            <w:r>
              <w:rPr/>
              <w:t xml:space="preserve">  </w:t>
            </w:r>
          </w:p>
          <w:p>
            <w:pPr>
              <w:pStyle w:val="Normal"/>
              <w:rPr/>
            </w:pPr>
            <w:r>
              <w:rPr/>
            </w:r>
          </w:p>
        </w:tc>
        <w:tc>
          <w:tcPr>
            <w:tcW w:w="7590" w:type="dxa"/>
            <w:tcBorders/>
            <w:shd w:fill="auto" w:val="clear"/>
          </w:tcPr>
          <w:p>
            <w:pPr>
              <w:pStyle w:val="Normal"/>
              <w:rPr/>
            </w:pPr>
            <w:r>
              <w:rPr/>
              <w:t xml:space="preserve">  </w:t>
            </w:r>
          </w:p>
          <w:p>
            <w:pPr>
              <w:pStyle w:val="Normal"/>
              <w:jc w:val="both"/>
              <w:rPr/>
            </w:pPr>
            <w:r>
              <w:rPr/>
              <w:t xml:space="preserve">- степень использования двуокиси углерода, %, принимаемая при введении </w:t>
            </w:r>
          </w:p>
          <w:p>
            <w:pPr>
              <w:pStyle w:val="Normal"/>
              <w:jc w:val="both"/>
              <w:rPr/>
            </w:pPr>
            <w:r>
              <w:rPr/>
            </w:r>
          </w:p>
        </w:tc>
      </w:tr>
    </w:tbl>
    <w:p>
      <w:pPr>
        <w:pStyle w:val="Normal"/>
        <w:ind w:firstLine="225"/>
        <w:jc w:val="both"/>
        <w:rPr/>
      </w:pPr>
      <w:r>
        <w:rPr/>
        <w:t>ее в воду с помощью водоструйных эжекторов, равной 40-50 %, с помощью газодувок и барботажных труб - 20-30 %;</w:t>
      </w:r>
    </w:p>
    <w:tbl>
      <w:tblPr>
        <w:tblW w:w="8745" w:type="dxa"/>
        <w:jc w:val="start"/>
        <w:tblInd w:w="165" w:type="dxa"/>
        <w:tblBorders/>
        <w:tblCellMar>
          <w:top w:w="0" w:type="dxa"/>
          <w:start w:w="15" w:type="dxa"/>
          <w:bottom w:w="0" w:type="dxa"/>
          <w:end w:w="15" w:type="dxa"/>
        </w:tblCellMar>
      </w:tblPr>
      <w:tblGrid>
        <w:gridCol w:w="570"/>
        <w:gridCol w:w="8175"/>
      </w:tblGrid>
      <w:tr>
        <w:trPr/>
        <w:tc>
          <w:tcPr>
            <w:tcW w:w="570" w:type="dxa"/>
            <w:tcBorders/>
            <w:shd w:fill="auto" w:val="clear"/>
          </w:tcPr>
          <w:p>
            <w:pPr>
              <w:pStyle w:val="Normal"/>
              <w:rPr/>
            </w:pPr>
            <w:r>
              <w:rPr>
                <w:vanish/>
              </w:rPr>
              <w:t>#G0</w:t>
            </w:r>
            <w:r>
              <w:rPr/>
              <w:t xml:space="preserve">  </w:t>
            </w:r>
          </w:p>
          <w:p>
            <w:pPr>
              <w:pStyle w:val="Normal"/>
              <w:rPr/>
            </w:pPr>
            <w:r>
              <w:rPr/>
              <w:drawing>
                <wp:inline distT="0" distB="0" distL="0" distR="0">
                  <wp:extent cx="149860" cy="207645"/>
                  <wp:effectExtent l="0" t="0" r="0" b="0"/>
                  <wp:docPr id="408" name="Изображение4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Изображение408" descr="" title=""/>
                          <pic:cNvPicPr>
                            <a:picLocks noChangeAspect="1" noChangeArrowheads="1"/>
                          </pic:cNvPicPr>
                        </pic:nvPicPr>
                        <pic:blipFill>
                          <a:blip r:embed="rId409"/>
                          <a:stretch>
                            <a:fillRect/>
                          </a:stretch>
                        </pic:blipFill>
                        <pic:spPr bwMode="auto">
                          <a:xfrm>
                            <a:off x="0" y="0"/>
                            <a:ext cx="149860" cy="207645"/>
                          </a:xfrm>
                          <a:prstGeom prst="rect">
                            <a:avLst/>
                          </a:prstGeom>
                        </pic:spPr>
                      </pic:pic>
                    </a:graphicData>
                  </a:graphic>
                </wp:inline>
              </w:drawing>
            </w:r>
          </w:p>
        </w:tc>
        <w:tc>
          <w:tcPr>
            <w:tcW w:w="8175" w:type="dxa"/>
            <w:tcBorders/>
            <w:shd w:fill="auto" w:val="clear"/>
          </w:tcPr>
          <w:p>
            <w:pPr>
              <w:pStyle w:val="Normal"/>
              <w:rPr/>
            </w:pPr>
            <w:r>
              <w:rPr/>
              <w:t xml:space="preserve">  </w:t>
            </w:r>
          </w:p>
          <w:p>
            <w:pPr>
              <w:pStyle w:val="Normal"/>
              <w:jc w:val="both"/>
              <w:rPr/>
            </w:pPr>
            <w:r>
              <w:rPr/>
              <w:t>- объемный вес дымовых газов при нормальном атмосферном давлении и температуре 0 град.С, гс/куб.м (при отсутствии фактических данных допускается принимать 2000 гс/куб.м).</w:t>
            </w:r>
          </w:p>
          <w:p>
            <w:pPr>
              <w:pStyle w:val="Normal"/>
              <w:jc w:val="both"/>
              <w:rPr/>
            </w:pPr>
            <w:r>
              <w:rPr/>
            </w:r>
          </w:p>
        </w:tc>
      </w:tr>
    </w:tbl>
    <w:p>
      <w:pPr>
        <w:pStyle w:val="Normal"/>
        <w:ind w:firstLine="225"/>
        <w:jc w:val="both"/>
        <w:rPr/>
      </w:pPr>
      <w:r>
        <w:rPr/>
      </w:r>
    </w:p>
    <w:p>
      <w:pPr>
        <w:pStyle w:val="Normal"/>
        <w:ind w:firstLine="225"/>
        <w:jc w:val="both"/>
        <w:rPr/>
      </w:pPr>
      <w:r>
        <w:rPr/>
      </w:r>
    </w:p>
    <w:p>
      <w:pPr>
        <w:pStyle w:val="Normal"/>
        <w:ind w:firstLine="225"/>
        <w:jc w:val="both"/>
        <w:rPr/>
      </w:pPr>
      <w:r>
        <w:rPr/>
        <w:t>При введении дымовых газов или газообразной двуокиси углерода в оборотную воду с помощью газодувок барботажные трубы следует погружать под слой воды не менее 2 м. При использовании водоструйных эжекторов следует насыщать дымовыми газами или двуокисью углерода часть оборотной воды, которая затем смешивается со всем объемом воды.</w:t>
      </w:r>
    </w:p>
    <w:p>
      <w:pPr>
        <w:pStyle w:val="Normal"/>
        <w:ind w:firstLine="225"/>
        <w:jc w:val="both"/>
        <w:rPr/>
      </w:pPr>
      <w:r>
        <w:rPr/>
      </w:r>
    </w:p>
    <w:p>
      <w:pPr>
        <w:pStyle w:val="Normal"/>
        <w:ind w:firstLine="225"/>
        <w:jc w:val="both"/>
        <w:rPr/>
      </w:pPr>
      <w:r>
        <w:rPr/>
        <w:t>Количество воды z(об), %, общего расхода оборотной воды, которое должно быть пропущено через водоструйные эжекторы, следует определять по формуле</w:t>
      </w:r>
    </w:p>
    <w:p>
      <w:pPr>
        <w:pStyle w:val="Normal"/>
        <w:ind w:firstLine="225"/>
        <w:jc w:val="both"/>
        <w:rPr/>
      </w:pPr>
      <w:r>
        <w:rPr/>
      </w:r>
    </w:p>
    <w:p>
      <w:pPr>
        <w:pStyle w:val="Normal"/>
        <w:ind w:firstLine="1395"/>
        <w:jc w:val="both"/>
        <w:rPr/>
      </w:pPr>
      <w:r>
        <w:rPr/>
      </w:r>
    </w:p>
    <w:tbl>
      <w:tblPr>
        <w:tblW w:w="6915" w:type="dxa"/>
        <w:jc w:val="start"/>
        <w:tblInd w:w="165" w:type="dxa"/>
        <w:tblBorders/>
        <w:tblCellMar>
          <w:top w:w="0" w:type="dxa"/>
          <w:start w:w="15" w:type="dxa"/>
          <w:bottom w:w="0" w:type="dxa"/>
          <w:end w:w="15" w:type="dxa"/>
        </w:tblCellMar>
      </w:tblPr>
      <w:tblGrid>
        <w:gridCol w:w="2850"/>
        <w:gridCol w:w="4065"/>
      </w:tblGrid>
      <w:tr>
        <w:trPr/>
        <w:tc>
          <w:tcPr>
            <w:tcW w:w="2850" w:type="dxa"/>
            <w:tcBorders/>
            <w:shd w:fill="auto" w:val="clear"/>
          </w:tcPr>
          <w:p>
            <w:pPr>
              <w:pStyle w:val="Normal"/>
              <w:rPr/>
            </w:pPr>
            <w:r>
              <w:rPr>
                <w:vanish/>
              </w:rPr>
              <w:t>#G0</w:t>
            </w:r>
            <w:r>
              <w:rPr/>
              <w:t xml:space="preserve">  </w:t>
            </w:r>
          </w:p>
          <w:p>
            <w:pPr>
              <w:pStyle w:val="Normal"/>
              <w:rPr/>
            </w:pPr>
            <w:r>
              <w:rPr/>
              <w:drawing>
                <wp:inline distT="0" distB="0" distL="0" distR="0">
                  <wp:extent cx="2027555" cy="288290"/>
                  <wp:effectExtent l="0" t="0" r="0" b="0"/>
                  <wp:docPr id="409" name="Изображение4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Изображение409" descr="" title=""/>
                          <pic:cNvPicPr>
                            <a:picLocks noChangeAspect="1" noChangeArrowheads="1"/>
                          </pic:cNvPicPr>
                        </pic:nvPicPr>
                        <pic:blipFill>
                          <a:blip r:embed="rId410"/>
                          <a:stretch>
                            <a:fillRect/>
                          </a:stretch>
                        </pic:blipFill>
                        <pic:spPr bwMode="auto">
                          <a:xfrm>
                            <a:off x="0" y="0"/>
                            <a:ext cx="2027555" cy="288290"/>
                          </a:xfrm>
                          <a:prstGeom prst="rect">
                            <a:avLst/>
                          </a:prstGeom>
                        </pic:spPr>
                      </pic:pic>
                    </a:graphicData>
                  </a:graphic>
                </wp:inline>
              </w:drawing>
            </w:r>
          </w:p>
        </w:tc>
        <w:tc>
          <w:tcPr>
            <w:tcW w:w="4065" w:type="dxa"/>
            <w:tcBorders/>
            <w:shd w:fill="auto" w:val="clear"/>
          </w:tcPr>
          <w:p>
            <w:pPr>
              <w:pStyle w:val="Normal"/>
              <w:rPr/>
            </w:pPr>
            <w:r>
              <w:rPr/>
              <w:t xml:space="preserve">   </w:t>
            </w:r>
          </w:p>
          <w:p>
            <w:pPr>
              <w:pStyle w:val="Normal"/>
              <w:rPr/>
            </w:pPr>
            <w:r>
              <w:rPr/>
              <w:t xml:space="preserve">                                                              </w:t>
            </w:r>
            <w:r>
              <w:rPr/>
              <w:t>(11)</w:t>
            </w:r>
          </w:p>
          <w:p>
            <w:pPr>
              <w:pStyle w:val="Normal"/>
              <w:rPr/>
            </w:pPr>
            <w:r>
              <w:rPr/>
            </w:r>
          </w:p>
        </w:tc>
      </w:tr>
    </w:tbl>
    <w:p>
      <w:pPr>
        <w:pStyle w:val="Normal"/>
        <w:ind w:firstLine="225"/>
        <w:jc w:val="both"/>
        <w:rPr/>
      </w:pPr>
      <w:r>
        <w:rPr/>
        <w:tab/>
        <w:tab/>
        <w:tab/>
      </w:r>
    </w:p>
    <w:p>
      <w:pPr>
        <w:pStyle w:val="Normal"/>
        <w:ind w:firstLine="225"/>
        <w:jc w:val="both"/>
        <w:rPr/>
      </w:pPr>
      <w:r>
        <w:rPr/>
      </w:r>
    </w:p>
    <w:tbl>
      <w:tblPr>
        <w:tblW w:w="8265" w:type="dxa"/>
        <w:jc w:val="start"/>
        <w:tblInd w:w="15" w:type="dxa"/>
        <w:tblBorders/>
        <w:tblCellMar>
          <w:top w:w="0" w:type="dxa"/>
          <w:start w:w="15" w:type="dxa"/>
          <w:bottom w:w="0" w:type="dxa"/>
          <w:end w:w="15" w:type="dxa"/>
        </w:tblCellMar>
      </w:tblPr>
      <w:tblGrid>
        <w:gridCol w:w="450"/>
        <w:gridCol w:w="555"/>
        <w:gridCol w:w="7260"/>
      </w:tblGrid>
      <w:tr>
        <w:trPr/>
        <w:tc>
          <w:tcPr>
            <w:tcW w:w="450" w:type="dxa"/>
            <w:tcBorders/>
            <w:shd w:fill="auto" w:val="clear"/>
          </w:tcPr>
          <w:p>
            <w:pPr>
              <w:pStyle w:val="Normal"/>
              <w:rPr/>
            </w:pPr>
            <w:r>
              <w:rPr>
                <w:vanish/>
              </w:rPr>
              <w:t>#G0</w:t>
            </w:r>
            <w:r>
              <w:rPr/>
              <w:t xml:space="preserve">       где </w:t>
            </w:r>
          </w:p>
          <w:p>
            <w:pPr>
              <w:pStyle w:val="Normal"/>
              <w:rPr/>
            </w:pPr>
            <w:r>
              <w:rPr/>
            </w:r>
          </w:p>
        </w:tc>
        <w:tc>
          <w:tcPr>
            <w:tcW w:w="555" w:type="dxa"/>
            <w:tcBorders/>
            <w:shd w:fill="auto" w:val="clear"/>
          </w:tcPr>
          <w:p>
            <w:pPr>
              <w:pStyle w:val="Normal"/>
              <w:rPr/>
            </w:pPr>
            <w:r>
              <w:rPr/>
              <w:t xml:space="preserve">  </w:t>
            </w:r>
          </w:p>
          <w:p>
            <w:pPr>
              <w:pStyle w:val="Normal"/>
              <w:rPr/>
            </w:pPr>
            <w:r>
              <w:rPr/>
              <w:drawing>
                <wp:inline distT="0" distB="0" distL="0" distR="0">
                  <wp:extent cx="414655" cy="241935"/>
                  <wp:effectExtent l="0" t="0" r="0" b="0"/>
                  <wp:docPr id="410" name="Изображение4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Изображение410" descr="" title=""/>
                          <pic:cNvPicPr>
                            <a:picLocks noChangeAspect="1" noChangeArrowheads="1"/>
                          </pic:cNvPicPr>
                        </pic:nvPicPr>
                        <pic:blipFill>
                          <a:blip r:embed="rId411"/>
                          <a:stretch>
                            <a:fillRect/>
                          </a:stretch>
                        </pic:blipFill>
                        <pic:spPr bwMode="auto">
                          <a:xfrm>
                            <a:off x="0" y="0"/>
                            <a:ext cx="414655" cy="241935"/>
                          </a:xfrm>
                          <a:prstGeom prst="rect">
                            <a:avLst/>
                          </a:prstGeom>
                        </pic:spPr>
                      </pic:pic>
                    </a:graphicData>
                  </a:graphic>
                </wp:inline>
              </w:drawing>
            </w:r>
          </w:p>
        </w:tc>
        <w:tc>
          <w:tcPr>
            <w:tcW w:w="7260" w:type="dxa"/>
            <w:tcBorders/>
            <w:shd w:fill="auto" w:val="clear"/>
          </w:tcPr>
          <w:p>
            <w:pPr>
              <w:pStyle w:val="Normal"/>
              <w:rPr/>
            </w:pPr>
            <w:r>
              <w:rPr/>
              <w:t xml:space="preserve">  </w:t>
            </w:r>
          </w:p>
          <w:p>
            <w:pPr>
              <w:pStyle w:val="Normal"/>
              <w:ind w:firstLine="45"/>
              <w:jc w:val="both"/>
              <w:rPr/>
            </w:pPr>
            <w:r>
              <w:rPr/>
              <w:t xml:space="preserve">- растворимость двуокиси углерода в воде, мг/л, при данной температуре и парциальном  давлении 0,1 МПа (1 кгс/кв.см), принимаемая по табл. 4. </w:t>
            </w:r>
          </w:p>
          <w:p>
            <w:pPr>
              <w:pStyle w:val="Normal"/>
              <w:ind w:firstLine="45"/>
              <w:jc w:val="both"/>
              <w:rPr/>
            </w:pPr>
            <w:r>
              <w:rPr/>
            </w:r>
          </w:p>
          <w:p>
            <w:pPr>
              <w:pStyle w:val="Normal"/>
              <w:ind w:firstLine="45"/>
              <w:jc w:val="both"/>
              <w:rPr/>
            </w:pPr>
            <w:r>
              <w:rPr/>
            </w:r>
          </w:p>
        </w:tc>
      </w:tr>
    </w:tbl>
    <w:p>
      <w:pPr>
        <w:pStyle w:val="Normal"/>
        <w:ind w:firstLine="180"/>
        <w:jc w:val="both"/>
        <w:rPr/>
      </w:pPr>
      <w:r>
        <w:rPr/>
      </w:r>
    </w:p>
    <w:p>
      <w:pPr>
        <w:pStyle w:val="Normal"/>
        <w:ind w:firstLine="180"/>
        <w:jc w:val="both"/>
        <w:rPr/>
      </w:pPr>
      <w:r>
        <w:rPr/>
      </w:r>
    </w:p>
    <w:p>
      <w:pPr>
        <w:pStyle w:val="Normal"/>
        <w:jc w:val="end"/>
        <w:rPr/>
      </w:pPr>
      <w:r>
        <w:rPr/>
        <w:t xml:space="preserve">Таблица 4 </w:t>
      </w:r>
    </w:p>
    <w:p>
      <w:pPr>
        <w:pStyle w:val="Normal"/>
        <w:ind w:firstLine="270"/>
        <w:jc w:val="both"/>
        <w:rPr/>
      </w:pPr>
      <w:r>
        <w:rPr/>
      </w:r>
    </w:p>
    <w:p>
      <w:pPr>
        <w:pStyle w:val="Normal"/>
        <w:ind w:firstLine="270"/>
        <w:jc w:val="both"/>
        <w:rPr/>
      </w:pPr>
      <w:r>
        <w:rPr/>
      </w:r>
    </w:p>
    <w:tbl>
      <w:tblPr>
        <w:tblW w:w="6335" w:type="dxa"/>
        <w:jc w:val="start"/>
        <w:tblInd w:w="30" w:type="dxa"/>
        <w:tblBorders>
          <w:top w:val="single" w:sz="2" w:space="0" w:color="000000"/>
          <w:start w:val="single" w:sz="2" w:space="0" w:color="000000"/>
        </w:tblBorders>
        <w:tblCellMar>
          <w:top w:w="0" w:type="dxa"/>
          <w:start w:w="27" w:type="dxa"/>
          <w:bottom w:w="0" w:type="dxa"/>
          <w:end w:w="30" w:type="dxa"/>
        </w:tblCellMar>
      </w:tblPr>
      <w:tblGrid>
        <w:gridCol w:w="1875"/>
        <w:gridCol w:w="570"/>
        <w:gridCol w:w="570"/>
        <w:gridCol w:w="570"/>
        <w:gridCol w:w="570"/>
        <w:gridCol w:w="570"/>
        <w:gridCol w:w="570"/>
        <w:gridCol w:w="555"/>
        <w:gridCol w:w="485"/>
      </w:tblGrid>
      <w:tr>
        <w:trPr/>
        <w:tc>
          <w:tcPr>
            <w:tcW w:w="1875" w:type="dxa"/>
            <w:tcBorders>
              <w:top w:val="single" w:sz="2" w:space="0" w:color="000000"/>
              <w:start w:val="single" w:sz="2" w:space="0" w:color="000000"/>
            </w:tcBorders>
            <w:shd w:fill="auto" w:val="clear"/>
            <w:tcMar>
              <w:start w:w="27" w:type="dxa"/>
            </w:tcMar>
          </w:tcPr>
          <w:p>
            <w:pPr>
              <w:pStyle w:val="Normal"/>
              <w:jc w:val="both"/>
              <w:rPr/>
            </w:pPr>
            <w:r>
              <w:rPr>
                <w:vanish/>
              </w:rPr>
              <w:t>#G0</w:t>
            </w:r>
            <w:r>
              <w:rPr/>
              <w:t xml:space="preserve">Температура воды, град.С </w:t>
            </w:r>
          </w:p>
          <w:p>
            <w:pPr>
              <w:pStyle w:val="Normal"/>
              <w:jc w:val="both"/>
              <w:rPr/>
            </w:pPr>
            <w:r>
              <w:rPr/>
            </w:r>
          </w:p>
        </w:tc>
        <w:tc>
          <w:tcPr>
            <w:tcW w:w="570" w:type="dxa"/>
            <w:tcBorders>
              <w:top w:val="single" w:sz="2" w:space="0" w:color="000000"/>
              <w:start w:val="single" w:sz="2" w:space="0" w:color="000000"/>
            </w:tcBorders>
            <w:shd w:fill="auto" w:val="clear"/>
            <w:tcMar>
              <w:start w:w="27" w:type="dxa"/>
            </w:tcMar>
          </w:tcPr>
          <w:p>
            <w:pPr>
              <w:pStyle w:val="Normal"/>
              <w:jc w:val="center"/>
              <w:rPr/>
            </w:pPr>
            <w:r>
              <w:rPr/>
              <w:t xml:space="preserve">10 </w:t>
            </w:r>
          </w:p>
          <w:p>
            <w:pPr>
              <w:pStyle w:val="Normal"/>
              <w:jc w:val="center"/>
              <w:rPr/>
            </w:pPr>
            <w:r>
              <w:rPr/>
            </w:r>
          </w:p>
        </w:tc>
        <w:tc>
          <w:tcPr>
            <w:tcW w:w="570" w:type="dxa"/>
            <w:tcBorders>
              <w:top w:val="single" w:sz="2" w:space="0" w:color="000000"/>
              <w:start w:val="single" w:sz="2" w:space="0" w:color="000000"/>
            </w:tcBorders>
            <w:shd w:fill="auto" w:val="clear"/>
            <w:tcMar>
              <w:start w:w="27" w:type="dxa"/>
            </w:tcMar>
          </w:tcPr>
          <w:p>
            <w:pPr>
              <w:pStyle w:val="Normal"/>
              <w:rPr/>
            </w:pPr>
            <w:r>
              <w:rPr/>
              <w:t xml:space="preserve">15 </w:t>
            </w:r>
          </w:p>
          <w:p>
            <w:pPr>
              <w:pStyle w:val="Normal"/>
              <w:rPr/>
            </w:pPr>
            <w:r>
              <w:rPr/>
            </w:r>
          </w:p>
        </w:tc>
        <w:tc>
          <w:tcPr>
            <w:tcW w:w="570" w:type="dxa"/>
            <w:tcBorders>
              <w:top w:val="single" w:sz="2" w:space="0" w:color="000000"/>
              <w:start w:val="single" w:sz="2" w:space="0" w:color="000000"/>
            </w:tcBorders>
            <w:shd w:fill="auto" w:val="clear"/>
            <w:tcMar>
              <w:start w:w="27" w:type="dxa"/>
            </w:tcMar>
          </w:tcPr>
          <w:p>
            <w:pPr>
              <w:pStyle w:val="Normal"/>
              <w:rPr/>
            </w:pPr>
            <w:r>
              <w:rPr/>
              <w:t xml:space="preserve">20 </w:t>
            </w:r>
          </w:p>
          <w:p>
            <w:pPr>
              <w:pStyle w:val="Normal"/>
              <w:rPr/>
            </w:pPr>
            <w:r>
              <w:rPr/>
            </w:r>
          </w:p>
        </w:tc>
        <w:tc>
          <w:tcPr>
            <w:tcW w:w="570" w:type="dxa"/>
            <w:tcBorders>
              <w:top w:val="single" w:sz="2" w:space="0" w:color="000000"/>
              <w:start w:val="single" w:sz="2" w:space="0" w:color="000000"/>
            </w:tcBorders>
            <w:shd w:fill="auto" w:val="clear"/>
            <w:tcMar>
              <w:start w:w="27" w:type="dxa"/>
            </w:tcMar>
          </w:tcPr>
          <w:p>
            <w:pPr>
              <w:pStyle w:val="Normal"/>
              <w:rPr/>
            </w:pPr>
            <w:r>
              <w:rPr/>
              <w:t xml:space="preserve">25 </w:t>
            </w:r>
          </w:p>
          <w:p>
            <w:pPr>
              <w:pStyle w:val="Normal"/>
              <w:rPr/>
            </w:pPr>
            <w:r>
              <w:rPr/>
            </w:r>
          </w:p>
        </w:tc>
        <w:tc>
          <w:tcPr>
            <w:tcW w:w="570" w:type="dxa"/>
            <w:tcBorders>
              <w:top w:val="single" w:sz="2" w:space="0" w:color="000000"/>
              <w:start w:val="single" w:sz="2" w:space="0" w:color="000000"/>
            </w:tcBorders>
            <w:shd w:fill="auto" w:val="clear"/>
            <w:tcMar>
              <w:start w:w="27" w:type="dxa"/>
            </w:tcMar>
          </w:tcPr>
          <w:p>
            <w:pPr>
              <w:pStyle w:val="Normal"/>
              <w:rPr/>
            </w:pPr>
            <w:r>
              <w:rPr/>
              <w:t xml:space="preserve">30 </w:t>
            </w:r>
          </w:p>
          <w:p>
            <w:pPr>
              <w:pStyle w:val="Normal"/>
              <w:rPr/>
            </w:pPr>
            <w:r>
              <w:rPr/>
            </w:r>
          </w:p>
        </w:tc>
        <w:tc>
          <w:tcPr>
            <w:tcW w:w="570" w:type="dxa"/>
            <w:tcBorders>
              <w:top w:val="single" w:sz="2" w:space="0" w:color="000000"/>
              <w:start w:val="single" w:sz="2" w:space="0" w:color="000000"/>
            </w:tcBorders>
            <w:shd w:fill="auto" w:val="clear"/>
            <w:tcMar>
              <w:start w:w="27" w:type="dxa"/>
            </w:tcMar>
          </w:tcPr>
          <w:p>
            <w:pPr>
              <w:pStyle w:val="Normal"/>
              <w:rPr/>
            </w:pPr>
            <w:r>
              <w:rPr/>
              <w:t xml:space="preserve">40 </w:t>
            </w:r>
          </w:p>
          <w:p>
            <w:pPr>
              <w:pStyle w:val="Normal"/>
              <w:rPr/>
            </w:pPr>
            <w:r>
              <w:rPr/>
            </w:r>
          </w:p>
        </w:tc>
        <w:tc>
          <w:tcPr>
            <w:tcW w:w="555" w:type="dxa"/>
            <w:tcBorders>
              <w:top w:val="single" w:sz="2" w:space="0" w:color="000000"/>
              <w:start w:val="single" w:sz="2" w:space="0" w:color="000000"/>
            </w:tcBorders>
            <w:shd w:fill="auto" w:val="clear"/>
            <w:tcMar>
              <w:start w:w="27" w:type="dxa"/>
            </w:tcMar>
          </w:tcPr>
          <w:p>
            <w:pPr>
              <w:pStyle w:val="Normal"/>
              <w:rPr/>
            </w:pPr>
            <w:r>
              <w:rPr/>
              <w:t xml:space="preserve">50 </w:t>
            </w:r>
          </w:p>
          <w:p>
            <w:pPr>
              <w:pStyle w:val="Normal"/>
              <w:rPr/>
            </w:pPr>
            <w:r>
              <w:rPr/>
            </w:r>
          </w:p>
        </w:tc>
        <w:tc>
          <w:tcPr>
            <w:tcW w:w="485" w:type="dxa"/>
            <w:tcBorders>
              <w:top w:val="single" w:sz="2" w:space="0" w:color="000000"/>
              <w:start w:val="single" w:sz="2" w:space="0" w:color="000000"/>
              <w:end w:val="single" w:sz="2" w:space="0" w:color="000000"/>
              <w:insideV w:val="single" w:sz="2" w:space="0" w:color="000000"/>
            </w:tcBorders>
            <w:shd w:fill="auto" w:val="clear"/>
            <w:tcMar>
              <w:start w:w="27" w:type="dxa"/>
            </w:tcMar>
          </w:tcPr>
          <w:p>
            <w:pPr>
              <w:pStyle w:val="Normal"/>
              <w:rPr/>
            </w:pPr>
            <w:r>
              <w:rPr/>
              <w:t xml:space="preserve">60 </w:t>
            </w:r>
          </w:p>
          <w:p>
            <w:pPr>
              <w:pStyle w:val="Normal"/>
              <w:rPr/>
            </w:pPr>
            <w:r>
              <w:rPr/>
            </w:r>
          </w:p>
        </w:tc>
      </w:tr>
      <w:tr>
        <w:trPr/>
        <w:tc>
          <w:tcPr>
            <w:tcW w:w="187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jc w:val="both"/>
              <w:rPr/>
            </w:pPr>
            <w:r>
              <w:rPr/>
              <w:t xml:space="preserve">Растворимость двуокиси углерода, мг/л </w:t>
            </w:r>
          </w:p>
          <w:p>
            <w:pPr>
              <w:pStyle w:val="Normal"/>
              <w:jc w:val="both"/>
              <w:rPr/>
            </w:pPr>
            <w:r>
              <w:rPr/>
            </w:r>
          </w:p>
        </w:tc>
        <w:tc>
          <w:tcPr>
            <w:tcW w:w="57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jc w:val="center"/>
              <w:rPr/>
            </w:pPr>
            <w:r>
              <w:rPr/>
              <w:t xml:space="preserve">2310 </w:t>
            </w:r>
          </w:p>
          <w:p>
            <w:pPr>
              <w:pStyle w:val="Normal"/>
              <w:jc w:val="center"/>
              <w:rPr/>
            </w:pPr>
            <w:r>
              <w:rPr/>
            </w:r>
          </w:p>
        </w:tc>
        <w:tc>
          <w:tcPr>
            <w:tcW w:w="57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1970 </w:t>
            </w:r>
          </w:p>
          <w:p>
            <w:pPr>
              <w:pStyle w:val="Normal"/>
              <w:rPr/>
            </w:pPr>
            <w:r>
              <w:rPr/>
            </w:r>
          </w:p>
        </w:tc>
        <w:tc>
          <w:tcPr>
            <w:tcW w:w="57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1690 </w:t>
            </w:r>
          </w:p>
          <w:p>
            <w:pPr>
              <w:pStyle w:val="Normal"/>
              <w:rPr/>
            </w:pPr>
            <w:r>
              <w:rPr/>
            </w:r>
          </w:p>
        </w:tc>
        <w:tc>
          <w:tcPr>
            <w:tcW w:w="57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1450 </w:t>
            </w:r>
          </w:p>
          <w:p>
            <w:pPr>
              <w:pStyle w:val="Normal"/>
              <w:rPr/>
            </w:pPr>
            <w:r>
              <w:rPr/>
            </w:r>
          </w:p>
        </w:tc>
        <w:tc>
          <w:tcPr>
            <w:tcW w:w="57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1260 </w:t>
            </w:r>
          </w:p>
          <w:p>
            <w:pPr>
              <w:pStyle w:val="Normal"/>
              <w:rPr/>
            </w:pPr>
            <w:r>
              <w:rPr/>
            </w:r>
          </w:p>
        </w:tc>
        <w:tc>
          <w:tcPr>
            <w:tcW w:w="570"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970 </w:t>
            </w:r>
          </w:p>
          <w:p>
            <w:pPr>
              <w:pStyle w:val="Normal"/>
              <w:rPr/>
            </w:pPr>
            <w:r>
              <w:rPr/>
            </w:r>
          </w:p>
        </w:tc>
        <w:tc>
          <w:tcPr>
            <w:tcW w:w="555" w:type="dxa"/>
            <w:tcBorders>
              <w:top w:val="single" w:sz="2" w:space="0" w:color="000000"/>
              <w:start w:val="single" w:sz="2" w:space="0" w:color="000000"/>
              <w:bottom w:val="single" w:sz="2" w:space="0" w:color="000000"/>
              <w:insideH w:val="single" w:sz="2" w:space="0" w:color="000000"/>
            </w:tcBorders>
            <w:shd w:fill="auto" w:val="clear"/>
            <w:tcMar>
              <w:start w:w="27" w:type="dxa"/>
            </w:tcMar>
          </w:tcPr>
          <w:p>
            <w:pPr>
              <w:pStyle w:val="Normal"/>
              <w:rPr/>
            </w:pPr>
            <w:r>
              <w:rPr/>
              <w:t xml:space="preserve">760 </w:t>
            </w:r>
          </w:p>
          <w:p>
            <w:pPr>
              <w:pStyle w:val="Normal"/>
              <w:rPr/>
            </w:pPr>
            <w:r>
              <w:rPr/>
            </w:r>
          </w:p>
        </w:tc>
        <w:tc>
          <w:tcPr>
            <w:tcW w:w="485" w:type="dxa"/>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27" w:type="dxa"/>
            </w:tcMar>
          </w:tcPr>
          <w:p>
            <w:pPr>
              <w:pStyle w:val="Normal"/>
              <w:rPr/>
            </w:pPr>
            <w:r>
              <w:rPr/>
              <w:t xml:space="preserve">580 </w:t>
            </w:r>
          </w:p>
          <w:p>
            <w:pPr>
              <w:pStyle w:val="Normal"/>
              <w:rPr/>
            </w:pPr>
            <w:r>
              <w:rPr/>
            </w:r>
          </w:p>
        </w:tc>
      </w:tr>
    </w:tbl>
    <w:p>
      <w:pPr>
        <w:pStyle w:val="Normal"/>
        <w:jc w:val="both"/>
        <w:rPr/>
      </w:pPr>
      <w:r>
        <w:rPr/>
      </w:r>
    </w:p>
    <w:p>
      <w:pPr>
        <w:pStyle w:val="Normal"/>
        <w:ind w:firstLine="270"/>
        <w:jc w:val="both"/>
        <w:rPr/>
      </w:pPr>
      <w:r>
        <w:rPr/>
        <w:t>Устройства для растворения в воде двуокиси углерода и транспортирования воды, насыщенной двуокисью углерода, должны приниматься из коррозионно-стойких материалов.</w:t>
      </w:r>
    </w:p>
    <w:p>
      <w:pPr>
        <w:pStyle w:val="Normal"/>
        <w:ind w:firstLine="270"/>
        <w:jc w:val="both"/>
        <w:rPr/>
      </w:pPr>
      <w:r>
        <w:rPr/>
      </w:r>
    </w:p>
    <w:p>
      <w:pPr>
        <w:pStyle w:val="Normal"/>
        <w:ind w:firstLine="225"/>
        <w:jc w:val="both"/>
        <w:rPr/>
      </w:pPr>
      <w:r>
        <w:rPr/>
        <w:t>При расчете дозы двуокиси углерода по формуле (9) необходимо задаться величиной продувки Р(3) и определить добавку воды Р.</w:t>
      </w:r>
    </w:p>
    <w:p>
      <w:pPr>
        <w:pStyle w:val="Normal"/>
        <w:ind w:firstLine="225"/>
        <w:jc w:val="both"/>
        <w:rPr/>
      </w:pPr>
      <w:r>
        <w:rPr/>
      </w:r>
    </w:p>
    <w:p>
      <w:pPr>
        <w:pStyle w:val="Normal"/>
        <w:ind w:firstLine="225"/>
        <w:jc w:val="both"/>
        <w:rPr/>
      </w:pPr>
      <w:r>
        <w:rPr/>
        <w:t>Если при заданной продувке величина z получится нецелесообразной по технико-экономическим расчетам, то следует увеличить продувку Р(3) или применить другой метод стабилизационной обработки воды  - подкисление или фосфатирование.</w:t>
      </w:r>
    </w:p>
    <w:p>
      <w:pPr>
        <w:pStyle w:val="Normal"/>
        <w:ind w:firstLine="225"/>
        <w:jc w:val="both"/>
        <w:rPr/>
      </w:pPr>
      <w:r>
        <w:rPr/>
      </w:r>
    </w:p>
    <w:p>
      <w:pPr>
        <w:pStyle w:val="Normal"/>
        <w:ind w:firstLine="225"/>
        <w:jc w:val="both"/>
        <w:rPr/>
      </w:pPr>
      <w:r>
        <w:rPr/>
        <w:t xml:space="preserve">3. Концентрация фосфатного реагента (триполифосфата или гексаметафосфата натрия в расчете </w:t>
      </w:r>
    </w:p>
    <w:tbl>
      <w:tblPr>
        <w:tblW w:w="8685" w:type="dxa"/>
        <w:jc w:val="start"/>
        <w:tblInd w:w="0" w:type="dxa"/>
        <w:tblBorders/>
        <w:tblCellMar>
          <w:top w:w="0" w:type="dxa"/>
          <w:start w:w="0" w:type="dxa"/>
          <w:bottom w:w="0" w:type="dxa"/>
          <w:end w:w="0" w:type="dxa"/>
        </w:tblCellMar>
      </w:tblPr>
      <w:tblGrid>
        <w:gridCol w:w="45"/>
        <w:gridCol w:w="270"/>
        <w:gridCol w:w="720"/>
        <w:gridCol w:w="240"/>
        <w:gridCol w:w="3540"/>
        <w:gridCol w:w="3525"/>
        <w:gridCol w:w="150"/>
        <w:gridCol w:w="195"/>
      </w:tblGrid>
      <w:tr>
        <w:trPr/>
        <w:tc>
          <w:tcPr>
            <w:tcW w:w="45" w:type="dxa"/>
            <w:tcBorders/>
            <w:shd w:fill="auto" w:val="clear"/>
          </w:tcPr>
          <w:p>
            <w:pPr>
              <w:pStyle w:val="Style24"/>
              <w:rPr/>
            </w:pPr>
            <w:r>
              <w:rPr/>
            </w:r>
          </w:p>
        </w:tc>
        <w:tc>
          <w:tcPr>
            <w:tcW w:w="270" w:type="dxa"/>
            <w:tcBorders/>
            <w:shd w:fill="auto" w:val="clear"/>
            <w:tcMar>
              <w:start w:w="15" w:type="dxa"/>
              <w:end w:w="15" w:type="dxa"/>
            </w:tcMar>
          </w:tcPr>
          <w:p>
            <w:pPr>
              <w:pStyle w:val="Normal"/>
              <w:rPr/>
            </w:pPr>
            <w:r>
              <w:rPr>
                <w:vanish/>
              </w:rPr>
              <w:t>#G0</w:t>
            </w:r>
            <w:r>
              <w:rPr/>
              <w:t xml:space="preserve">      на </w:t>
            </w:r>
          </w:p>
          <w:p>
            <w:pPr>
              <w:pStyle w:val="Normal"/>
              <w:rPr/>
            </w:pPr>
            <w:r>
              <w:rPr/>
            </w:r>
          </w:p>
        </w:tc>
        <w:tc>
          <w:tcPr>
            <w:tcW w:w="960" w:type="dxa"/>
            <w:gridSpan w:val="2"/>
            <w:tcBorders/>
            <w:shd w:fill="auto" w:val="clear"/>
            <w:tcMar>
              <w:start w:w="15" w:type="dxa"/>
              <w:end w:w="15" w:type="dxa"/>
            </w:tcMar>
          </w:tcPr>
          <w:p>
            <w:pPr>
              <w:pStyle w:val="Normal"/>
              <w:rPr/>
            </w:pPr>
            <w:r>
              <w:rPr/>
              <w:t xml:space="preserve">  </w:t>
            </w:r>
          </w:p>
          <w:p>
            <w:pPr>
              <w:pStyle w:val="Normal"/>
              <w:rPr/>
            </w:pPr>
            <w:r>
              <w:rPr/>
              <w:drawing>
                <wp:inline distT="0" distB="0" distL="0" distR="0">
                  <wp:extent cx="368935" cy="184150"/>
                  <wp:effectExtent l="0" t="0" r="0" b="0"/>
                  <wp:docPr id="411" name="Изображение4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Изображение411" descr="" title=""/>
                          <pic:cNvPicPr>
                            <a:picLocks noChangeAspect="1" noChangeArrowheads="1"/>
                          </pic:cNvPicPr>
                        </pic:nvPicPr>
                        <pic:blipFill>
                          <a:blip r:embed="rId412"/>
                          <a:stretch>
                            <a:fillRect/>
                          </a:stretch>
                        </pic:blipFill>
                        <pic:spPr bwMode="auto">
                          <a:xfrm>
                            <a:off x="0" y="0"/>
                            <a:ext cx="368935" cy="184150"/>
                          </a:xfrm>
                          <a:prstGeom prst="rect">
                            <a:avLst/>
                          </a:prstGeom>
                        </pic:spPr>
                      </pic:pic>
                    </a:graphicData>
                  </a:graphic>
                </wp:inline>
              </w:drawing>
            </w:r>
          </w:p>
        </w:tc>
        <w:tc>
          <w:tcPr>
            <w:tcW w:w="7410" w:type="dxa"/>
            <w:gridSpan w:val="4"/>
            <w:tcBorders/>
            <w:shd w:fill="auto" w:val="clear"/>
            <w:tcMar>
              <w:start w:w="15" w:type="dxa"/>
              <w:end w:w="15" w:type="dxa"/>
            </w:tcMar>
          </w:tcPr>
          <w:p>
            <w:pPr>
              <w:pStyle w:val="Normal"/>
              <w:rPr/>
            </w:pPr>
            <w:r>
              <w:rPr/>
              <w:t xml:space="preserve">  </w:t>
            </w:r>
          </w:p>
          <w:p>
            <w:pPr>
              <w:pStyle w:val="Normal"/>
              <w:jc w:val="both"/>
              <w:rPr/>
            </w:pPr>
            <w:r>
              <w:rPr/>
              <w:t xml:space="preserve">в  оборотной воде должна поддерживаться равной 1,5-2 мг/л. При этом в расчете </w:t>
            </w:r>
          </w:p>
          <w:p>
            <w:pPr>
              <w:pStyle w:val="Normal"/>
              <w:jc w:val="both"/>
              <w:rPr/>
            </w:pPr>
            <w:r>
              <w:rPr/>
            </w:r>
          </w:p>
        </w:tc>
      </w:tr>
      <w:tr>
        <w:trPr/>
        <w:tc>
          <w:tcPr>
            <w:tcW w:w="45" w:type="dxa"/>
            <w:tcBorders/>
            <w:shd w:fill="auto" w:val="clear"/>
          </w:tcPr>
          <w:p>
            <w:pPr>
              <w:pStyle w:val="Normal"/>
              <w:rPr/>
            </w:pPr>
            <w:r>
              <w:rPr/>
            </w:r>
          </w:p>
        </w:tc>
        <w:tc>
          <w:tcPr>
            <w:tcW w:w="270" w:type="dxa"/>
            <w:tcBorders/>
            <w:shd w:fill="auto" w:val="clear"/>
            <w:tcMar>
              <w:start w:w="15" w:type="dxa"/>
              <w:end w:w="15" w:type="dxa"/>
            </w:tcMar>
          </w:tcPr>
          <w:p>
            <w:pPr>
              <w:pStyle w:val="Normal"/>
              <w:rPr/>
            </w:pPr>
            <w:r>
              <w:rPr/>
              <w:t xml:space="preserve">на </w:t>
            </w:r>
          </w:p>
          <w:p>
            <w:pPr>
              <w:pStyle w:val="Normal"/>
              <w:rPr/>
            </w:pPr>
            <w:r>
              <w:rPr/>
            </w:r>
          </w:p>
        </w:tc>
        <w:tc>
          <w:tcPr>
            <w:tcW w:w="960" w:type="dxa"/>
            <w:gridSpan w:val="2"/>
            <w:tcBorders/>
            <w:shd w:fill="auto" w:val="clear"/>
            <w:tcMar>
              <w:start w:w="15" w:type="dxa"/>
              <w:end w:w="15" w:type="dxa"/>
            </w:tcMar>
          </w:tcPr>
          <w:p>
            <w:pPr>
              <w:pStyle w:val="Normal"/>
              <w:rPr/>
            </w:pPr>
            <w:r>
              <w:rPr/>
              <w:t xml:space="preserve">  </w:t>
            </w:r>
            <w:r>
              <w:rPr/>
              <w:t xml:space="preserve">расход </w:t>
            </w:r>
          </w:p>
          <w:p>
            <w:pPr>
              <w:pStyle w:val="Normal"/>
              <w:rPr/>
            </w:pPr>
            <w:r>
              <w:rPr/>
            </w:r>
          </w:p>
        </w:tc>
        <w:tc>
          <w:tcPr>
            <w:tcW w:w="7065" w:type="dxa"/>
            <w:gridSpan w:val="2"/>
            <w:tcBorders/>
            <w:shd w:fill="auto" w:val="clear"/>
            <w:tcMar>
              <w:start w:w="15" w:type="dxa"/>
              <w:end w:w="15" w:type="dxa"/>
            </w:tcMar>
          </w:tcPr>
          <w:p>
            <w:pPr>
              <w:pStyle w:val="Normal"/>
              <w:rPr/>
            </w:pPr>
            <w:r>
              <w:rPr/>
              <w:t xml:space="preserve"> </w:t>
            </w:r>
            <w:r>
              <w:rPr/>
              <w:t xml:space="preserve">добавочной воды необходимая доза реагента должна составлять 1,5-2,5 мг/л по </w:t>
            </w:r>
          </w:p>
          <w:p>
            <w:pPr>
              <w:pStyle w:val="Normal"/>
              <w:rPr/>
            </w:pPr>
            <w:r>
              <w:rPr/>
            </w:r>
          </w:p>
        </w:tc>
        <w:tc>
          <w:tcPr>
            <w:tcW w:w="150" w:type="dxa"/>
            <w:tcBorders/>
            <w:shd w:fill="auto" w:val="clear"/>
            <w:tcMar>
              <w:start w:w="15" w:type="dxa"/>
              <w:end w:w="15" w:type="dxa"/>
            </w:tcMar>
          </w:tcPr>
          <w:p>
            <w:pPr>
              <w:pStyle w:val="Normal"/>
              <w:rPr/>
            </w:pPr>
            <w:r>
              <w:rPr/>
              <w:t xml:space="preserve">  </w:t>
            </w:r>
          </w:p>
          <w:p>
            <w:pPr>
              <w:pStyle w:val="Normal"/>
              <w:rPr/>
            </w:pPr>
            <w:r>
              <w:rPr/>
            </w:r>
          </w:p>
        </w:tc>
        <w:tc>
          <w:tcPr>
            <w:tcW w:w="195" w:type="dxa"/>
            <w:tcBorders/>
            <w:shd w:fill="auto" w:val="clear"/>
          </w:tcPr>
          <w:p>
            <w:pPr>
              <w:pStyle w:val="Normal"/>
              <w:snapToGrid w:val="false"/>
              <w:rPr/>
            </w:pPr>
            <w:r>
              <w:rPr/>
            </w:r>
          </w:p>
        </w:tc>
      </w:tr>
      <w:tr>
        <w:trPr/>
        <w:tc>
          <w:tcPr>
            <w:tcW w:w="1035" w:type="dxa"/>
            <w:gridSpan w:val="3"/>
            <w:tcBorders/>
            <w:shd w:fill="auto" w:val="clear"/>
            <w:tcMar>
              <w:start w:w="15" w:type="dxa"/>
              <w:end w:w="15" w:type="dxa"/>
            </w:tcMar>
          </w:tcPr>
          <w:p>
            <w:pPr>
              <w:pStyle w:val="Normal"/>
              <w:rPr/>
            </w:pPr>
            <w:r>
              <w:rPr/>
              <w:drawing>
                <wp:inline distT="0" distB="0" distL="0" distR="0">
                  <wp:extent cx="299720" cy="184150"/>
                  <wp:effectExtent l="0" t="0" r="0" b="0"/>
                  <wp:docPr id="412" name="Изображение4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Изображение412" descr="" title=""/>
                          <pic:cNvPicPr>
                            <a:picLocks noChangeAspect="1" noChangeArrowheads="1"/>
                          </pic:cNvPicPr>
                        </pic:nvPicPr>
                        <pic:blipFill>
                          <a:blip r:embed="rId413"/>
                          <a:stretch>
                            <a:fillRect/>
                          </a:stretch>
                        </pic:blipFill>
                        <pic:spPr bwMode="auto">
                          <a:xfrm>
                            <a:off x="0" y="0"/>
                            <a:ext cx="299720" cy="184150"/>
                          </a:xfrm>
                          <a:prstGeom prst="rect">
                            <a:avLst/>
                          </a:prstGeom>
                        </pic:spPr>
                      </pic:pic>
                    </a:graphicData>
                  </a:graphic>
                </wp:inline>
              </w:drawing>
            </w:r>
            <w:r>
              <w:rPr/>
              <w:t xml:space="preserve">  </w:t>
            </w:r>
          </w:p>
          <w:p>
            <w:pPr>
              <w:pStyle w:val="Normal"/>
              <w:rPr/>
            </w:pPr>
            <w:r>
              <w:rPr/>
            </w:r>
          </w:p>
        </w:tc>
        <w:tc>
          <w:tcPr>
            <w:tcW w:w="3780" w:type="dxa"/>
            <w:gridSpan w:val="2"/>
            <w:tcBorders/>
            <w:shd w:fill="auto" w:val="clear"/>
            <w:tcMar>
              <w:start w:w="15" w:type="dxa"/>
              <w:end w:w="15" w:type="dxa"/>
            </w:tcMar>
          </w:tcPr>
          <w:p>
            <w:pPr>
              <w:pStyle w:val="Normal"/>
              <w:rPr/>
            </w:pPr>
            <w:r>
              <w:rPr/>
              <w:t xml:space="preserve">   </w:t>
            </w:r>
            <w:r>
              <w:rPr/>
              <w:t>или 3-5 мг/л по товарному продукту.</w:t>
            </w:r>
          </w:p>
          <w:p>
            <w:pPr>
              <w:pStyle w:val="Normal"/>
              <w:rPr/>
            </w:pPr>
            <w:r>
              <w:rPr/>
            </w:r>
          </w:p>
        </w:tc>
        <w:tc>
          <w:tcPr>
            <w:tcW w:w="3870" w:type="dxa"/>
            <w:gridSpan w:val="3"/>
            <w:tcBorders/>
            <w:shd w:fill="auto" w:val="clear"/>
          </w:tcPr>
          <w:p>
            <w:pPr>
              <w:pStyle w:val="Normal"/>
              <w:snapToGrid w:val="false"/>
              <w:rPr/>
            </w:pPr>
            <w:r>
              <w:rPr/>
            </w:r>
          </w:p>
        </w:tc>
      </w:tr>
    </w:tbl>
    <w:p>
      <w:pPr>
        <w:pStyle w:val="Normal"/>
        <w:ind w:firstLine="135"/>
        <w:jc w:val="both"/>
        <w:rPr/>
      </w:pPr>
      <w:r>
        <w:rPr/>
        <w:t>При обработке воды фосфатами для предупреждения накипеобразования надлежит предусматривать продувку Р(3), %, определяемую по формуле</w:t>
      </w:r>
    </w:p>
    <w:p>
      <w:pPr>
        <w:pStyle w:val="Normal"/>
        <w:ind w:firstLine="1395"/>
        <w:jc w:val="both"/>
        <w:rPr/>
      </w:pPr>
      <w:r>
        <w:rPr/>
      </w:r>
    </w:p>
    <w:tbl>
      <w:tblPr>
        <w:tblW w:w="5010" w:type="dxa"/>
        <w:jc w:val="start"/>
        <w:tblInd w:w="165" w:type="dxa"/>
        <w:tblBorders/>
        <w:tblCellMar>
          <w:top w:w="0" w:type="dxa"/>
          <w:start w:w="15" w:type="dxa"/>
          <w:bottom w:w="0" w:type="dxa"/>
          <w:end w:w="15" w:type="dxa"/>
        </w:tblCellMar>
      </w:tblPr>
      <w:tblGrid>
        <w:gridCol w:w="2475"/>
        <w:gridCol w:w="2535"/>
      </w:tblGrid>
      <w:tr>
        <w:trPr/>
        <w:tc>
          <w:tcPr>
            <w:tcW w:w="2475" w:type="dxa"/>
            <w:tcBorders/>
            <w:shd w:fill="auto" w:val="clear"/>
          </w:tcPr>
          <w:p>
            <w:pPr>
              <w:pStyle w:val="Normal"/>
              <w:rPr/>
            </w:pPr>
            <w:r>
              <w:rPr>
                <w:vanish/>
              </w:rPr>
              <w:t>#G0</w:t>
            </w:r>
            <w:r>
              <w:rPr/>
              <w:t xml:space="preserve">  </w:t>
            </w:r>
          </w:p>
          <w:p>
            <w:pPr>
              <w:pStyle w:val="Normal"/>
              <w:rPr/>
            </w:pPr>
            <w:r>
              <w:rPr/>
              <w:drawing>
                <wp:inline distT="0" distB="0" distL="0" distR="0">
                  <wp:extent cx="1647190" cy="299720"/>
                  <wp:effectExtent l="0" t="0" r="0" b="0"/>
                  <wp:docPr id="413" name="Изображение4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Изображение413" descr="" title=""/>
                          <pic:cNvPicPr>
                            <a:picLocks noChangeAspect="1" noChangeArrowheads="1"/>
                          </pic:cNvPicPr>
                        </pic:nvPicPr>
                        <pic:blipFill>
                          <a:blip r:embed="rId414"/>
                          <a:stretch>
                            <a:fillRect/>
                          </a:stretch>
                        </pic:blipFill>
                        <pic:spPr bwMode="auto">
                          <a:xfrm>
                            <a:off x="0" y="0"/>
                            <a:ext cx="1647190" cy="299720"/>
                          </a:xfrm>
                          <a:prstGeom prst="rect">
                            <a:avLst/>
                          </a:prstGeom>
                        </pic:spPr>
                      </pic:pic>
                    </a:graphicData>
                  </a:graphic>
                </wp:inline>
              </w:drawing>
            </w:r>
          </w:p>
        </w:tc>
        <w:tc>
          <w:tcPr>
            <w:tcW w:w="2535" w:type="dxa"/>
            <w:tcBorders/>
            <w:shd w:fill="auto" w:val="clear"/>
          </w:tcPr>
          <w:p>
            <w:pPr>
              <w:pStyle w:val="Normal"/>
              <w:rPr/>
            </w:pPr>
            <w:r>
              <w:rPr/>
              <w:t xml:space="preserve">  </w:t>
            </w:r>
          </w:p>
          <w:p>
            <w:pPr>
              <w:pStyle w:val="Normal"/>
              <w:rPr/>
            </w:pPr>
            <w:r>
              <w:rPr/>
              <w:t xml:space="preserve">                                                </w:t>
            </w:r>
            <w:r>
              <w:rPr/>
              <w:t>(12)</w:t>
            </w:r>
          </w:p>
          <w:p>
            <w:pPr>
              <w:pStyle w:val="Normal"/>
              <w:rPr/>
            </w:pPr>
            <w:r>
              <w:rPr/>
            </w:r>
          </w:p>
        </w:tc>
      </w:tr>
    </w:tbl>
    <w:p>
      <w:pPr>
        <w:pStyle w:val="Normal"/>
        <w:ind w:firstLine="360"/>
        <w:jc w:val="both"/>
        <w:rPr/>
      </w:pPr>
      <w:r>
        <w:rPr/>
        <w:tab/>
        <w:tab/>
      </w:r>
    </w:p>
    <w:p>
      <w:pPr>
        <w:pStyle w:val="Normal"/>
        <w:ind w:firstLine="270"/>
        <w:jc w:val="both"/>
        <w:rPr/>
      </w:pPr>
      <w:r>
        <w:rPr/>
      </w:r>
    </w:p>
    <w:p>
      <w:pPr>
        <w:pStyle w:val="Normal"/>
        <w:ind w:firstLine="270"/>
        <w:jc w:val="both"/>
        <w:rPr/>
      </w:pPr>
      <w:r>
        <w:rPr/>
        <w:t xml:space="preserve">где К(у.доп)  - допустимый коэффициент упаривания воды, определяемый по формуле                               </w:t>
      </w:r>
    </w:p>
    <w:p>
      <w:pPr>
        <w:pStyle w:val="Normal"/>
        <w:ind w:firstLine="225"/>
        <w:jc w:val="both"/>
        <w:rPr/>
      </w:pPr>
      <w:r>
        <w:rPr/>
      </w:r>
    </w:p>
    <w:tbl>
      <w:tblPr>
        <w:tblW w:w="6735" w:type="dxa"/>
        <w:jc w:val="start"/>
        <w:tblInd w:w="165" w:type="dxa"/>
        <w:tblBorders/>
        <w:tblCellMar>
          <w:top w:w="0" w:type="dxa"/>
          <w:start w:w="15" w:type="dxa"/>
          <w:bottom w:w="0" w:type="dxa"/>
          <w:end w:w="15" w:type="dxa"/>
        </w:tblCellMar>
      </w:tblPr>
      <w:tblGrid>
        <w:gridCol w:w="4995"/>
        <w:gridCol w:w="1740"/>
      </w:tblGrid>
      <w:tr>
        <w:trPr/>
        <w:tc>
          <w:tcPr>
            <w:tcW w:w="4995" w:type="dxa"/>
            <w:tcBorders/>
            <w:shd w:fill="auto" w:val="clear"/>
          </w:tcPr>
          <w:p>
            <w:pPr>
              <w:pStyle w:val="Normal"/>
              <w:rPr/>
            </w:pPr>
            <w:r>
              <w:rPr>
                <w:vanish/>
              </w:rPr>
              <w:t>#G0</w:t>
            </w:r>
            <w:r>
              <w:rPr/>
              <w:t xml:space="preserve">  </w:t>
            </w:r>
          </w:p>
          <w:p>
            <w:pPr>
              <w:pStyle w:val="Normal"/>
              <w:rPr/>
            </w:pPr>
            <w:r>
              <w:rPr/>
              <w:drawing>
                <wp:inline distT="0" distB="0" distL="0" distR="0">
                  <wp:extent cx="3214370" cy="299720"/>
                  <wp:effectExtent l="0" t="0" r="0" b="0"/>
                  <wp:docPr id="414" name="Изображение4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Изображение414" descr="" title=""/>
                          <pic:cNvPicPr>
                            <a:picLocks noChangeAspect="1" noChangeArrowheads="1"/>
                          </pic:cNvPicPr>
                        </pic:nvPicPr>
                        <pic:blipFill>
                          <a:blip r:embed="rId415"/>
                          <a:stretch>
                            <a:fillRect/>
                          </a:stretch>
                        </pic:blipFill>
                        <pic:spPr bwMode="auto">
                          <a:xfrm>
                            <a:off x="0" y="0"/>
                            <a:ext cx="3214370" cy="299720"/>
                          </a:xfrm>
                          <a:prstGeom prst="rect">
                            <a:avLst/>
                          </a:prstGeom>
                        </pic:spPr>
                      </pic:pic>
                    </a:graphicData>
                  </a:graphic>
                </wp:inline>
              </w:drawing>
            </w:r>
          </w:p>
        </w:tc>
        <w:tc>
          <w:tcPr>
            <w:tcW w:w="1740" w:type="dxa"/>
            <w:tcBorders/>
            <w:shd w:fill="auto" w:val="clear"/>
          </w:tcPr>
          <w:p>
            <w:pPr>
              <w:pStyle w:val="Normal"/>
              <w:snapToGrid w:val="false"/>
              <w:rPr/>
            </w:pPr>
            <w:r>
              <w:rPr/>
            </w:r>
          </w:p>
          <w:p>
            <w:pPr>
              <w:pStyle w:val="Normal"/>
              <w:rPr/>
            </w:pPr>
            <w:r>
              <w:rPr/>
              <w:t xml:space="preserve">             </w:t>
            </w:r>
            <w:r>
              <w:rPr/>
              <w:t>(13)</w:t>
            </w:r>
          </w:p>
          <w:p>
            <w:pPr>
              <w:pStyle w:val="Normal"/>
              <w:rPr/>
            </w:pPr>
            <w:r>
              <w:rPr/>
            </w:r>
          </w:p>
        </w:tc>
      </w:tr>
    </w:tbl>
    <w:p>
      <w:pPr>
        <w:pStyle w:val="Normal"/>
        <w:ind w:firstLine="450"/>
        <w:jc w:val="both"/>
        <w:rPr/>
      </w:pPr>
      <w:r>
        <w:rPr/>
      </w:r>
    </w:p>
    <w:p>
      <w:pPr>
        <w:pStyle w:val="Normal"/>
        <w:ind w:firstLine="270"/>
        <w:jc w:val="both"/>
        <w:rPr/>
      </w:pPr>
      <w:r>
        <w:rPr/>
      </w:r>
    </w:p>
    <w:p>
      <w:pPr>
        <w:pStyle w:val="Normal"/>
        <w:ind w:firstLine="270"/>
        <w:jc w:val="both"/>
        <w:rPr/>
      </w:pPr>
      <w:r>
        <w:rPr/>
        <w:t>где t(1)  - температура оборотной воды до охладителя, град.С;</w:t>
      </w:r>
    </w:p>
    <w:p>
      <w:pPr>
        <w:pStyle w:val="Normal"/>
        <w:ind w:firstLine="45"/>
        <w:jc w:val="both"/>
        <w:rPr/>
      </w:pPr>
      <w:r>
        <w:rPr/>
      </w:r>
    </w:p>
    <w:p>
      <w:pPr>
        <w:pStyle w:val="Normal"/>
        <w:ind w:firstLine="225"/>
        <w:jc w:val="both"/>
        <w:rPr/>
      </w:pPr>
      <w:r>
        <w:rPr/>
        <w:t>Ж(доб) - жесткость общая добавочной воды, мг-экв/л.</w:t>
      </w:r>
    </w:p>
    <w:p>
      <w:pPr>
        <w:pStyle w:val="Normal"/>
        <w:ind w:firstLine="225"/>
        <w:jc w:val="both"/>
        <w:rPr/>
      </w:pPr>
      <w:r>
        <w:rPr/>
      </w:r>
    </w:p>
    <w:p>
      <w:pPr>
        <w:pStyle w:val="Normal"/>
        <w:ind w:firstLine="225"/>
        <w:jc w:val="both"/>
        <w:rPr/>
      </w:pPr>
      <w:r>
        <w:rPr/>
        <w:t>Значения Р(1) и Р(2) принимаются согласно п. 11.9. Метод фосфатирования следует применять при К(у.доп) &gt; 1 и величинах продувки, целесообразных по технико-экономическим расчетам. При величинах К(у.доп)&lt; 1 надлежит применять подкисление или комбинированную фосфатно-кислотную обработку воды.</w:t>
      </w:r>
    </w:p>
    <w:p>
      <w:pPr>
        <w:pStyle w:val="Normal"/>
        <w:ind w:firstLine="225"/>
        <w:jc w:val="both"/>
        <w:rPr/>
      </w:pPr>
      <w:r>
        <w:rPr/>
      </w:r>
    </w:p>
    <w:p>
      <w:pPr>
        <w:pStyle w:val="Normal"/>
        <w:ind w:firstLine="225"/>
        <w:jc w:val="both"/>
        <w:rPr/>
      </w:pPr>
      <w:r>
        <w:rPr/>
        <w:t>4. При комбинированной фосфатно-кислотной обработке воды дозу кислоты Д(кис), мг/л, в расчете на расход добавочной воды следует определять по формуле</w:t>
      </w:r>
    </w:p>
    <w:p>
      <w:pPr>
        <w:pStyle w:val="Normal"/>
        <w:ind w:firstLine="225"/>
        <w:jc w:val="both"/>
        <w:rPr/>
      </w:pPr>
      <w:r>
        <w:rPr/>
      </w:r>
    </w:p>
    <w:tbl>
      <w:tblPr>
        <w:tblW w:w="4800" w:type="dxa"/>
        <w:jc w:val="start"/>
        <w:tblInd w:w="165" w:type="dxa"/>
        <w:tblBorders/>
        <w:tblCellMar>
          <w:top w:w="0" w:type="dxa"/>
          <w:start w:w="15" w:type="dxa"/>
          <w:bottom w:w="0" w:type="dxa"/>
          <w:end w:w="15" w:type="dxa"/>
        </w:tblCellMar>
      </w:tblPr>
      <w:tblGrid>
        <w:gridCol w:w="3570"/>
        <w:gridCol w:w="1230"/>
      </w:tblGrid>
      <w:tr>
        <w:trPr/>
        <w:tc>
          <w:tcPr>
            <w:tcW w:w="3570" w:type="dxa"/>
            <w:tcBorders/>
            <w:shd w:fill="auto" w:val="clear"/>
          </w:tcPr>
          <w:p>
            <w:pPr>
              <w:pStyle w:val="Normal"/>
              <w:rPr/>
            </w:pPr>
            <w:r>
              <w:rPr>
                <w:vanish/>
              </w:rPr>
              <w:t>#G0</w:t>
            </w:r>
            <w:r>
              <w:rPr/>
              <w:t xml:space="preserve">  </w:t>
            </w:r>
          </w:p>
          <w:p>
            <w:pPr>
              <w:pStyle w:val="Normal"/>
              <w:rPr/>
            </w:pPr>
            <w:r>
              <w:rPr/>
              <w:drawing>
                <wp:inline distT="0" distB="0" distL="0" distR="0">
                  <wp:extent cx="2430780" cy="345440"/>
                  <wp:effectExtent l="0" t="0" r="0" b="0"/>
                  <wp:docPr id="415" name="Изображение4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Изображение415" descr="" title=""/>
                          <pic:cNvPicPr>
                            <a:picLocks noChangeAspect="1" noChangeArrowheads="1"/>
                          </pic:cNvPicPr>
                        </pic:nvPicPr>
                        <pic:blipFill>
                          <a:blip r:embed="rId416"/>
                          <a:stretch>
                            <a:fillRect/>
                          </a:stretch>
                        </pic:blipFill>
                        <pic:spPr bwMode="auto">
                          <a:xfrm>
                            <a:off x="0" y="0"/>
                            <a:ext cx="2430780" cy="345440"/>
                          </a:xfrm>
                          <a:prstGeom prst="rect">
                            <a:avLst/>
                          </a:prstGeom>
                        </pic:spPr>
                      </pic:pic>
                    </a:graphicData>
                  </a:graphic>
                </wp:inline>
              </w:drawing>
            </w:r>
          </w:p>
        </w:tc>
        <w:tc>
          <w:tcPr>
            <w:tcW w:w="1230" w:type="dxa"/>
            <w:tcBorders/>
            <w:shd w:fill="auto" w:val="clear"/>
          </w:tcPr>
          <w:p>
            <w:pPr>
              <w:pStyle w:val="Normal"/>
              <w:rPr/>
            </w:pPr>
            <w:r>
              <w:rPr/>
              <w:t xml:space="preserve">  </w:t>
            </w:r>
          </w:p>
          <w:p>
            <w:pPr>
              <w:pStyle w:val="Normal"/>
              <w:rPr/>
            </w:pPr>
            <w:r>
              <w:rPr/>
              <w:t xml:space="preserve">                   </w:t>
            </w:r>
            <w:r>
              <w:rPr/>
              <w:t>(14)</w:t>
            </w:r>
          </w:p>
          <w:p>
            <w:pPr>
              <w:pStyle w:val="Normal"/>
              <w:rPr/>
            </w:pPr>
            <w:r>
              <w:rPr/>
            </w:r>
          </w:p>
        </w:tc>
      </w:tr>
    </w:tbl>
    <w:p>
      <w:pPr>
        <w:pStyle w:val="Normal"/>
        <w:ind w:firstLine="1350"/>
        <w:jc w:val="both"/>
        <w:rPr/>
      </w:pPr>
      <w:r>
        <w:rPr/>
      </w:r>
    </w:p>
    <w:p>
      <w:pPr>
        <w:pStyle w:val="Normal"/>
        <w:ind w:firstLine="1350"/>
        <w:jc w:val="both"/>
        <w:rPr/>
      </w:pPr>
      <w:r>
        <w:rPr/>
        <w:tab/>
        <w:tab/>
        <w:tab/>
        <w:t xml:space="preserve">     </w:t>
      </w:r>
    </w:p>
    <w:p>
      <w:pPr>
        <w:pStyle w:val="Normal"/>
        <w:ind w:firstLine="1350"/>
        <w:jc w:val="both"/>
        <w:rPr/>
      </w:pPr>
      <w:r>
        <w:rPr/>
        <w:t xml:space="preserve">где Щ(доб.пр) - предельная величина щелочности добавочной воды, мг-экв/л, при которой предотвращение карбонатных отложений при заданных условиях (t(1), К(у) и Ж(доб), достигается фосфатированием, определяется по формуле   </w:t>
      </w:r>
    </w:p>
    <w:p>
      <w:pPr>
        <w:pStyle w:val="Normal"/>
        <w:ind w:firstLine="450"/>
        <w:jc w:val="both"/>
        <w:rPr/>
      </w:pPr>
      <w:r>
        <w:rPr/>
      </w:r>
    </w:p>
    <w:tbl>
      <w:tblPr>
        <w:tblW w:w="6870" w:type="dxa"/>
        <w:jc w:val="start"/>
        <w:tblInd w:w="165" w:type="dxa"/>
        <w:tblBorders/>
        <w:tblCellMar>
          <w:top w:w="0" w:type="dxa"/>
          <w:start w:w="15" w:type="dxa"/>
          <w:bottom w:w="0" w:type="dxa"/>
          <w:end w:w="15" w:type="dxa"/>
        </w:tblCellMar>
      </w:tblPr>
      <w:tblGrid>
        <w:gridCol w:w="4860"/>
        <w:gridCol w:w="2010"/>
      </w:tblGrid>
      <w:tr>
        <w:trPr/>
        <w:tc>
          <w:tcPr>
            <w:tcW w:w="4860" w:type="dxa"/>
            <w:tcBorders/>
            <w:shd w:fill="auto" w:val="clear"/>
          </w:tcPr>
          <w:p>
            <w:pPr>
              <w:pStyle w:val="Normal"/>
              <w:rPr/>
            </w:pPr>
            <w:r>
              <w:rPr>
                <w:vanish/>
              </w:rPr>
              <w:t>#G0</w:t>
            </w:r>
            <w:r>
              <w:rPr/>
              <w:t xml:space="preserve">  </w:t>
            </w:r>
          </w:p>
          <w:p>
            <w:pPr>
              <w:pStyle w:val="Normal"/>
              <w:rPr/>
            </w:pPr>
            <w:r>
              <w:rPr/>
              <w:drawing>
                <wp:inline distT="0" distB="0" distL="0" distR="0">
                  <wp:extent cx="3225800" cy="299720"/>
                  <wp:effectExtent l="0" t="0" r="0" b="0"/>
                  <wp:docPr id="416" name="Изображение4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Изображение416" descr="" title=""/>
                          <pic:cNvPicPr>
                            <a:picLocks noChangeAspect="1" noChangeArrowheads="1"/>
                          </pic:cNvPicPr>
                        </pic:nvPicPr>
                        <pic:blipFill>
                          <a:blip r:embed="rId417"/>
                          <a:stretch>
                            <a:fillRect/>
                          </a:stretch>
                        </pic:blipFill>
                        <pic:spPr bwMode="auto">
                          <a:xfrm>
                            <a:off x="0" y="0"/>
                            <a:ext cx="3225800" cy="299720"/>
                          </a:xfrm>
                          <a:prstGeom prst="rect">
                            <a:avLst/>
                          </a:prstGeom>
                        </pic:spPr>
                      </pic:pic>
                    </a:graphicData>
                  </a:graphic>
                </wp:inline>
              </w:drawing>
            </w:r>
          </w:p>
        </w:tc>
        <w:tc>
          <w:tcPr>
            <w:tcW w:w="2010" w:type="dxa"/>
            <w:tcBorders/>
            <w:shd w:fill="auto" w:val="clear"/>
          </w:tcPr>
          <w:p>
            <w:pPr>
              <w:pStyle w:val="Normal"/>
              <w:rPr/>
            </w:pPr>
            <w:r>
              <w:rPr/>
              <w:t xml:space="preserve"> </w:t>
            </w:r>
          </w:p>
          <w:p>
            <w:pPr>
              <w:pStyle w:val="Normal"/>
              <w:rPr/>
            </w:pPr>
            <w:r>
              <w:rPr/>
              <w:t xml:space="preserve">                   </w:t>
            </w:r>
            <w:r>
              <w:rPr/>
              <w:t>(15)</w:t>
            </w:r>
          </w:p>
          <w:p>
            <w:pPr>
              <w:pStyle w:val="Normal"/>
              <w:rPr/>
            </w:pPr>
            <w:r>
              <w:rPr/>
            </w:r>
          </w:p>
        </w:tc>
      </w:tr>
    </w:tbl>
    <w:p>
      <w:pPr>
        <w:pStyle w:val="Normal"/>
        <w:ind w:firstLine="45"/>
        <w:jc w:val="both"/>
        <w:rPr/>
      </w:pPr>
      <w:r>
        <w:rPr/>
        <w:tab/>
        <w:tab/>
      </w:r>
    </w:p>
    <w:p>
      <w:pPr>
        <w:pStyle w:val="Normal"/>
        <w:ind w:firstLine="45"/>
        <w:jc w:val="both"/>
        <w:rPr/>
      </w:pPr>
      <w:r>
        <w:rPr/>
      </w:r>
    </w:p>
    <w:p>
      <w:pPr>
        <w:pStyle w:val="Normal"/>
        <w:ind w:firstLine="45"/>
        <w:jc w:val="both"/>
        <w:rPr/>
      </w:pPr>
      <w:r>
        <w:rPr/>
        <w:t>Метод комбинированной фосфатно-кислотной обработки воды следует применять при</w:t>
      </w:r>
    </w:p>
    <w:p>
      <w:pPr>
        <w:pStyle w:val="Normal"/>
        <w:ind w:firstLine="45"/>
        <w:jc w:val="both"/>
        <w:rPr/>
      </w:pPr>
      <w:r>
        <w:rPr/>
      </w:r>
    </w:p>
    <w:p>
      <w:pPr>
        <w:pStyle w:val="Normal"/>
        <w:ind w:firstLine="1395"/>
        <w:jc w:val="both"/>
        <w:rPr/>
      </w:pPr>
      <w:r>
        <w:rPr/>
      </w:r>
    </w:p>
    <w:tbl>
      <w:tblPr>
        <w:tblW w:w="5130" w:type="dxa"/>
        <w:jc w:val="start"/>
        <w:tblInd w:w="165" w:type="dxa"/>
        <w:tblBorders/>
        <w:tblCellMar>
          <w:top w:w="0" w:type="dxa"/>
          <w:start w:w="15" w:type="dxa"/>
          <w:bottom w:w="0" w:type="dxa"/>
          <w:end w:w="15" w:type="dxa"/>
        </w:tblCellMar>
      </w:tblPr>
      <w:tblGrid>
        <w:gridCol w:w="1845"/>
        <w:gridCol w:w="3285"/>
      </w:tblGrid>
      <w:tr>
        <w:trPr/>
        <w:tc>
          <w:tcPr>
            <w:tcW w:w="1845" w:type="dxa"/>
            <w:tcBorders/>
            <w:shd w:fill="auto" w:val="clear"/>
          </w:tcPr>
          <w:p>
            <w:pPr>
              <w:pStyle w:val="Normal"/>
              <w:rPr/>
            </w:pPr>
            <w:r>
              <w:rPr>
                <w:vanish/>
              </w:rPr>
              <w:t>#G0</w:t>
            </w:r>
            <w:r>
              <w:rPr/>
              <w:t xml:space="preserve">  </w:t>
            </w:r>
          </w:p>
          <w:p>
            <w:pPr>
              <w:pStyle w:val="Normal"/>
              <w:rPr/>
            </w:pPr>
            <w:r>
              <w:rPr/>
              <w:drawing>
                <wp:inline distT="0" distB="0" distL="0" distR="0">
                  <wp:extent cx="1106170" cy="288290"/>
                  <wp:effectExtent l="0" t="0" r="0" b="0"/>
                  <wp:docPr id="417" name="Изображение4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Изображение417" descr="" title=""/>
                          <pic:cNvPicPr>
                            <a:picLocks noChangeAspect="1" noChangeArrowheads="1"/>
                          </pic:cNvPicPr>
                        </pic:nvPicPr>
                        <pic:blipFill>
                          <a:blip r:embed="rId418"/>
                          <a:stretch>
                            <a:fillRect/>
                          </a:stretch>
                        </pic:blipFill>
                        <pic:spPr bwMode="auto">
                          <a:xfrm>
                            <a:off x="0" y="0"/>
                            <a:ext cx="1106170" cy="288290"/>
                          </a:xfrm>
                          <a:prstGeom prst="rect">
                            <a:avLst/>
                          </a:prstGeom>
                        </pic:spPr>
                      </pic:pic>
                    </a:graphicData>
                  </a:graphic>
                </wp:inline>
              </w:drawing>
            </w:r>
          </w:p>
        </w:tc>
        <w:tc>
          <w:tcPr>
            <w:tcW w:w="3285" w:type="dxa"/>
            <w:tcBorders/>
            <w:shd w:fill="auto" w:val="clear"/>
          </w:tcPr>
          <w:p>
            <w:pPr>
              <w:pStyle w:val="Normal"/>
              <w:rPr/>
            </w:pPr>
            <w:r>
              <w:rPr/>
              <w:t xml:space="preserve">   </w:t>
            </w:r>
          </w:p>
          <w:p>
            <w:pPr>
              <w:pStyle w:val="Normal"/>
              <w:rPr/>
            </w:pPr>
            <w:r>
              <w:rPr/>
              <w:t xml:space="preserve">                                                               </w:t>
            </w:r>
            <w:r>
              <w:rPr/>
              <w:t>(16)</w:t>
            </w:r>
          </w:p>
          <w:p>
            <w:pPr>
              <w:pStyle w:val="Normal"/>
              <w:rPr/>
            </w:pPr>
            <w:r>
              <w:rPr/>
            </w:r>
          </w:p>
        </w:tc>
      </w:tr>
    </w:tbl>
    <w:p>
      <w:pPr>
        <w:pStyle w:val="Normal"/>
        <w:jc w:val="both"/>
        <w:rPr/>
      </w:pPr>
      <w:r>
        <w:rPr/>
        <w:tab/>
        <w:tab/>
        <w:tab/>
      </w:r>
    </w:p>
    <w:p>
      <w:pPr>
        <w:pStyle w:val="Normal"/>
        <w:ind w:firstLine="270"/>
        <w:jc w:val="both"/>
        <w:rPr/>
      </w:pPr>
      <w:r>
        <w:rPr/>
      </w:r>
    </w:p>
    <w:p>
      <w:pPr>
        <w:pStyle w:val="Normal"/>
        <w:ind w:firstLine="225"/>
        <w:jc w:val="both"/>
        <w:rPr/>
      </w:pPr>
      <w:r>
        <w:rPr/>
        <w:t>При Щ(доб.пр) &gt;  Щдоб надлежит предусматривать только фосфатирование, при Щ(доб.пр) &lt;  0 -  подкисление.</w:t>
      </w:r>
    </w:p>
    <w:p>
      <w:pPr>
        <w:pStyle w:val="Normal"/>
        <w:ind w:firstLine="225"/>
        <w:jc w:val="both"/>
        <w:rPr/>
      </w:pPr>
      <w:r>
        <w:rPr/>
      </w:r>
    </w:p>
    <w:p>
      <w:pPr>
        <w:pStyle w:val="Normal"/>
        <w:ind w:firstLine="225"/>
        <w:jc w:val="both"/>
        <w:rPr/>
      </w:pPr>
      <w:r>
        <w:rPr/>
        <w:t>Дозу фосфатного реагента (триполифосфата или гексаметафосфата натрия) следует принимать равной 3-5 мг/л по товарному продукту в расчете на расход добавочной воды и уточнять в процессе эксплуатации.</w:t>
      </w:r>
    </w:p>
    <w:p>
      <w:pPr>
        <w:pStyle w:val="Normal"/>
        <w:ind w:firstLine="225"/>
        <w:jc w:val="both"/>
        <w:rPr/>
      </w:pPr>
      <w:r>
        <w:rPr/>
      </w:r>
    </w:p>
    <w:p>
      <w:pPr>
        <w:pStyle w:val="Normal"/>
        <w:jc w:val="end"/>
        <w:rPr/>
      </w:pPr>
      <w:r>
        <w:rPr/>
        <w:t xml:space="preserve">Приложение 13 </w:t>
      </w:r>
    </w:p>
    <w:p>
      <w:pPr>
        <w:pStyle w:val="Normal"/>
        <w:jc w:val="end"/>
        <w:rPr/>
      </w:pPr>
      <w:r>
        <w:rPr/>
        <w:t xml:space="preserve">Рекомендуемое </w:t>
      </w:r>
    </w:p>
    <w:p>
      <w:pPr>
        <w:pStyle w:val="Normal"/>
        <w:jc w:val="end"/>
        <w:rPr/>
      </w:pPr>
      <w:r>
        <w:rPr/>
      </w:r>
    </w:p>
    <w:p>
      <w:pPr>
        <w:pStyle w:val="Normal"/>
        <w:ind w:firstLine="270"/>
        <w:jc w:val="both"/>
        <w:rPr/>
      </w:pPr>
      <w:r>
        <w:rPr/>
      </w:r>
    </w:p>
    <w:p>
      <w:pPr>
        <w:pStyle w:val="Heading"/>
        <w:jc w:val="center"/>
        <w:rPr/>
      </w:pPr>
      <w:r>
        <w:rPr/>
        <w:t xml:space="preserve">ВНУТРЕННЯЯ ОТДЕЛКА ПОМЕЩЕНИЙ </w:t>
      </w:r>
    </w:p>
    <w:p>
      <w:pPr>
        <w:pStyle w:val="Normal"/>
        <w:ind w:firstLine="270"/>
        <w:jc w:val="both"/>
        <w:rPr/>
      </w:pPr>
      <w:r>
        <w:rPr/>
      </w:r>
    </w:p>
    <w:p>
      <w:pPr>
        <w:pStyle w:val="Normal"/>
        <w:ind w:firstLine="270"/>
        <w:jc w:val="both"/>
        <w:rPr/>
      </w:pPr>
      <w:r>
        <w:rPr/>
      </w:r>
    </w:p>
    <w:p>
      <w:pPr>
        <w:pStyle w:val="Normal"/>
        <w:ind w:firstLine="225"/>
        <w:jc w:val="both"/>
        <w:rPr/>
      </w:pPr>
      <w:r>
        <w:rPr/>
      </w:r>
    </w:p>
    <w:tbl>
      <w:tblPr>
        <w:tblW w:w="10220" w:type="dxa"/>
        <w:jc w:val="start"/>
        <w:tblInd w:w="45" w:type="dxa"/>
        <w:tblBorders>
          <w:top w:val="single" w:sz="2" w:space="0" w:color="000000"/>
          <w:start w:val="single" w:sz="2" w:space="0" w:color="000000"/>
        </w:tblBorders>
        <w:tblCellMar>
          <w:top w:w="0" w:type="dxa"/>
          <w:start w:w="42" w:type="dxa"/>
          <w:bottom w:w="0" w:type="dxa"/>
          <w:end w:w="45" w:type="dxa"/>
        </w:tblCellMar>
      </w:tblPr>
      <w:tblGrid>
        <w:gridCol w:w="450"/>
        <w:gridCol w:w="2250"/>
        <w:gridCol w:w="4065"/>
        <w:gridCol w:w="15"/>
        <w:gridCol w:w="15"/>
        <w:gridCol w:w="1830"/>
        <w:gridCol w:w="30"/>
        <w:gridCol w:w="1520"/>
        <w:gridCol w:w="30"/>
        <w:gridCol w:w="15"/>
      </w:tblGrid>
      <w:tr>
        <w:trPr/>
        <w:tc>
          <w:tcPr>
            <w:tcW w:w="450" w:type="dxa"/>
            <w:tcBorders>
              <w:top w:val="single" w:sz="2" w:space="0" w:color="000000"/>
              <w:start w:val="single" w:sz="2" w:space="0" w:color="000000"/>
            </w:tcBorders>
            <w:shd w:fill="auto" w:val="clear"/>
            <w:tcMar>
              <w:start w:w="42" w:type="dxa"/>
            </w:tcMar>
          </w:tcPr>
          <w:p>
            <w:pPr>
              <w:pStyle w:val="Normal"/>
              <w:jc w:val="center"/>
              <w:rPr/>
            </w:pPr>
            <w:r>
              <w:rPr>
                <w:vanish/>
              </w:rPr>
              <w:t>#G0</w:t>
            </w:r>
            <w:r>
              <w:rPr/>
              <w:t>№</w:t>
            </w:r>
          </w:p>
          <w:p>
            <w:pPr>
              <w:pStyle w:val="Normal"/>
              <w:jc w:val="center"/>
              <w:rPr/>
            </w:pPr>
            <w:r>
              <w:rPr/>
            </w:r>
          </w:p>
        </w:tc>
        <w:tc>
          <w:tcPr>
            <w:tcW w:w="2250" w:type="dxa"/>
            <w:tcBorders>
              <w:top w:val="single" w:sz="2" w:space="0" w:color="000000"/>
              <w:start w:val="single" w:sz="2" w:space="0" w:color="000000"/>
            </w:tcBorders>
            <w:shd w:fill="auto" w:val="clear"/>
            <w:tcMar>
              <w:start w:w="42" w:type="dxa"/>
            </w:tcMar>
          </w:tcPr>
          <w:p>
            <w:pPr>
              <w:pStyle w:val="Normal"/>
              <w:rPr/>
            </w:pPr>
            <w:r>
              <w:rPr/>
              <w:t xml:space="preserve">Наименование зданий и </w:t>
            </w:r>
          </w:p>
          <w:p>
            <w:pPr>
              <w:pStyle w:val="Normal"/>
              <w:rPr/>
            </w:pPr>
            <w:r>
              <w:rPr/>
            </w:r>
          </w:p>
        </w:tc>
        <w:tc>
          <w:tcPr>
            <w:tcW w:w="7520" w:type="dxa"/>
            <w:gridSpan w:val="7"/>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Состав отделочных работ </w:t>
            </w:r>
          </w:p>
          <w:p>
            <w:pPr>
              <w:pStyle w:val="Normal"/>
              <w:rPr/>
            </w:pPr>
            <w:r>
              <w:rPr/>
            </w:r>
          </w:p>
        </w:tc>
      </w:tr>
      <w:tr>
        <w:trPr/>
        <w:tc>
          <w:tcPr>
            <w:tcW w:w="45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п.п.</w:t>
            </w:r>
          </w:p>
          <w:p>
            <w:pPr>
              <w:pStyle w:val="Normal"/>
              <w:rPr/>
            </w:pPr>
            <w:r>
              <w:rPr/>
            </w:r>
          </w:p>
        </w:tc>
        <w:tc>
          <w:tcPr>
            <w:tcW w:w="2250"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помещений </w:t>
            </w:r>
          </w:p>
          <w:p>
            <w:pPr>
              <w:pStyle w:val="Normal"/>
              <w:rPr/>
            </w:pPr>
            <w:r>
              <w:rPr/>
            </w:r>
          </w:p>
        </w:tc>
        <w:tc>
          <w:tcPr>
            <w:tcW w:w="4095" w:type="dxa"/>
            <w:gridSpan w:val="3"/>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стены </w:t>
            </w:r>
          </w:p>
          <w:p>
            <w:pPr>
              <w:pStyle w:val="Normal"/>
              <w:rPr/>
            </w:pPr>
            <w:r>
              <w:rPr/>
            </w:r>
          </w:p>
        </w:tc>
        <w:tc>
          <w:tcPr>
            <w:tcW w:w="1860" w:type="dxa"/>
            <w:gridSpan w:val="2"/>
            <w:tcBorders>
              <w:top w:val="single" w:sz="2" w:space="0" w:color="000000"/>
              <w:start w:val="single" w:sz="2" w:space="0" w:color="000000"/>
              <w:bottom w:val="single" w:sz="2" w:space="0" w:color="000000"/>
              <w:insideH w:val="single" w:sz="2" w:space="0" w:color="000000"/>
            </w:tcBorders>
            <w:shd w:fill="auto" w:val="clear"/>
            <w:tcMar>
              <w:start w:w="42" w:type="dxa"/>
            </w:tcMar>
          </w:tcPr>
          <w:p>
            <w:pPr>
              <w:pStyle w:val="Normal"/>
              <w:rPr/>
            </w:pPr>
            <w:r>
              <w:rPr/>
              <w:t xml:space="preserve">потолки </w:t>
            </w:r>
          </w:p>
          <w:p>
            <w:pPr>
              <w:pStyle w:val="Normal"/>
              <w:rPr/>
            </w:pPr>
            <w:r>
              <w:rPr/>
            </w:r>
          </w:p>
        </w:tc>
        <w:tc>
          <w:tcPr>
            <w:tcW w:w="1550" w:type="dxa"/>
            <w:gridSpan w:val="2"/>
            <w:tcBorders>
              <w:top w:val="single" w:sz="2" w:space="0" w:color="000000"/>
              <w:start w:val="single" w:sz="2" w:space="0" w:color="000000"/>
              <w:bottom w:val="single" w:sz="2" w:space="0" w:color="000000"/>
              <w:end w:val="single" w:sz="2" w:space="0" w:color="000000"/>
              <w:insideH w:val="single" w:sz="2" w:space="0" w:color="000000"/>
              <w:insideV w:val="single" w:sz="2" w:space="0" w:color="000000"/>
            </w:tcBorders>
            <w:shd w:fill="auto" w:val="clear"/>
            <w:tcMar>
              <w:start w:w="42" w:type="dxa"/>
            </w:tcMar>
          </w:tcPr>
          <w:p>
            <w:pPr>
              <w:pStyle w:val="Normal"/>
              <w:rPr/>
            </w:pPr>
            <w:r>
              <w:rPr/>
              <w:t xml:space="preserve">полы </w:t>
            </w:r>
          </w:p>
          <w:p>
            <w:pPr>
              <w:pStyle w:val="Normal"/>
              <w:rPr/>
            </w:pPr>
            <w:r>
              <w:rPr/>
            </w:r>
          </w:p>
        </w:tc>
      </w:tr>
      <w:tr>
        <w:trPr/>
        <w:tc>
          <w:tcPr>
            <w:tcW w:w="450" w:type="dxa"/>
            <w:tcBorders>
              <w:top w:val="single" w:sz="2" w:space="0" w:color="000000"/>
              <w:start w:val="single" w:sz="2" w:space="0" w:color="000000"/>
            </w:tcBorders>
            <w:shd w:fill="auto" w:val="clear"/>
            <w:tcMar>
              <w:start w:w="42" w:type="dxa"/>
            </w:tcMar>
          </w:tcPr>
          <w:p>
            <w:pPr>
              <w:pStyle w:val="Normal"/>
              <w:rPr/>
            </w:pPr>
            <w:r>
              <w:rPr/>
              <w:t xml:space="preserve">  </w:t>
            </w:r>
          </w:p>
          <w:p>
            <w:pPr>
              <w:pStyle w:val="Normal"/>
              <w:rPr/>
            </w:pPr>
            <w:r>
              <w:rPr/>
            </w:r>
          </w:p>
        </w:tc>
        <w:tc>
          <w:tcPr>
            <w:tcW w:w="2250" w:type="dxa"/>
            <w:tcBorders>
              <w:top w:val="single" w:sz="2" w:space="0" w:color="000000"/>
              <w:start w:val="single" w:sz="2" w:space="0" w:color="000000"/>
            </w:tcBorders>
            <w:shd w:fill="auto" w:val="clear"/>
            <w:tcMar>
              <w:start w:w="42" w:type="dxa"/>
            </w:tcMar>
          </w:tcPr>
          <w:p>
            <w:pPr>
              <w:pStyle w:val="Normal"/>
              <w:rPr/>
            </w:pPr>
            <w:r>
              <w:rPr/>
              <w:t xml:space="preserve">  </w:t>
            </w:r>
          </w:p>
          <w:p>
            <w:pPr>
              <w:pStyle w:val="Normal"/>
              <w:rPr/>
            </w:pPr>
            <w:r>
              <w:rPr/>
            </w:r>
          </w:p>
        </w:tc>
        <w:tc>
          <w:tcPr>
            <w:tcW w:w="5955" w:type="dxa"/>
            <w:gridSpan w:val="5"/>
            <w:tcBorders>
              <w:top w:val="single" w:sz="2" w:space="0" w:color="000000"/>
              <w:start w:val="single" w:sz="2" w:space="0" w:color="000000"/>
            </w:tcBorders>
            <w:shd w:fill="auto" w:val="clear"/>
            <w:tcMar>
              <w:start w:w="42" w:type="dxa"/>
            </w:tcMar>
          </w:tcPr>
          <w:p>
            <w:pPr>
              <w:pStyle w:val="Normal"/>
              <w:jc w:val="center"/>
              <w:rPr/>
            </w:pPr>
            <w:r>
              <w:rPr/>
              <w:t xml:space="preserve">Помещения производственного назначения </w:t>
            </w:r>
          </w:p>
          <w:p>
            <w:pPr>
              <w:pStyle w:val="Normal"/>
              <w:jc w:val="center"/>
              <w:rPr/>
            </w:pPr>
            <w:r>
              <w:rPr/>
            </w:r>
          </w:p>
        </w:tc>
        <w:tc>
          <w:tcPr>
            <w:tcW w:w="1550" w:type="dxa"/>
            <w:gridSpan w:val="2"/>
            <w:tcBorders>
              <w:top w:val="single" w:sz="2" w:space="0" w:color="000000"/>
              <w:start w:val="single" w:sz="2" w:space="0" w:color="000000"/>
              <w:end w:val="single" w:sz="2" w:space="0" w:color="000000"/>
              <w:insideV w:val="single" w:sz="2" w:space="0" w:color="000000"/>
            </w:tcBorders>
            <w:shd w:fill="auto" w:val="clear"/>
            <w:tcMar>
              <w:start w:w="42" w:type="dxa"/>
            </w:tcMar>
          </w:tcPr>
          <w:p>
            <w:pPr>
              <w:pStyle w:val="Normal"/>
              <w:rPr/>
            </w:pPr>
            <w:r>
              <w:rPr/>
              <w:t xml:space="preserve">  </w:t>
            </w:r>
          </w:p>
          <w:p>
            <w:pPr>
              <w:pStyle w:val="Normal"/>
              <w:rPr/>
            </w:pPr>
            <w:r>
              <w:rPr/>
            </w:r>
          </w:p>
        </w:tc>
      </w:tr>
      <w:tr>
        <w:trPr/>
        <w:tc>
          <w:tcPr>
            <w:tcW w:w="450" w:type="dxa"/>
            <w:tcBorders>
              <w:start w:val="single" w:sz="2" w:space="0" w:color="000000"/>
            </w:tcBorders>
            <w:shd w:fill="auto" w:val="clear"/>
            <w:tcMar>
              <w:start w:w="42" w:type="dxa"/>
            </w:tcMar>
          </w:tcPr>
          <w:p>
            <w:pPr>
              <w:pStyle w:val="Normal"/>
              <w:jc w:val="center"/>
              <w:rPr/>
            </w:pPr>
            <w:r>
              <w:rPr/>
              <w:t xml:space="preserve">1 </w:t>
            </w:r>
          </w:p>
          <w:p>
            <w:pPr>
              <w:pStyle w:val="Normal"/>
              <w:jc w:val="center"/>
              <w:rPr/>
            </w:pPr>
            <w:r>
              <w:rPr/>
            </w:r>
          </w:p>
        </w:tc>
        <w:tc>
          <w:tcPr>
            <w:tcW w:w="2250" w:type="dxa"/>
            <w:tcBorders>
              <w:start w:val="single" w:sz="2" w:space="0" w:color="000000"/>
            </w:tcBorders>
            <w:shd w:fill="auto" w:val="clear"/>
            <w:tcMar>
              <w:start w:w="42" w:type="dxa"/>
            </w:tcMar>
          </w:tcPr>
          <w:p>
            <w:pPr>
              <w:pStyle w:val="Normal"/>
              <w:jc w:val="both"/>
              <w:rPr/>
            </w:pPr>
            <w:r>
              <w:rPr/>
              <w:t xml:space="preserve">Помещение барабанных сеток и микрофильтров </w:t>
            </w:r>
          </w:p>
          <w:p>
            <w:pPr>
              <w:pStyle w:val="Normal"/>
              <w:jc w:val="both"/>
              <w:rPr/>
            </w:pPr>
            <w:r>
              <w:rPr/>
            </w:r>
          </w:p>
        </w:tc>
        <w:tc>
          <w:tcPr>
            <w:tcW w:w="4080" w:type="dxa"/>
            <w:gridSpan w:val="2"/>
            <w:tcBorders>
              <w:start w:val="single" w:sz="2" w:space="0" w:color="000000"/>
            </w:tcBorders>
            <w:shd w:fill="auto" w:val="clear"/>
            <w:tcMar>
              <w:start w:w="42" w:type="dxa"/>
            </w:tcMar>
          </w:tcPr>
          <w:p>
            <w:pPr>
              <w:pStyle w:val="Normal"/>
              <w:rPr/>
            </w:pPr>
            <w:r>
              <w:rPr/>
              <w:t xml:space="preserve">Расшивка швов панельных стен. Штукатурка кирпичных стен. Окраска влагостойкими красками </w:t>
            </w:r>
          </w:p>
          <w:p>
            <w:pPr>
              <w:pStyle w:val="Normal"/>
              <w:rPr/>
            </w:pPr>
            <w:r>
              <w:rPr/>
            </w:r>
          </w:p>
        </w:tc>
        <w:tc>
          <w:tcPr>
            <w:tcW w:w="1875" w:type="dxa"/>
            <w:gridSpan w:val="3"/>
            <w:tcBorders>
              <w:start w:val="single" w:sz="2" w:space="0" w:color="000000"/>
            </w:tcBorders>
            <w:shd w:fill="auto" w:val="clear"/>
            <w:tcMar>
              <w:start w:w="42" w:type="dxa"/>
            </w:tcMar>
          </w:tcPr>
          <w:p>
            <w:pPr>
              <w:pStyle w:val="Normal"/>
              <w:rPr/>
            </w:pPr>
            <w:r>
              <w:rPr/>
              <w:t xml:space="preserve">Окраска влагостойкими красками </w:t>
            </w:r>
          </w:p>
          <w:p>
            <w:pPr>
              <w:pStyle w:val="Normal"/>
              <w:rPr/>
            </w:pPr>
            <w:r>
              <w:rPr/>
            </w:r>
          </w:p>
        </w:tc>
        <w:tc>
          <w:tcPr>
            <w:tcW w:w="1550" w:type="dxa"/>
            <w:gridSpan w:val="2"/>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Цементные </w:t>
            </w:r>
          </w:p>
          <w:p>
            <w:pPr>
              <w:pStyle w:val="Normal"/>
              <w:rPr/>
            </w:pPr>
            <w:r>
              <w:rPr/>
            </w:r>
          </w:p>
        </w:tc>
      </w:tr>
      <w:tr>
        <w:trPr/>
        <w:tc>
          <w:tcPr>
            <w:tcW w:w="450" w:type="dxa"/>
            <w:tcBorders>
              <w:start w:val="single" w:sz="2" w:space="0" w:color="000000"/>
            </w:tcBorders>
            <w:shd w:fill="auto" w:val="clear"/>
            <w:tcMar>
              <w:start w:w="42" w:type="dxa"/>
            </w:tcMar>
          </w:tcPr>
          <w:p>
            <w:pPr>
              <w:pStyle w:val="Normal"/>
              <w:jc w:val="center"/>
              <w:rPr/>
            </w:pPr>
            <w:r>
              <w:rPr/>
              <w:t xml:space="preserve">2 </w:t>
            </w:r>
          </w:p>
          <w:p>
            <w:pPr>
              <w:pStyle w:val="Normal"/>
              <w:jc w:val="center"/>
              <w:rPr/>
            </w:pPr>
            <w:r>
              <w:rPr/>
            </w:r>
          </w:p>
        </w:tc>
        <w:tc>
          <w:tcPr>
            <w:tcW w:w="2250" w:type="dxa"/>
            <w:tcBorders>
              <w:start w:val="single" w:sz="2" w:space="0" w:color="000000"/>
            </w:tcBorders>
            <w:shd w:fill="auto" w:val="clear"/>
            <w:tcMar>
              <w:start w:w="42" w:type="dxa"/>
            </w:tcMar>
          </w:tcPr>
          <w:p>
            <w:pPr>
              <w:pStyle w:val="Normal"/>
              <w:jc w:val="both"/>
              <w:rPr/>
            </w:pPr>
            <w:r>
              <w:rPr/>
              <w:t xml:space="preserve">Реагентное хозяйство </w:t>
            </w:r>
          </w:p>
          <w:p>
            <w:pPr>
              <w:pStyle w:val="Normal"/>
              <w:jc w:val="both"/>
              <w:rPr/>
            </w:pPr>
            <w:r>
              <w:rPr/>
              <w:t xml:space="preserve">а) помещения с нормальной влажностью </w:t>
            </w:r>
          </w:p>
          <w:p>
            <w:pPr>
              <w:pStyle w:val="Normal"/>
              <w:jc w:val="both"/>
              <w:rPr/>
            </w:pPr>
            <w:r>
              <w:rPr/>
            </w:r>
          </w:p>
        </w:tc>
        <w:tc>
          <w:tcPr>
            <w:tcW w:w="4080" w:type="dxa"/>
            <w:gridSpan w:val="2"/>
            <w:tcBorders>
              <w:start w:val="single" w:sz="2" w:space="0" w:color="000000"/>
            </w:tcBorders>
            <w:shd w:fill="auto" w:val="clear"/>
            <w:tcMar>
              <w:start w:w="42" w:type="dxa"/>
            </w:tcMar>
          </w:tcPr>
          <w:p>
            <w:pPr>
              <w:pStyle w:val="Normal"/>
              <w:rPr/>
            </w:pPr>
            <w:r>
              <w:rPr/>
              <w:t xml:space="preserve">Расшивка швов панельных стен. Кладка кирпичных стен с подрезкой швов. Окраска клеевыми красками </w:t>
            </w:r>
          </w:p>
          <w:p>
            <w:pPr>
              <w:pStyle w:val="Normal"/>
              <w:rPr/>
            </w:pPr>
            <w:r>
              <w:rPr/>
            </w:r>
          </w:p>
        </w:tc>
        <w:tc>
          <w:tcPr>
            <w:tcW w:w="1875" w:type="dxa"/>
            <w:gridSpan w:val="3"/>
            <w:tcBorders>
              <w:start w:val="single" w:sz="2" w:space="0" w:color="000000"/>
            </w:tcBorders>
            <w:shd w:fill="auto" w:val="clear"/>
            <w:tcMar>
              <w:start w:w="42" w:type="dxa"/>
            </w:tcMar>
          </w:tcPr>
          <w:p>
            <w:pPr>
              <w:pStyle w:val="Normal"/>
              <w:rPr/>
            </w:pPr>
            <w:r>
              <w:rPr/>
              <w:t xml:space="preserve">Клеевая побелка </w:t>
            </w:r>
          </w:p>
          <w:p>
            <w:pPr>
              <w:pStyle w:val="Normal"/>
              <w:rPr/>
            </w:pPr>
            <w:r>
              <w:rPr/>
            </w:r>
          </w:p>
        </w:tc>
        <w:tc>
          <w:tcPr>
            <w:tcW w:w="1550" w:type="dxa"/>
            <w:gridSpan w:val="2"/>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Цементные </w:t>
            </w:r>
          </w:p>
          <w:p>
            <w:pPr>
              <w:pStyle w:val="Normal"/>
              <w:rPr/>
            </w:pPr>
            <w:r>
              <w:rPr/>
            </w:r>
          </w:p>
        </w:tc>
      </w:tr>
      <w:tr>
        <w:trPr/>
        <w:tc>
          <w:tcPr>
            <w:tcW w:w="450"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2250" w:type="dxa"/>
            <w:tcBorders>
              <w:start w:val="single" w:sz="2" w:space="0" w:color="000000"/>
            </w:tcBorders>
            <w:shd w:fill="auto" w:val="clear"/>
            <w:tcMar>
              <w:start w:w="42" w:type="dxa"/>
            </w:tcMar>
          </w:tcPr>
          <w:p>
            <w:pPr>
              <w:pStyle w:val="Normal"/>
              <w:jc w:val="both"/>
              <w:rPr/>
            </w:pPr>
            <w:r>
              <w:rPr/>
              <w:t>б) помещения с повышенной влажностью (при открытых емкостях с водой)</w:t>
            </w:r>
          </w:p>
          <w:p>
            <w:pPr>
              <w:pStyle w:val="Normal"/>
              <w:jc w:val="both"/>
              <w:rPr/>
            </w:pPr>
            <w:r>
              <w:rPr/>
            </w:r>
          </w:p>
        </w:tc>
        <w:tc>
          <w:tcPr>
            <w:tcW w:w="4080" w:type="dxa"/>
            <w:gridSpan w:val="2"/>
            <w:tcBorders>
              <w:start w:val="single" w:sz="2" w:space="0" w:color="000000"/>
            </w:tcBorders>
            <w:shd w:fill="auto" w:val="clear"/>
            <w:tcMar>
              <w:start w:w="42" w:type="dxa"/>
            </w:tcMar>
          </w:tcPr>
          <w:p>
            <w:pPr>
              <w:pStyle w:val="Normal"/>
              <w:rPr/>
            </w:pPr>
            <w:r>
              <w:rPr/>
              <w:t xml:space="preserve">Расшивка швов панельных стен. Окраска влагостойкими красками </w:t>
            </w:r>
          </w:p>
          <w:p>
            <w:pPr>
              <w:pStyle w:val="Normal"/>
              <w:rPr/>
            </w:pPr>
            <w:r>
              <w:rPr/>
            </w:r>
          </w:p>
        </w:tc>
        <w:tc>
          <w:tcPr>
            <w:tcW w:w="1875" w:type="dxa"/>
            <w:gridSpan w:val="3"/>
            <w:tcBorders>
              <w:start w:val="single" w:sz="2" w:space="0" w:color="000000"/>
            </w:tcBorders>
            <w:shd w:fill="auto" w:val="clear"/>
            <w:tcMar>
              <w:start w:w="42" w:type="dxa"/>
            </w:tcMar>
          </w:tcPr>
          <w:p>
            <w:pPr>
              <w:pStyle w:val="Normal"/>
              <w:rPr/>
            </w:pPr>
            <w:r>
              <w:rPr/>
              <w:t xml:space="preserve">Окраска влагостойкими красками </w:t>
            </w:r>
          </w:p>
          <w:p>
            <w:pPr>
              <w:pStyle w:val="Normal"/>
              <w:rPr/>
            </w:pPr>
            <w:r>
              <w:rPr/>
            </w:r>
          </w:p>
        </w:tc>
        <w:tc>
          <w:tcPr>
            <w:tcW w:w="1550" w:type="dxa"/>
            <w:gridSpan w:val="2"/>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Керамическая плитка </w:t>
            </w:r>
          </w:p>
          <w:p>
            <w:pPr>
              <w:pStyle w:val="Normal"/>
              <w:rPr/>
            </w:pPr>
            <w:r>
              <w:rPr/>
            </w:r>
          </w:p>
        </w:tc>
      </w:tr>
      <w:tr>
        <w:trPr/>
        <w:tc>
          <w:tcPr>
            <w:tcW w:w="450" w:type="dxa"/>
            <w:tcBorders>
              <w:start w:val="single" w:sz="2" w:space="0" w:color="000000"/>
            </w:tcBorders>
            <w:shd w:fill="auto" w:val="clear"/>
            <w:tcMar>
              <w:start w:w="42" w:type="dxa"/>
            </w:tcMar>
          </w:tcPr>
          <w:p>
            <w:pPr>
              <w:pStyle w:val="Normal"/>
              <w:jc w:val="center"/>
              <w:rPr/>
            </w:pPr>
            <w:r>
              <w:rPr/>
              <w:t xml:space="preserve">3 </w:t>
            </w:r>
          </w:p>
          <w:p>
            <w:pPr>
              <w:pStyle w:val="Normal"/>
              <w:jc w:val="center"/>
              <w:rPr/>
            </w:pPr>
            <w:r>
              <w:rPr/>
            </w:r>
          </w:p>
        </w:tc>
        <w:tc>
          <w:tcPr>
            <w:tcW w:w="2250" w:type="dxa"/>
            <w:tcBorders>
              <w:start w:val="single" w:sz="2" w:space="0" w:color="000000"/>
            </w:tcBorders>
            <w:shd w:fill="auto" w:val="clear"/>
            <w:tcMar>
              <w:start w:w="42" w:type="dxa"/>
            </w:tcMar>
          </w:tcPr>
          <w:p>
            <w:pPr>
              <w:pStyle w:val="Normal"/>
              <w:jc w:val="both"/>
              <w:rPr/>
            </w:pPr>
            <w:r>
              <w:rPr/>
              <w:t xml:space="preserve">Склады сухих реагентов </w:t>
            </w:r>
          </w:p>
          <w:p>
            <w:pPr>
              <w:pStyle w:val="Normal"/>
              <w:jc w:val="both"/>
              <w:rPr/>
            </w:pPr>
            <w:r>
              <w:rPr/>
            </w:r>
          </w:p>
        </w:tc>
        <w:tc>
          <w:tcPr>
            <w:tcW w:w="4080" w:type="dxa"/>
            <w:gridSpan w:val="2"/>
            <w:tcBorders>
              <w:start w:val="single" w:sz="2" w:space="0" w:color="000000"/>
            </w:tcBorders>
            <w:shd w:fill="auto" w:val="clear"/>
            <w:tcMar>
              <w:start w:w="42" w:type="dxa"/>
            </w:tcMar>
          </w:tcPr>
          <w:p>
            <w:pPr>
              <w:pStyle w:val="Normal"/>
              <w:rPr/>
            </w:pPr>
            <w:r>
              <w:rPr/>
              <w:t xml:space="preserve">Расшивка швов панельных стен. Кладка кирпичных стен с подрезкой швов. Известковая побелка </w:t>
            </w:r>
          </w:p>
          <w:p>
            <w:pPr>
              <w:pStyle w:val="Normal"/>
              <w:rPr/>
            </w:pPr>
            <w:r>
              <w:rPr/>
            </w:r>
          </w:p>
        </w:tc>
        <w:tc>
          <w:tcPr>
            <w:tcW w:w="1875" w:type="dxa"/>
            <w:gridSpan w:val="3"/>
            <w:tcBorders>
              <w:start w:val="single" w:sz="2" w:space="0" w:color="000000"/>
            </w:tcBorders>
            <w:shd w:fill="auto" w:val="clear"/>
            <w:tcMar>
              <w:start w:w="42" w:type="dxa"/>
            </w:tcMar>
          </w:tcPr>
          <w:p>
            <w:pPr>
              <w:pStyle w:val="Normal"/>
              <w:rPr/>
            </w:pPr>
            <w:r>
              <w:rPr/>
              <w:t xml:space="preserve">Известковая побелка </w:t>
            </w:r>
          </w:p>
          <w:p>
            <w:pPr>
              <w:pStyle w:val="Normal"/>
              <w:rPr/>
            </w:pPr>
            <w:r>
              <w:rPr/>
            </w:r>
          </w:p>
        </w:tc>
        <w:tc>
          <w:tcPr>
            <w:tcW w:w="1550" w:type="dxa"/>
            <w:gridSpan w:val="2"/>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Цементные </w:t>
            </w:r>
          </w:p>
          <w:p>
            <w:pPr>
              <w:pStyle w:val="Normal"/>
              <w:rPr/>
            </w:pPr>
            <w:r>
              <w:rPr/>
            </w:r>
          </w:p>
        </w:tc>
      </w:tr>
      <w:tr>
        <w:trPr/>
        <w:tc>
          <w:tcPr>
            <w:tcW w:w="450" w:type="dxa"/>
            <w:tcBorders>
              <w:start w:val="single" w:sz="2" w:space="0" w:color="000000"/>
            </w:tcBorders>
            <w:shd w:fill="auto" w:val="clear"/>
            <w:tcMar>
              <w:start w:w="42" w:type="dxa"/>
            </w:tcMar>
          </w:tcPr>
          <w:p>
            <w:pPr>
              <w:pStyle w:val="Normal"/>
              <w:jc w:val="center"/>
              <w:rPr/>
            </w:pPr>
            <w:r>
              <w:rPr/>
              <w:t xml:space="preserve">4 </w:t>
            </w:r>
          </w:p>
          <w:p>
            <w:pPr>
              <w:pStyle w:val="Normal"/>
              <w:jc w:val="center"/>
              <w:rPr/>
            </w:pPr>
            <w:r>
              <w:rPr/>
            </w:r>
          </w:p>
        </w:tc>
        <w:tc>
          <w:tcPr>
            <w:tcW w:w="2250" w:type="dxa"/>
            <w:tcBorders>
              <w:start w:val="single" w:sz="2" w:space="0" w:color="000000"/>
            </w:tcBorders>
            <w:shd w:fill="auto" w:val="clear"/>
            <w:tcMar>
              <w:start w:w="42" w:type="dxa"/>
            </w:tcMar>
          </w:tcPr>
          <w:p>
            <w:pPr>
              <w:pStyle w:val="Normal"/>
              <w:jc w:val="both"/>
              <w:rPr/>
            </w:pPr>
            <w:r>
              <w:rPr/>
              <w:t xml:space="preserve">Хлордозаторная </w:t>
            </w:r>
          </w:p>
          <w:p>
            <w:pPr>
              <w:pStyle w:val="Normal"/>
              <w:jc w:val="both"/>
              <w:rPr/>
            </w:pPr>
            <w:r>
              <w:rPr/>
            </w:r>
          </w:p>
        </w:tc>
        <w:tc>
          <w:tcPr>
            <w:tcW w:w="4080" w:type="dxa"/>
            <w:gridSpan w:val="2"/>
            <w:tcBorders>
              <w:start w:val="single" w:sz="2" w:space="0" w:color="000000"/>
            </w:tcBorders>
            <w:shd w:fill="auto" w:val="clear"/>
            <w:tcMar>
              <w:start w:w="42" w:type="dxa"/>
            </w:tcMar>
          </w:tcPr>
          <w:p>
            <w:pPr>
              <w:pStyle w:val="Normal"/>
              <w:rPr/>
            </w:pPr>
            <w:r>
              <w:rPr/>
              <w:t xml:space="preserve">Расшивка швов панельных стен. Штукатурка кирпичных стен. Облицовка глазурованной плиткой на высоту 2 м, выше  - окраска в три слоя горячим парафином или перхлорвиниловыми эмалями </w:t>
            </w:r>
          </w:p>
          <w:p>
            <w:pPr>
              <w:pStyle w:val="Normal"/>
              <w:rPr/>
            </w:pPr>
            <w:r>
              <w:rPr/>
            </w:r>
          </w:p>
        </w:tc>
        <w:tc>
          <w:tcPr>
            <w:tcW w:w="1875" w:type="dxa"/>
            <w:gridSpan w:val="3"/>
            <w:tcBorders>
              <w:start w:val="single" w:sz="2" w:space="0" w:color="000000"/>
            </w:tcBorders>
            <w:shd w:fill="auto" w:val="clear"/>
            <w:tcMar>
              <w:start w:w="42" w:type="dxa"/>
            </w:tcMar>
          </w:tcPr>
          <w:p>
            <w:pPr>
              <w:pStyle w:val="Normal"/>
              <w:rPr/>
            </w:pPr>
            <w:r>
              <w:rPr/>
              <w:t xml:space="preserve">Окраска в три слоя горячим парафином или перхлорвиниловыми эмалями </w:t>
            </w:r>
          </w:p>
          <w:p>
            <w:pPr>
              <w:pStyle w:val="Normal"/>
              <w:rPr/>
            </w:pPr>
            <w:r>
              <w:rPr/>
            </w:r>
          </w:p>
        </w:tc>
        <w:tc>
          <w:tcPr>
            <w:tcW w:w="1550" w:type="dxa"/>
            <w:gridSpan w:val="2"/>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Керамическая кислотоупорная плитка, кислотостойкий асфальт или кислотоупорные бетонные плитки </w:t>
            </w:r>
          </w:p>
          <w:p>
            <w:pPr>
              <w:pStyle w:val="Normal"/>
              <w:rPr/>
            </w:pPr>
            <w:r>
              <w:rPr/>
            </w:r>
          </w:p>
        </w:tc>
      </w:tr>
      <w:tr>
        <w:trPr/>
        <w:tc>
          <w:tcPr>
            <w:tcW w:w="450" w:type="dxa"/>
            <w:tcBorders>
              <w:start w:val="single" w:sz="2" w:space="0" w:color="000000"/>
            </w:tcBorders>
            <w:shd w:fill="auto" w:val="clear"/>
            <w:tcMar>
              <w:start w:w="42" w:type="dxa"/>
            </w:tcMar>
          </w:tcPr>
          <w:p>
            <w:pPr>
              <w:pStyle w:val="Normal"/>
              <w:jc w:val="center"/>
              <w:rPr/>
            </w:pPr>
            <w:r>
              <w:rPr/>
              <w:t xml:space="preserve">5 </w:t>
            </w:r>
          </w:p>
          <w:p>
            <w:pPr>
              <w:pStyle w:val="Normal"/>
              <w:jc w:val="center"/>
              <w:rPr/>
            </w:pPr>
            <w:r>
              <w:rPr/>
            </w:r>
          </w:p>
        </w:tc>
        <w:tc>
          <w:tcPr>
            <w:tcW w:w="2250" w:type="dxa"/>
            <w:tcBorders>
              <w:start w:val="single" w:sz="2" w:space="0" w:color="000000"/>
            </w:tcBorders>
            <w:shd w:fill="auto" w:val="clear"/>
            <w:tcMar>
              <w:start w:w="42" w:type="dxa"/>
            </w:tcMar>
          </w:tcPr>
          <w:p>
            <w:pPr>
              <w:pStyle w:val="Normal"/>
              <w:jc w:val="both"/>
              <w:rPr/>
            </w:pPr>
            <w:r>
              <w:rPr/>
              <w:t xml:space="preserve">Склад хлора </w:t>
            </w:r>
          </w:p>
          <w:p>
            <w:pPr>
              <w:pStyle w:val="Normal"/>
              <w:jc w:val="both"/>
              <w:rPr/>
            </w:pPr>
            <w:r>
              <w:rPr/>
            </w:r>
          </w:p>
        </w:tc>
        <w:tc>
          <w:tcPr>
            <w:tcW w:w="4080" w:type="dxa"/>
            <w:gridSpan w:val="2"/>
            <w:tcBorders>
              <w:start w:val="single" w:sz="2" w:space="0" w:color="000000"/>
            </w:tcBorders>
            <w:shd w:fill="auto" w:val="clear"/>
            <w:tcMar>
              <w:start w:w="42" w:type="dxa"/>
            </w:tcMar>
          </w:tcPr>
          <w:p>
            <w:pPr>
              <w:pStyle w:val="Normal"/>
              <w:rPr/>
            </w:pPr>
            <w:r>
              <w:rPr/>
              <w:t xml:space="preserve">Расшивка швов панельных стен. Штукатурка кирпичных стен. Сопряжения стен с полом и потолком закругленные. Окраска в три слоя горячим парафином или перхлорвиниловыми эмалями </w:t>
            </w:r>
          </w:p>
          <w:p>
            <w:pPr>
              <w:pStyle w:val="Normal"/>
              <w:rPr/>
            </w:pPr>
            <w:r>
              <w:rPr/>
            </w:r>
          </w:p>
        </w:tc>
        <w:tc>
          <w:tcPr>
            <w:tcW w:w="1875" w:type="dxa"/>
            <w:gridSpan w:val="3"/>
            <w:tcBorders>
              <w:start w:val="single" w:sz="2" w:space="0" w:color="000000"/>
            </w:tcBorders>
            <w:shd w:fill="auto" w:val="clear"/>
            <w:tcMar>
              <w:start w:w="42" w:type="dxa"/>
            </w:tcMar>
          </w:tcPr>
          <w:p>
            <w:pPr>
              <w:pStyle w:val="Normal"/>
              <w:rPr/>
            </w:pPr>
            <w:r>
              <w:rPr/>
              <w:t xml:space="preserve">Окраска в три слоя горячим парафином или перхлорвиниловыми эмалями </w:t>
            </w:r>
          </w:p>
          <w:p>
            <w:pPr>
              <w:pStyle w:val="Normal"/>
              <w:rPr/>
            </w:pPr>
            <w:r>
              <w:rPr/>
            </w:r>
          </w:p>
        </w:tc>
        <w:tc>
          <w:tcPr>
            <w:tcW w:w="1550" w:type="dxa"/>
            <w:gridSpan w:val="2"/>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Кислотостойкий асфальт с гладкой поверхностью или кислотоупорные бетонные плитки </w:t>
            </w:r>
          </w:p>
          <w:p>
            <w:pPr>
              <w:pStyle w:val="Normal"/>
              <w:rPr/>
            </w:pPr>
            <w:r>
              <w:rPr/>
            </w:r>
          </w:p>
        </w:tc>
      </w:tr>
      <w:tr>
        <w:trPr/>
        <w:tc>
          <w:tcPr>
            <w:tcW w:w="450" w:type="dxa"/>
            <w:tcBorders>
              <w:start w:val="single" w:sz="2" w:space="0" w:color="000000"/>
            </w:tcBorders>
            <w:shd w:fill="auto" w:val="clear"/>
            <w:tcMar>
              <w:start w:w="42" w:type="dxa"/>
            </w:tcMar>
          </w:tcPr>
          <w:p>
            <w:pPr>
              <w:pStyle w:val="Normal"/>
              <w:jc w:val="center"/>
              <w:rPr/>
            </w:pPr>
            <w:r>
              <w:rPr/>
              <w:t xml:space="preserve">6 </w:t>
            </w:r>
          </w:p>
          <w:p>
            <w:pPr>
              <w:pStyle w:val="Normal"/>
              <w:jc w:val="center"/>
              <w:rPr/>
            </w:pPr>
            <w:r>
              <w:rPr/>
            </w:r>
          </w:p>
        </w:tc>
        <w:tc>
          <w:tcPr>
            <w:tcW w:w="2250" w:type="dxa"/>
            <w:tcBorders>
              <w:start w:val="single" w:sz="2" w:space="0" w:color="000000"/>
            </w:tcBorders>
            <w:shd w:fill="auto" w:val="clear"/>
            <w:tcMar>
              <w:start w:w="42" w:type="dxa"/>
            </w:tcMar>
          </w:tcPr>
          <w:p>
            <w:pPr>
              <w:pStyle w:val="Normal"/>
              <w:jc w:val="both"/>
              <w:rPr/>
            </w:pPr>
            <w:r>
              <w:rPr/>
              <w:t xml:space="preserve">Воздуходувная станция -  машинный зал </w:t>
            </w:r>
          </w:p>
          <w:p>
            <w:pPr>
              <w:pStyle w:val="Normal"/>
              <w:jc w:val="both"/>
              <w:rPr/>
            </w:pPr>
            <w:r>
              <w:rPr/>
            </w:r>
          </w:p>
        </w:tc>
        <w:tc>
          <w:tcPr>
            <w:tcW w:w="4080" w:type="dxa"/>
            <w:gridSpan w:val="2"/>
            <w:tcBorders>
              <w:start w:val="single" w:sz="2" w:space="0" w:color="000000"/>
            </w:tcBorders>
            <w:shd w:fill="auto" w:val="clear"/>
            <w:tcMar>
              <w:start w:w="42" w:type="dxa"/>
            </w:tcMar>
          </w:tcPr>
          <w:p>
            <w:pPr>
              <w:pStyle w:val="Normal"/>
              <w:rPr/>
            </w:pPr>
            <w:r>
              <w:rPr/>
              <w:t xml:space="preserve">Расшивка швов панельных стен. Штукатурка швов панельных стен. Окраска водоэмульсионными красками на высоту 1,5 м, выше - клеевыми красками </w:t>
            </w:r>
          </w:p>
          <w:p>
            <w:pPr>
              <w:pStyle w:val="Normal"/>
              <w:rPr/>
            </w:pPr>
            <w:r>
              <w:rPr/>
            </w:r>
          </w:p>
        </w:tc>
        <w:tc>
          <w:tcPr>
            <w:tcW w:w="1875" w:type="dxa"/>
            <w:gridSpan w:val="3"/>
            <w:tcBorders>
              <w:start w:val="single" w:sz="2" w:space="0" w:color="000000"/>
            </w:tcBorders>
            <w:shd w:fill="auto" w:val="clear"/>
            <w:tcMar>
              <w:start w:w="42" w:type="dxa"/>
            </w:tcMar>
          </w:tcPr>
          <w:p>
            <w:pPr>
              <w:pStyle w:val="Normal"/>
              <w:rPr/>
            </w:pPr>
            <w:r>
              <w:rPr/>
              <w:t xml:space="preserve">Клеевая побелка </w:t>
            </w:r>
          </w:p>
          <w:p>
            <w:pPr>
              <w:pStyle w:val="Normal"/>
              <w:rPr/>
            </w:pPr>
            <w:r>
              <w:rPr/>
            </w:r>
          </w:p>
        </w:tc>
        <w:tc>
          <w:tcPr>
            <w:tcW w:w="1550" w:type="dxa"/>
            <w:gridSpan w:val="2"/>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Керамическая плитка. На монтажной площадке -  бетонные </w:t>
            </w:r>
          </w:p>
          <w:p>
            <w:pPr>
              <w:pStyle w:val="Normal"/>
              <w:rPr/>
            </w:pPr>
            <w:r>
              <w:rPr/>
            </w:r>
          </w:p>
        </w:tc>
      </w:tr>
      <w:tr>
        <w:trPr/>
        <w:tc>
          <w:tcPr>
            <w:tcW w:w="450" w:type="dxa"/>
            <w:tcBorders>
              <w:start w:val="single" w:sz="2" w:space="0" w:color="000000"/>
            </w:tcBorders>
            <w:shd w:fill="auto" w:val="clear"/>
            <w:tcMar>
              <w:start w:w="42" w:type="dxa"/>
            </w:tcMar>
          </w:tcPr>
          <w:p>
            <w:pPr>
              <w:pStyle w:val="Normal"/>
              <w:jc w:val="center"/>
              <w:rPr/>
            </w:pPr>
            <w:r>
              <w:rPr/>
              <w:t xml:space="preserve">7 </w:t>
            </w:r>
          </w:p>
          <w:p>
            <w:pPr>
              <w:pStyle w:val="Normal"/>
              <w:jc w:val="center"/>
              <w:rPr/>
            </w:pPr>
            <w:r>
              <w:rPr/>
            </w:r>
          </w:p>
        </w:tc>
        <w:tc>
          <w:tcPr>
            <w:tcW w:w="2250" w:type="dxa"/>
            <w:tcBorders>
              <w:start w:val="single" w:sz="2" w:space="0" w:color="000000"/>
            </w:tcBorders>
            <w:shd w:fill="auto" w:val="clear"/>
            <w:tcMar>
              <w:start w:w="42" w:type="dxa"/>
            </w:tcMar>
          </w:tcPr>
          <w:p>
            <w:pPr>
              <w:pStyle w:val="Normal"/>
              <w:jc w:val="both"/>
              <w:rPr/>
            </w:pPr>
            <w:r>
              <w:rPr/>
              <w:t xml:space="preserve">Зал фильтров, осветлителей, контактных осветлителей </w:t>
            </w:r>
          </w:p>
          <w:p>
            <w:pPr>
              <w:pStyle w:val="Normal"/>
              <w:jc w:val="both"/>
              <w:rPr/>
            </w:pPr>
            <w:r>
              <w:rPr/>
            </w:r>
          </w:p>
        </w:tc>
        <w:tc>
          <w:tcPr>
            <w:tcW w:w="4080" w:type="dxa"/>
            <w:gridSpan w:val="2"/>
            <w:tcBorders>
              <w:start w:val="single" w:sz="2" w:space="0" w:color="000000"/>
            </w:tcBorders>
            <w:shd w:fill="auto" w:val="clear"/>
            <w:tcMar>
              <w:start w:w="42" w:type="dxa"/>
            </w:tcMar>
          </w:tcPr>
          <w:p>
            <w:pPr>
              <w:pStyle w:val="Normal"/>
              <w:rPr/>
            </w:pPr>
            <w:r>
              <w:rPr/>
              <w:t xml:space="preserve">Расшивка швов панельных стен. Штукатурка кирпичных стен. Облицовка глазурованной плиткой на высоту 1,5 м от пола площадок обслуживания фильтров и осветлителей стен, к которым эти площадки примыкают, окраска выше - влагостойкими красками. Облицовка стен фильтров и контактных осветлителей изнутри глазурованной плиткой от верха до уровня на 15 см ниже кромки желобов </w:t>
            </w:r>
          </w:p>
          <w:p>
            <w:pPr>
              <w:pStyle w:val="Normal"/>
              <w:rPr/>
            </w:pPr>
            <w:r>
              <w:rPr/>
            </w:r>
          </w:p>
        </w:tc>
        <w:tc>
          <w:tcPr>
            <w:tcW w:w="1875" w:type="dxa"/>
            <w:gridSpan w:val="3"/>
            <w:tcBorders>
              <w:start w:val="single" w:sz="2" w:space="0" w:color="000000"/>
            </w:tcBorders>
            <w:shd w:fill="auto" w:val="clear"/>
            <w:tcMar>
              <w:start w:w="42" w:type="dxa"/>
            </w:tcMar>
          </w:tcPr>
          <w:p>
            <w:pPr>
              <w:pStyle w:val="Normal"/>
              <w:rPr/>
            </w:pPr>
            <w:r>
              <w:rPr/>
              <w:t xml:space="preserve">Окраска влагостойкими красками </w:t>
            </w:r>
          </w:p>
          <w:p>
            <w:pPr>
              <w:pStyle w:val="Normal"/>
              <w:rPr/>
            </w:pPr>
            <w:r>
              <w:rPr/>
            </w:r>
          </w:p>
        </w:tc>
        <w:tc>
          <w:tcPr>
            <w:tcW w:w="1550" w:type="dxa"/>
            <w:gridSpan w:val="2"/>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Керамическая плитка на железобетонных площадках обслуживания. Остальные полы  бетонные мозаичные </w:t>
            </w:r>
          </w:p>
          <w:p>
            <w:pPr>
              <w:pStyle w:val="Normal"/>
              <w:rPr/>
            </w:pPr>
            <w:r>
              <w:rPr/>
            </w:r>
          </w:p>
        </w:tc>
      </w:tr>
      <w:tr>
        <w:trPr/>
        <w:tc>
          <w:tcPr>
            <w:tcW w:w="450" w:type="dxa"/>
            <w:tcBorders>
              <w:start w:val="single" w:sz="2" w:space="0" w:color="000000"/>
            </w:tcBorders>
            <w:shd w:fill="auto" w:val="clear"/>
            <w:tcMar>
              <w:start w:w="42" w:type="dxa"/>
            </w:tcMar>
          </w:tcPr>
          <w:p>
            <w:pPr>
              <w:pStyle w:val="Normal"/>
              <w:jc w:val="center"/>
              <w:rPr/>
            </w:pPr>
            <w:r>
              <w:rPr/>
              <w:t xml:space="preserve">8 </w:t>
            </w:r>
          </w:p>
          <w:p>
            <w:pPr>
              <w:pStyle w:val="Normal"/>
              <w:jc w:val="center"/>
              <w:rPr/>
            </w:pPr>
            <w:r>
              <w:rPr/>
            </w:r>
          </w:p>
        </w:tc>
        <w:tc>
          <w:tcPr>
            <w:tcW w:w="2250" w:type="dxa"/>
            <w:tcBorders>
              <w:start w:val="single" w:sz="2" w:space="0" w:color="000000"/>
            </w:tcBorders>
            <w:shd w:fill="auto" w:val="clear"/>
            <w:tcMar>
              <w:start w:w="42" w:type="dxa"/>
            </w:tcMar>
          </w:tcPr>
          <w:p>
            <w:pPr>
              <w:pStyle w:val="Normal"/>
              <w:jc w:val="both"/>
              <w:rPr/>
            </w:pPr>
            <w:r>
              <w:rPr/>
              <w:t xml:space="preserve">Насосная станция - машинный зал </w:t>
            </w:r>
          </w:p>
          <w:p>
            <w:pPr>
              <w:pStyle w:val="Normal"/>
              <w:jc w:val="both"/>
              <w:rPr/>
            </w:pPr>
            <w:r>
              <w:rPr/>
            </w:r>
          </w:p>
        </w:tc>
        <w:tc>
          <w:tcPr>
            <w:tcW w:w="4080" w:type="dxa"/>
            <w:gridSpan w:val="2"/>
            <w:tcBorders>
              <w:start w:val="single" w:sz="2" w:space="0" w:color="000000"/>
            </w:tcBorders>
            <w:shd w:fill="auto" w:val="clear"/>
            <w:tcMar>
              <w:start w:w="42" w:type="dxa"/>
            </w:tcMar>
          </w:tcPr>
          <w:p>
            <w:pPr>
              <w:pStyle w:val="Normal"/>
              <w:rPr/>
            </w:pPr>
            <w:r>
              <w:rPr/>
              <w:t xml:space="preserve">Бетонирование стен подземной части в чистой опалубке и затирка раствором. Расшивка швов панельных стен. Штукатурка кирпичных стен. Окраска влагостойкими красками на высоту 1,5 м от пола, балконов и монтажной площадки, выше - клеевыми красками </w:t>
            </w:r>
          </w:p>
          <w:p>
            <w:pPr>
              <w:pStyle w:val="Normal"/>
              <w:rPr/>
            </w:pPr>
            <w:r>
              <w:rPr/>
            </w:r>
          </w:p>
        </w:tc>
        <w:tc>
          <w:tcPr>
            <w:tcW w:w="1875" w:type="dxa"/>
            <w:gridSpan w:val="3"/>
            <w:tcBorders>
              <w:start w:val="single" w:sz="2" w:space="0" w:color="000000"/>
            </w:tcBorders>
            <w:shd w:fill="auto" w:val="clear"/>
            <w:tcMar>
              <w:start w:w="42" w:type="dxa"/>
            </w:tcMar>
          </w:tcPr>
          <w:p>
            <w:pPr>
              <w:pStyle w:val="Normal"/>
              <w:rPr/>
            </w:pPr>
            <w:r>
              <w:rPr/>
              <w:t xml:space="preserve">Клеевая побелка </w:t>
            </w:r>
          </w:p>
          <w:p>
            <w:pPr>
              <w:pStyle w:val="Normal"/>
              <w:rPr/>
            </w:pPr>
            <w:r>
              <w:rPr/>
            </w:r>
          </w:p>
        </w:tc>
        <w:tc>
          <w:tcPr>
            <w:tcW w:w="1550" w:type="dxa"/>
            <w:gridSpan w:val="2"/>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Керамическая плитка. На монтажной площадке -  бетонные </w:t>
            </w:r>
          </w:p>
          <w:p>
            <w:pPr>
              <w:pStyle w:val="Normal"/>
              <w:rPr/>
            </w:pPr>
            <w:r>
              <w:rPr/>
            </w:r>
          </w:p>
        </w:tc>
      </w:tr>
      <w:tr>
        <w:trPr/>
        <w:tc>
          <w:tcPr>
            <w:tcW w:w="450" w:type="dxa"/>
            <w:tcBorders>
              <w:start w:val="single" w:sz="2" w:space="0" w:color="000000"/>
            </w:tcBorders>
            <w:shd w:fill="auto" w:val="clear"/>
            <w:tcMar>
              <w:start w:w="42" w:type="dxa"/>
            </w:tcMar>
          </w:tcPr>
          <w:p>
            <w:pPr>
              <w:pStyle w:val="Normal"/>
              <w:jc w:val="center"/>
              <w:rPr/>
            </w:pPr>
            <w:r>
              <w:rPr/>
              <w:t xml:space="preserve">9 </w:t>
            </w:r>
          </w:p>
          <w:p>
            <w:pPr>
              <w:pStyle w:val="Normal"/>
              <w:jc w:val="center"/>
              <w:rPr/>
            </w:pPr>
            <w:r>
              <w:rPr/>
            </w:r>
          </w:p>
        </w:tc>
        <w:tc>
          <w:tcPr>
            <w:tcW w:w="2250" w:type="dxa"/>
            <w:tcBorders>
              <w:start w:val="single" w:sz="2" w:space="0" w:color="000000"/>
            </w:tcBorders>
            <w:shd w:fill="auto" w:val="clear"/>
            <w:tcMar>
              <w:start w:w="42" w:type="dxa"/>
            </w:tcMar>
          </w:tcPr>
          <w:p>
            <w:pPr>
              <w:pStyle w:val="Normal"/>
              <w:jc w:val="both"/>
              <w:rPr/>
            </w:pPr>
            <w:r>
              <w:rPr/>
              <w:t xml:space="preserve">Галереи коммуникаций и обслуживания </w:t>
            </w:r>
          </w:p>
          <w:p>
            <w:pPr>
              <w:pStyle w:val="Normal"/>
              <w:jc w:val="both"/>
              <w:rPr/>
            </w:pPr>
            <w:r>
              <w:rPr/>
            </w:r>
          </w:p>
        </w:tc>
        <w:tc>
          <w:tcPr>
            <w:tcW w:w="4080" w:type="dxa"/>
            <w:gridSpan w:val="2"/>
            <w:tcBorders>
              <w:start w:val="single" w:sz="2" w:space="0" w:color="000000"/>
            </w:tcBorders>
            <w:shd w:fill="auto" w:val="clear"/>
            <w:tcMar>
              <w:start w:w="42" w:type="dxa"/>
            </w:tcMar>
          </w:tcPr>
          <w:p>
            <w:pPr>
              <w:pStyle w:val="Normal"/>
              <w:rPr/>
            </w:pPr>
            <w:r>
              <w:rPr/>
              <w:t xml:space="preserve">Расшивка швов кирпичных или панельных стен. Окраска клеевыми красками </w:t>
            </w:r>
          </w:p>
          <w:p>
            <w:pPr>
              <w:pStyle w:val="Normal"/>
              <w:rPr/>
            </w:pPr>
            <w:r>
              <w:rPr/>
            </w:r>
          </w:p>
        </w:tc>
        <w:tc>
          <w:tcPr>
            <w:tcW w:w="1875" w:type="dxa"/>
            <w:gridSpan w:val="3"/>
            <w:tcBorders>
              <w:start w:val="single" w:sz="2" w:space="0" w:color="000000"/>
            </w:tcBorders>
            <w:shd w:fill="auto" w:val="clear"/>
            <w:tcMar>
              <w:start w:w="42" w:type="dxa"/>
            </w:tcMar>
          </w:tcPr>
          <w:p>
            <w:pPr>
              <w:pStyle w:val="Normal"/>
              <w:rPr/>
            </w:pPr>
            <w:r>
              <w:rPr/>
              <w:t xml:space="preserve">Клеевая побелка </w:t>
            </w:r>
          </w:p>
          <w:p>
            <w:pPr>
              <w:pStyle w:val="Normal"/>
              <w:rPr/>
            </w:pPr>
            <w:r>
              <w:rPr/>
            </w:r>
          </w:p>
        </w:tc>
        <w:tc>
          <w:tcPr>
            <w:tcW w:w="1550" w:type="dxa"/>
            <w:gridSpan w:val="2"/>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Цементные </w:t>
            </w:r>
          </w:p>
          <w:p>
            <w:pPr>
              <w:pStyle w:val="Normal"/>
              <w:rPr/>
            </w:pPr>
            <w:r>
              <w:rPr/>
            </w:r>
          </w:p>
        </w:tc>
      </w:tr>
      <w:tr>
        <w:trPr/>
        <w:tc>
          <w:tcPr>
            <w:tcW w:w="450"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2250" w:type="dxa"/>
            <w:tcBorders>
              <w:start w:val="single" w:sz="2" w:space="0" w:color="000000"/>
            </w:tcBorders>
            <w:shd w:fill="auto" w:val="clear"/>
            <w:tcMar>
              <w:start w:w="42" w:type="dxa"/>
            </w:tcMar>
          </w:tcPr>
          <w:p>
            <w:pPr>
              <w:pStyle w:val="Normal"/>
              <w:rPr/>
            </w:pPr>
            <w:r>
              <w:rPr/>
              <w:t xml:space="preserve">  </w:t>
            </w:r>
          </w:p>
          <w:p>
            <w:pPr>
              <w:pStyle w:val="Normal"/>
              <w:rPr/>
            </w:pPr>
            <w:r>
              <w:rPr/>
            </w:r>
          </w:p>
        </w:tc>
        <w:tc>
          <w:tcPr>
            <w:tcW w:w="5955" w:type="dxa"/>
            <w:gridSpan w:val="5"/>
            <w:tcBorders>
              <w:start w:val="single" w:sz="2" w:space="0" w:color="000000"/>
            </w:tcBorders>
            <w:shd w:fill="auto" w:val="clear"/>
            <w:tcMar>
              <w:start w:w="42" w:type="dxa"/>
            </w:tcMar>
          </w:tcPr>
          <w:p>
            <w:pPr>
              <w:pStyle w:val="Normal"/>
              <w:jc w:val="center"/>
              <w:rPr/>
            </w:pPr>
            <w:r>
              <w:rPr/>
              <w:t xml:space="preserve">Помещения электротехнического оборудования </w:t>
            </w:r>
          </w:p>
          <w:p>
            <w:pPr>
              <w:pStyle w:val="Normal"/>
              <w:jc w:val="center"/>
              <w:rPr/>
            </w:pPr>
            <w:r>
              <w:rPr/>
            </w:r>
          </w:p>
        </w:tc>
        <w:tc>
          <w:tcPr>
            <w:tcW w:w="1550" w:type="dxa"/>
            <w:gridSpan w:val="2"/>
            <w:tcBorders>
              <w:start w:val="single" w:sz="2" w:space="0" w:color="000000"/>
              <w:end w:val="single" w:sz="2" w:space="0" w:color="000000"/>
              <w:insideV w:val="single" w:sz="2" w:space="0" w:color="000000"/>
            </w:tcBorders>
            <w:shd w:fill="auto" w:val="clear"/>
            <w:tcMar>
              <w:start w:w="42" w:type="dxa"/>
            </w:tcMar>
          </w:tcPr>
          <w:p>
            <w:pPr>
              <w:pStyle w:val="Normal"/>
              <w:rPr/>
            </w:pPr>
            <w:r>
              <w:rPr/>
              <w:t xml:space="preserve">  </w:t>
            </w:r>
          </w:p>
          <w:p>
            <w:pPr>
              <w:pStyle w:val="Normal"/>
              <w:rPr/>
            </w:pPr>
            <w:r>
              <w:rPr/>
            </w:r>
          </w:p>
        </w:tc>
      </w:tr>
      <w:tr>
        <w:trPr/>
        <w:tc>
          <w:tcPr>
            <w:tcW w:w="450" w:type="dxa"/>
            <w:tcBorders>
              <w:start w:val="single" w:sz="2" w:space="0" w:color="000000"/>
            </w:tcBorders>
            <w:shd w:fill="auto" w:val="clear"/>
            <w:tcMar>
              <w:start w:w="42" w:type="dxa"/>
            </w:tcMar>
          </w:tcPr>
          <w:p>
            <w:pPr>
              <w:pStyle w:val="Normal"/>
              <w:jc w:val="center"/>
              <w:rPr/>
            </w:pPr>
            <w:r>
              <w:rPr/>
              <w:t xml:space="preserve">10 </w:t>
            </w:r>
          </w:p>
          <w:p>
            <w:pPr>
              <w:pStyle w:val="Normal"/>
              <w:jc w:val="center"/>
              <w:rPr/>
            </w:pPr>
            <w:r>
              <w:rPr/>
            </w:r>
          </w:p>
        </w:tc>
        <w:tc>
          <w:tcPr>
            <w:tcW w:w="2250" w:type="dxa"/>
            <w:tcBorders>
              <w:start w:val="single" w:sz="2" w:space="0" w:color="000000"/>
            </w:tcBorders>
            <w:shd w:fill="auto" w:val="clear"/>
            <w:tcMar>
              <w:start w:w="42" w:type="dxa"/>
            </w:tcMar>
          </w:tcPr>
          <w:p>
            <w:pPr>
              <w:pStyle w:val="Normal"/>
              <w:jc w:val="both"/>
              <w:rPr/>
            </w:pPr>
            <w:r>
              <w:rPr/>
              <w:t xml:space="preserve">Камеры трансформаторов и РУ </w:t>
            </w:r>
          </w:p>
          <w:p>
            <w:pPr>
              <w:pStyle w:val="Normal"/>
              <w:jc w:val="both"/>
              <w:rPr/>
            </w:pPr>
            <w:r>
              <w:rPr/>
            </w:r>
          </w:p>
        </w:tc>
        <w:tc>
          <w:tcPr>
            <w:tcW w:w="4065" w:type="dxa"/>
            <w:tcBorders>
              <w:start w:val="single" w:sz="2" w:space="0" w:color="000000"/>
            </w:tcBorders>
            <w:shd w:fill="auto" w:val="clear"/>
            <w:tcMar>
              <w:start w:w="42" w:type="dxa"/>
            </w:tcMar>
          </w:tcPr>
          <w:p>
            <w:pPr>
              <w:pStyle w:val="Normal"/>
              <w:rPr/>
            </w:pPr>
            <w:r>
              <w:rPr/>
              <w:t xml:space="preserve">Расшивка швов кирпичных или панельных стен. Известковая побелка </w:t>
            </w:r>
          </w:p>
          <w:p>
            <w:pPr>
              <w:pStyle w:val="Normal"/>
              <w:rPr/>
            </w:pPr>
            <w:r>
              <w:rPr/>
            </w:r>
          </w:p>
        </w:tc>
        <w:tc>
          <w:tcPr>
            <w:tcW w:w="1860" w:type="dxa"/>
            <w:gridSpan w:val="3"/>
            <w:tcBorders>
              <w:start w:val="single" w:sz="2" w:space="0" w:color="000000"/>
            </w:tcBorders>
            <w:shd w:fill="auto" w:val="clear"/>
            <w:tcMar>
              <w:start w:w="42" w:type="dxa"/>
            </w:tcMar>
          </w:tcPr>
          <w:p>
            <w:pPr>
              <w:pStyle w:val="Normal"/>
              <w:rPr/>
            </w:pPr>
            <w:r>
              <w:rPr/>
              <w:t xml:space="preserve">Известковая побелка </w:t>
            </w:r>
          </w:p>
          <w:p>
            <w:pPr>
              <w:pStyle w:val="Normal"/>
              <w:rPr/>
            </w:pPr>
            <w:r>
              <w:rPr/>
            </w:r>
          </w:p>
        </w:tc>
        <w:tc>
          <w:tcPr>
            <w:tcW w:w="1550" w:type="dxa"/>
            <w:gridSpan w:val="2"/>
            <w:tcBorders>
              <w:start w:val="single" w:sz="2" w:space="0" w:color="000000"/>
            </w:tcBorders>
            <w:shd w:fill="auto" w:val="clear"/>
            <w:tcMar>
              <w:start w:w="42" w:type="dxa"/>
            </w:tcMar>
          </w:tcPr>
          <w:p>
            <w:pPr>
              <w:pStyle w:val="Normal"/>
              <w:rPr/>
            </w:pPr>
            <w:r>
              <w:rPr/>
              <w:t xml:space="preserve">Цементные с железнением </w:t>
            </w:r>
          </w:p>
          <w:p>
            <w:pPr>
              <w:pStyle w:val="Normal"/>
              <w:rPr/>
            </w:pPr>
            <w:r>
              <w:rPr/>
            </w:r>
          </w:p>
        </w:tc>
        <w:tc>
          <w:tcPr>
            <w:tcW w:w="45" w:type="dxa"/>
            <w:tcBorders>
              <w:start w:val="single" w:sz="2" w:space="0" w:color="000000"/>
            </w:tcBorders>
            <w:shd w:fill="auto" w:val="clear"/>
            <w:tcMar>
              <w:start w:w="-2" w:type="dxa"/>
              <w:end w:w="0" w:type="dxa"/>
            </w:tcMar>
          </w:tcPr>
          <w:p>
            <w:pPr>
              <w:pStyle w:val="Normal"/>
              <w:snapToGrid w:val="false"/>
              <w:rPr/>
            </w:pPr>
            <w:r>
              <w:rPr/>
            </w:r>
          </w:p>
        </w:tc>
      </w:tr>
      <w:tr>
        <w:trPr/>
        <w:tc>
          <w:tcPr>
            <w:tcW w:w="450" w:type="dxa"/>
            <w:tcBorders>
              <w:start w:val="single" w:sz="2" w:space="0" w:color="000000"/>
            </w:tcBorders>
            <w:shd w:fill="auto" w:val="clear"/>
            <w:tcMar>
              <w:start w:w="42" w:type="dxa"/>
            </w:tcMar>
          </w:tcPr>
          <w:p>
            <w:pPr>
              <w:pStyle w:val="Normal"/>
              <w:jc w:val="center"/>
              <w:rPr/>
            </w:pPr>
            <w:r>
              <w:rPr/>
              <w:t xml:space="preserve">11 </w:t>
            </w:r>
          </w:p>
          <w:p>
            <w:pPr>
              <w:pStyle w:val="Normal"/>
              <w:jc w:val="center"/>
              <w:rPr/>
            </w:pPr>
            <w:r>
              <w:rPr/>
            </w:r>
          </w:p>
        </w:tc>
        <w:tc>
          <w:tcPr>
            <w:tcW w:w="2250" w:type="dxa"/>
            <w:tcBorders>
              <w:start w:val="single" w:sz="2" w:space="0" w:color="000000"/>
            </w:tcBorders>
            <w:shd w:fill="auto" w:val="clear"/>
            <w:tcMar>
              <w:start w:w="42" w:type="dxa"/>
            </w:tcMar>
          </w:tcPr>
          <w:p>
            <w:pPr>
              <w:pStyle w:val="Normal"/>
              <w:jc w:val="both"/>
              <w:rPr/>
            </w:pPr>
            <w:r>
              <w:rPr/>
              <w:t xml:space="preserve">КТП, помещения щитов </w:t>
            </w:r>
          </w:p>
          <w:p>
            <w:pPr>
              <w:pStyle w:val="Normal"/>
              <w:jc w:val="both"/>
              <w:rPr/>
            </w:pPr>
            <w:r>
              <w:rPr/>
            </w:r>
          </w:p>
        </w:tc>
        <w:tc>
          <w:tcPr>
            <w:tcW w:w="4065" w:type="dxa"/>
            <w:tcBorders>
              <w:start w:val="single" w:sz="2" w:space="0" w:color="000000"/>
            </w:tcBorders>
            <w:shd w:fill="auto" w:val="clear"/>
            <w:tcMar>
              <w:start w:w="42" w:type="dxa"/>
            </w:tcMar>
          </w:tcPr>
          <w:p>
            <w:pPr>
              <w:pStyle w:val="Normal"/>
              <w:rPr/>
            </w:pPr>
            <w:r>
              <w:rPr/>
              <w:t xml:space="preserve">Штукатурка кирпичных стен. Расшивка швов панельных стен. Окраска клеевыми красками светлых тонов </w:t>
            </w:r>
          </w:p>
          <w:p>
            <w:pPr>
              <w:pStyle w:val="Normal"/>
              <w:rPr/>
            </w:pPr>
            <w:r>
              <w:rPr/>
            </w:r>
          </w:p>
        </w:tc>
        <w:tc>
          <w:tcPr>
            <w:tcW w:w="1860" w:type="dxa"/>
            <w:gridSpan w:val="3"/>
            <w:tcBorders>
              <w:start w:val="single" w:sz="2" w:space="0" w:color="000000"/>
            </w:tcBorders>
            <w:shd w:fill="auto" w:val="clear"/>
            <w:tcMar>
              <w:start w:w="42" w:type="dxa"/>
            </w:tcMar>
          </w:tcPr>
          <w:p>
            <w:pPr>
              <w:pStyle w:val="Normal"/>
              <w:rPr/>
            </w:pPr>
            <w:r>
              <w:rPr/>
              <w:t xml:space="preserve">Клеевая побелка </w:t>
            </w:r>
          </w:p>
          <w:p>
            <w:pPr>
              <w:pStyle w:val="Normal"/>
              <w:rPr/>
            </w:pPr>
            <w:r>
              <w:rPr/>
            </w:r>
          </w:p>
        </w:tc>
        <w:tc>
          <w:tcPr>
            <w:tcW w:w="1550" w:type="dxa"/>
            <w:gridSpan w:val="2"/>
            <w:tcBorders>
              <w:start w:val="single" w:sz="2" w:space="0" w:color="000000"/>
            </w:tcBorders>
            <w:shd w:fill="auto" w:val="clear"/>
            <w:tcMar>
              <w:start w:w="42" w:type="dxa"/>
            </w:tcMar>
          </w:tcPr>
          <w:p>
            <w:pPr>
              <w:pStyle w:val="Normal"/>
              <w:rPr/>
            </w:pPr>
            <w:r>
              <w:rPr/>
              <w:t xml:space="preserve">Цементные с железнением </w:t>
            </w:r>
          </w:p>
          <w:p>
            <w:pPr>
              <w:pStyle w:val="Normal"/>
              <w:rPr/>
            </w:pPr>
            <w:r>
              <w:rPr/>
            </w:r>
          </w:p>
        </w:tc>
        <w:tc>
          <w:tcPr>
            <w:tcW w:w="45" w:type="dxa"/>
            <w:tcBorders>
              <w:start w:val="single" w:sz="2" w:space="0" w:color="000000"/>
            </w:tcBorders>
            <w:shd w:fill="auto" w:val="clear"/>
            <w:tcMar>
              <w:start w:w="-2" w:type="dxa"/>
              <w:end w:w="0" w:type="dxa"/>
            </w:tcMar>
          </w:tcPr>
          <w:p>
            <w:pPr>
              <w:pStyle w:val="Normal"/>
              <w:snapToGrid w:val="false"/>
              <w:rPr/>
            </w:pPr>
            <w:r>
              <w:rPr/>
            </w:r>
          </w:p>
        </w:tc>
      </w:tr>
      <w:tr>
        <w:trPr/>
        <w:tc>
          <w:tcPr>
            <w:tcW w:w="450" w:type="dxa"/>
            <w:tcBorders>
              <w:start w:val="single" w:sz="2" w:space="0" w:color="000000"/>
            </w:tcBorders>
            <w:shd w:fill="auto" w:val="clear"/>
            <w:tcMar>
              <w:start w:w="42" w:type="dxa"/>
            </w:tcMar>
          </w:tcPr>
          <w:p>
            <w:pPr>
              <w:pStyle w:val="Normal"/>
              <w:jc w:val="center"/>
              <w:rPr/>
            </w:pPr>
            <w:r>
              <w:rPr/>
              <w:t xml:space="preserve">12 </w:t>
            </w:r>
          </w:p>
          <w:p>
            <w:pPr>
              <w:pStyle w:val="Normal"/>
              <w:jc w:val="center"/>
              <w:rPr/>
            </w:pPr>
            <w:r>
              <w:rPr/>
            </w:r>
          </w:p>
        </w:tc>
        <w:tc>
          <w:tcPr>
            <w:tcW w:w="2250" w:type="dxa"/>
            <w:tcBorders>
              <w:start w:val="single" w:sz="2" w:space="0" w:color="000000"/>
            </w:tcBorders>
            <w:shd w:fill="auto" w:val="clear"/>
            <w:tcMar>
              <w:start w:w="42" w:type="dxa"/>
            </w:tcMar>
          </w:tcPr>
          <w:p>
            <w:pPr>
              <w:pStyle w:val="Normal"/>
              <w:jc w:val="both"/>
              <w:rPr/>
            </w:pPr>
            <w:r>
              <w:rPr/>
              <w:t xml:space="preserve">Пункт управления </w:t>
            </w:r>
          </w:p>
          <w:p>
            <w:pPr>
              <w:pStyle w:val="Normal"/>
              <w:jc w:val="both"/>
              <w:rPr/>
            </w:pPr>
            <w:r>
              <w:rPr/>
            </w:r>
          </w:p>
        </w:tc>
        <w:tc>
          <w:tcPr>
            <w:tcW w:w="4065" w:type="dxa"/>
            <w:tcBorders>
              <w:start w:val="single" w:sz="2" w:space="0" w:color="000000"/>
            </w:tcBorders>
            <w:shd w:fill="auto" w:val="clear"/>
            <w:tcMar>
              <w:start w:w="42" w:type="dxa"/>
            </w:tcMar>
          </w:tcPr>
          <w:p>
            <w:pPr>
              <w:pStyle w:val="Normal"/>
              <w:rPr/>
            </w:pPr>
            <w:r>
              <w:rPr/>
              <w:t xml:space="preserve">Штукатурка кирпичных стен. Расшивка швов панельных стен. Окраска масляными красками светлых тонов или влагостойкими красками </w:t>
            </w:r>
          </w:p>
          <w:p>
            <w:pPr>
              <w:pStyle w:val="Normal"/>
              <w:rPr/>
            </w:pPr>
            <w:r>
              <w:rPr/>
            </w:r>
          </w:p>
        </w:tc>
        <w:tc>
          <w:tcPr>
            <w:tcW w:w="1860" w:type="dxa"/>
            <w:gridSpan w:val="3"/>
            <w:tcBorders>
              <w:start w:val="single" w:sz="2" w:space="0" w:color="000000"/>
            </w:tcBorders>
            <w:shd w:fill="auto" w:val="clear"/>
            <w:tcMar>
              <w:start w:w="42" w:type="dxa"/>
            </w:tcMar>
          </w:tcPr>
          <w:p>
            <w:pPr>
              <w:pStyle w:val="Normal"/>
              <w:rPr/>
            </w:pPr>
            <w:r>
              <w:rPr/>
              <w:t xml:space="preserve">Окраска влагостойкими красками </w:t>
            </w:r>
          </w:p>
          <w:p>
            <w:pPr>
              <w:pStyle w:val="Normal"/>
              <w:rPr/>
            </w:pPr>
            <w:r>
              <w:rPr/>
            </w:r>
          </w:p>
        </w:tc>
        <w:tc>
          <w:tcPr>
            <w:tcW w:w="1550" w:type="dxa"/>
            <w:gridSpan w:val="2"/>
            <w:tcBorders>
              <w:start w:val="single" w:sz="2" w:space="0" w:color="000000"/>
            </w:tcBorders>
            <w:shd w:fill="auto" w:val="clear"/>
            <w:tcMar>
              <w:start w:w="42" w:type="dxa"/>
            </w:tcMar>
          </w:tcPr>
          <w:p>
            <w:pPr>
              <w:pStyle w:val="Normal"/>
              <w:rPr/>
            </w:pPr>
            <w:r>
              <w:rPr/>
              <w:t xml:space="preserve">Линолеум или плитка ПХВ </w:t>
            </w:r>
          </w:p>
          <w:p>
            <w:pPr>
              <w:pStyle w:val="Normal"/>
              <w:rPr/>
            </w:pPr>
            <w:r>
              <w:rPr/>
            </w:r>
          </w:p>
        </w:tc>
        <w:tc>
          <w:tcPr>
            <w:tcW w:w="45" w:type="dxa"/>
            <w:tcBorders>
              <w:start w:val="single" w:sz="2" w:space="0" w:color="000000"/>
            </w:tcBorders>
            <w:shd w:fill="auto" w:val="clear"/>
            <w:tcMar>
              <w:start w:w="-2" w:type="dxa"/>
              <w:end w:w="0" w:type="dxa"/>
            </w:tcMar>
          </w:tcPr>
          <w:p>
            <w:pPr>
              <w:pStyle w:val="Normal"/>
              <w:snapToGrid w:val="false"/>
              <w:rPr/>
            </w:pPr>
            <w:r>
              <w:rPr/>
            </w:r>
          </w:p>
        </w:tc>
      </w:tr>
      <w:tr>
        <w:trPr/>
        <w:tc>
          <w:tcPr>
            <w:tcW w:w="450" w:type="dxa"/>
            <w:tcBorders>
              <w:start w:val="single" w:sz="2" w:space="0" w:color="000000"/>
            </w:tcBorders>
            <w:shd w:fill="auto" w:val="clear"/>
            <w:tcMar>
              <w:start w:w="42" w:type="dxa"/>
            </w:tcMar>
          </w:tcPr>
          <w:p>
            <w:pPr>
              <w:pStyle w:val="Normal"/>
              <w:jc w:val="center"/>
              <w:rPr/>
            </w:pPr>
            <w:r>
              <w:rPr/>
              <w:t xml:space="preserve">13 </w:t>
            </w:r>
          </w:p>
          <w:p>
            <w:pPr>
              <w:pStyle w:val="Normal"/>
              <w:jc w:val="center"/>
              <w:rPr/>
            </w:pPr>
            <w:r>
              <w:rPr/>
            </w:r>
          </w:p>
        </w:tc>
        <w:tc>
          <w:tcPr>
            <w:tcW w:w="2250" w:type="dxa"/>
            <w:tcBorders>
              <w:start w:val="single" w:sz="2" w:space="0" w:color="000000"/>
            </w:tcBorders>
            <w:shd w:fill="auto" w:val="clear"/>
            <w:tcMar>
              <w:start w:w="42" w:type="dxa"/>
            </w:tcMar>
          </w:tcPr>
          <w:p>
            <w:pPr>
              <w:pStyle w:val="Normal"/>
              <w:jc w:val="both"/>
              <w:rPr/>
            </w:pPr>
            <w:r>
              <w:rPr/>
              <w:t xml:space="preserve">Лаборатории, весовая, помещения для хранения посуды и реактивов </w:t>
            </w:r>
          </w:p>
          <w:p>
            <w:pPr>
              <w:pStyle w:val="Normal"/>
              <w:jc w:val="both"/>
              <w:rPr/>
            </w:pPr>
            <w:r>
              <w:rPr/>
            </w:r>
          </w:p>
        </w:tc>
        <w:tc>
          <w:tcPr>
            <w:tcW w:w="4065" w:type="dxa"/>
            <w:tcBorders>
              <w:start w:val="single" w:sz="2" w:space="0" w:color="000000"/>
            </w:tcBorders>
            <w:shd w:fill="auto" w:val="clear"/>
            <w:tcMar>
              <w:start w:w="42" w:type="dxa"/>
            </w:tcMar>
          </w:tcPr>
          <w:p>
            <w:pPr>
              <w:pStyle w:val="Normal"/>
              <w:rPr/>
            </w:pPr>
            <w:r>
              <w:rPr/>
              <w:t xml:space="preserve">Расшивка швов панельных стен. Штукатурка кирпичных стен и перегородок. Окраска водоэмульсионными красками </w:t>
            </w:r>
          </w:p>
          <w:p>
            <w:pPr>
              <w:pStyle w:val="Normal"/>
              <w:rPr/>
            </w:pPr>
            <w:r>
              <w:rPr/>
            </w:r>
          </w:p>
        </w:tc>
        <w:tc>
          <w:tcPr>
            <w:tcW w:w="1860" w:type="dxa"/>
            <w:gridSpan w:val="3"/>
            <w:tcBorders>
              <w:start w:val="single" w:sz="2" w:space="0" w:color="000000"/>
            </w:tcBorders>
            <w:shd w:fill="auto" w:val="clear"/>
            <w:tcMar>
              <w:start w:w="42" w:type="dxa"/>
            </w:tcMar>
          </w:tcPr>
          <w:p>
            <w:pPr>
              <w:pStyle w:val="Normal"/>
              <w:rPr/>
            </w:pPr>
            <w:r>
              <w:rPr/>
              <w:t xml:space="preserve">Окраска масляными или влагостойкими красками </w:t>
            </w:r>
          </w:p>
          <w:p>
            <w:pPr>
              <w:pStyle w:val="Normal"/>
              <w:rPr/>
            </w:pPr>
            <w:r>
              <w:rPr/>
            </w:r>
          </w:p>
        </w:tc>
        <w:tc>
          <w:tcPr>
            <w:tcW w:w="1550" w:type="dxa"/>
            <w:gridSpan w:val="2"/>
            <w:tcBorders>
              <w:start w:val="single" w:sz="2" w:space="0" w:color="000000"/>
            </w:tcBorders>
            <w:shd w:fill="auto" w:val="clear"/>
            <w:tcMar>
              <w:start w:w="42" w:type="dxa"/>
            </w:tcMar>
          </w:tcPr>
          <w:p>
            <w:pPr>
              <w:pStyle w:val="Normal"/>
              <w:rPr/>
            </w:pPr>
            <w:r>
              <w:rPr/>
              <w:t xml:space="preserve">Линолеум или плитка ПХВ </w:t>
            </w:r>
          </w:p>
          <w:p>
            <w:pPr>
              <w:pStyle w:val="Normal"/>
              <w:rPr/>
            </w:pPr>
            <w:r>
              <w:rPr/>
            </w:r>
          </w:p>
        </w:tc>
        <w:tc>
          <w:tcPr>
            <w:tcW w:w="45" w:type="dxa"/>
            <w:tcBorders>
              <w:start w:val="single" w:sz="2" w:space="0" w:color="000000"/>
            </w:tcBorders>
            <w:shd w:fill="auto" w:val="clear"/>
            <w:tcMar>
              <w:start w:w="-2" w:type="dxa"/>
              <w:end w:w="0" w:type="dxa"/>
            </w:tcMar>
          </w:tcPr>
          <w:p>
            <w:pPr>
              <w:pStyle w:val="Normal"/>
              <w:snapToGrid w:val="false"/>
              <w:rPr/>
            </w:pPr>
            <w:r>
              <w:rPr/>
            </w:r>
          </w:p>
        </w:tc>
      </w:tr>
      <w:tr>
        <w:trPr/>
        <w:tc>
          <w:tcPr>
            <w:tcW w:w="450" w:type="dxa"/>
            <w:tcBorders>
              <w:start w:val="single" w:sz="2" w:space="0" w:color="000000"/>
              <w:bottom w:val="single" w:sz="2" w:space="0" w:color="000000"/>
              <w:insideH w:val="single" w:sz="2" w:space="0" w:color="000000"/>
            </w:tcBorders>
            <w:shd w:fill="auto" w:val="clear"/>
            <w:tcMar>
              <w:start w:w="42" w:type="dxa"/>
            </w:tcMar>
          </w:tcPr>
          <w:p>
            <w:pPr>
              <w:pStyle w:val="Normal"/>
              <w:jc w:val="center"/>
              <w:rPr/>
            </w:pPr>
            <w:r>
              <w:rPr/>
              <w:t xml:space="preserve">14 </w:t>
            </w:r>
          </w:p>
          <w:p>
            <w:pPr>
              <w:pStyle w:val="Normal"/>
              <w:jc w:val="center"/>
              <w:rPr/>
            </w:pPr>
            <w:r>
              <w:rPr/>
            </w:r>
          </w:p>
        </w:tc>
        <w:tc>
          <w:tcPr>
            <w:tcW w:w="2250" w:type="dxa"/>
            <w:tcBorders>
              <w:start w:val="single" w:sz="2" w:space="0" w:color="000000"/>
              <w:bottom w:val="single" w:sz="2" w:space="0" w:color="000000"/>
              <w:insideH w:val="single" w:sz="2" w:space="0" w:color="000000"/>
            </w:tcBorders>
            <w:shd w:fill="auto" w:val="clear"/>
            <w:tcMar>
              <w:start w:w="42" w:type="dxa"/>
            </w:tcMar>
          </w:tcPr>
          <w:p>
            <w:pPr>
              <w:pStyle w:val="Normal"/>
              <w:jc w:val="both"/>
              <w:rPr/>
            </w:pPr>
            <w:r>
              <w:rPr/>
              <w:t xml:space="preserve">Моечная, средоварочная </w:t>
            </w:r>
          </w:p>
          <w:p>
            <w:pPr>
              <w:pStyle w:val="Normal"/>
              <w:jc w:val="both"/>
              <w:rPr/>
            </w:pPr>
            <w:r>
              <w:rPr/>
            </w:r>
          </w:p>
        </w:tc>
        <w:tc>
          <w:tcPr>
            <w:tcW w:w="4065" w:type="dxa"/>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Расшивка швов панельных стен. Штукатурка кирпичных стен и перегородок. Облицовка глазурованной плиткой на высоту 1,5 м, выше - окраска влагостойкими красками </w:t>
            </w:r>
          </w:p>
          <w:p>
            <w:pPr>
              <w:pStyle w:val="Normal"/>
              <w:rPr/>
            </w:pPr>
            <w:r>
              <w:rPr/>
            </w:r>
          </w:p>
        </w:tc>
        <w:tc>
          <w:tcPr>
            <w:tcW w:w="1860" w:type="dxa"/>
            <w:gridSpan w:val="3"/>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Окраска масляными или влагостойкими красками </w:t>
            </w:r>
          </w:p>
          <w:p>
            <w:pPr>
              <w:pStyle w:val="Normal"/>
              <w:rPr/>
            </w:pPr>
            <w:r>
              <w:rPr/>
            </w:r>
          </w:p>
        </w:tc>
        <w:tc>
          <w:tcPr>
            <w:tcW w:w="1550" w:type="dxa"/>
            <w:gridSpan w:val="2"/>
            <w:tcBorders>
              <w:start w:val="single" w:sz="2" w:space="0" w:color="000000"/>
              <w:bottom w:val="single" w:sz="2" w:space="0" w:color="000000"/>
              <w:insideH w:val="single" w:sz="2" w:space="0" w:color="000000"/>
            </w:tcBorders>
            <w:shd w:fill="auto" w:val="clear"/>
            <w:tcMar>
              <w:start w:w="42" w:type="dxa"/>
            </w:tcMar>
          </w:tcPr>
          <w:p>
            <w:pPr>
              <w:pStyle w:val="Normal"/>
              <w:rPr/>
            </w:pPr>
            <w:r>
              <w:rPr/>
              <w:t xml:space="preserve">Керамическая плитка </w:t>
            </w:r>
          </w:p>
          <w:p>
            <w:pPr>
              <w:pStyle w:val="Normal"/>
              <w:rPr/>
            </w:pPr>
            <w:r>
              <w:rPr/>
            </w:r>
          </w:p>
        </w:tc>
        <w:tc>
          <w:tcPr>
            <w:tcW w:w="45" w:type="dxa"/>
            <w:tcBorders>
              <w:start w:val="single" w:sz="2" w:space="0" w:color="000000"/>
            </w:tcBorders>
            <w:shd w:fill="auto" w:val="clear"/>
            <w:tcMar>
              <w:start w:w="-2" w:type="dxa"/>
              <w:end w:w="0" w:type="dxa"/>
            </w:tcMar>
          </w:tcPr>
          <w:p>
            <w:pPr>
              <w:pStyle w:val="Normal"/>
              <w:snapToGrid w:val="false"/>
              <w:rPr/>
            </w:pPr>
            <w:r>
              <w:rPr/>
            </w:r>
          </w:p>
        </w:tc>
      </w:tr>
    </w:tbl>
    <w:p>
      <w:pPr>
        <w:pStyle w:val="Normal"/>
        <w:ind w:firstLine="270"/>
        <w:jc w:val="both"/>
        <w:rPr/>
      </w:pPr>
      <w:r>
        <w:rPr/>
      </w:r>
    </w:p>
    <w:p>
      <w:pPr>
        <w:pStyle w:val="Normal"/>
        <w:ind w:firstLine="225"/>
        <w:jc w:val="both"/>
        <w:rPr/>
      </w:pPr>
      <w:r>
        <w:rPr/>
        <w:t>Примечание. При наличии агрессивной или взрывоопасной среды отделочные работы следует предусматривать с учетом требований антикоррозионной защиты конструкций и норм взрывопожаробезопасности.</w:t>
      </w:r>
    </w:p>
    <w:p>
      <w:pPr>
        <w:pStyle w:val="Normal"/>
        <w:ind w:firstLine="270"/>
        <w:jc w:val="both"/>
        <w:rPr/>
      </w:pPr>
      <w:r>
        <w:rPr/>
      </w:r>
    </w:p>
    <w:p>
      <w:pPr>
        <w:pStyle w:val="Normal"/>
        <w:ind w:firstLine="270"/>
        <w:jc w:val="both"/>
        <w:rPr/>
      </w:pPr>
      <w:r>
        <w:rPr/>
      </w:r>
    </w:p>
    <w:p>
      <w:pPr>
        <w:pStyle w:val="Normal"/>
        <w:jc w:val="end"/>
        <w:rPr/>
      </w:pPr>
      <w:r>
        <w:rPr/>
        <w:t xml:space="preserve">Приложение 14* </w:t>
      </w:r>
    </w:p>
    <w:p>
      <w:pPr>
        <w:pStyle w:val="Normal"/>
        <w:jc w:val="end"/>
        <w:rPr/>
      </w:pPr>
      <w:r>
        <w:rPr/>
        <w:t xml:space="preserve">Рекомендуемое </w:t>
      </w:r>
    </w:p>
    <w:p>
      <w:pPr>
        <w:pStyle w:val="Normal"/>
        <w:ind w:firstLine="270"/>
        <w:jc w:val="both"/>
        <w:rPr/>
      </w:pPr>
      <w:r>
        <w:rPr/>
      </w:r>
    </w:p>
    <w:p>
      <w:pPr>
        <w:pStyle w:val="Normal"/>
        <w:ind w:firstLine="225"/>
        <w:jc w:val="both"/>
        <w:rPr/>
      </w:pPr>
      <w:r>
        <w:rPr/>
      </w:r>
    </w:p>
    <w:p>
      <w:pPr>
        <w:pStyle w:val="Heading"/>
        <w:jc w:val="center"/>
        <w:rPr/>
      </w:pPr>
      <w:r>
        <w:rPr/>
        <w:t>ОСОБЕННОСТИ ПРОЕКТИРОВАНИЯ</w:t>
      </w:r>
    </w:p>
    <w:p>
      <w:pPr>
        <w:pStyle w:val="Heading"/>
        <w:jc w:val="center"/>
        <w:rPr/>
      </w:pPr>
      <w:r>
        <w:rPr/>
        <w:t xml:space="preserve">СИСТЕМ ВОДОСНАБЖЕНИЯ В ЗАПАДНО-СИБИРСКОМ </w:t>
      </w:r>
    </w:p>
    <w:p>
      <w:pPr>
        <w:pStyle w:val="Heading"/>
        <w:jc w:val="center"/>
        <w:rPr/>
      </w:pPr>
      <w:r>
        <w:rPr/>
        <w:t xml:space="preserve">НЕФТЕГАЗОВОМ КОМПЛЕКСЕ </w:t>
      </w:r>
    </w:p>
    <w:p>
      <w:pPr>
        <w:pStyle w:val="Normal"/>
        <w:ind w:firstLine="360"/>
        <w:jc w:val="both"/>
        <w:rPr>
          <w:b/>
          <w:b/>
          <w:sz w:val="22"/>
        </w:rPr>
      </w:pPr>
      <w:r>
        <w:rPr>
          <w:b/>
          <w:sz w:val="22"/>
        </w:rPr>
      </w:r>
    </w:p>
    <w:p>
      <w:pPr>
        <w:pStyle w:val="Normal"/>
        <w:jc w:val="center"/>
        <w:rPr>
          <w:b/>
          <w:b/>
          <w:sz w:val="22"/>
        </w:rPr>
      </w:pPr>
      <w:r>
        <w:rPr>
          <w:b/>
          <w:sz w:val="22"/>
        </w:rPr>
        <w:t xml:space="preserve">Общие указания </w:t>
      </w:r>
    </w:p>
    <w:p>
      <w:pPr>
        <w:pStyle w:val="Normal"/>
        <w:ind w:firstLine="270"/>
        <w:jc w:val="both"/>
        <w:rPr>
          <w:b/>
          <w:b/>
          <w:sz w:val="22"/>
        </w:rPr>
      </w:pPr>
      <w:r>
        <w:rPr>
          <w:b/>
          <w:sz w:val="22"/>
        </w:rPr>
      </w:r>
    </w:p>
    <w:p>
      <w:pPr>
        <w:pStyle w:val="Normal"/>
        <w:ind w:firstLine="270"/>
        <w:jc w:val="both"/>
        <w:rPr/>
      </w:pPr>
      <w:r>
        <w:rPr/>
      </w:r>
    </w:p>
    <w:p>
      <w:pPr>
        <w:pStyle w:val="Normal"/>
        <w:ind w:firstLine="225"/>
        <w:jc w:val="both"/>
        <w:rPr/>
      </w:pPr>
      <w:r>
        <w:rPr/>
        <w:t>1. Системы водоснабжения для поддержания пластового давления (ППД) на нефтяных месторождениях по степени обеспеченности подачи воды надлежит относить к I категории, при этом снижение подачи воды допускается не более 40% расчетного расхода.</w:t>
      </w:r>
    </w:p>
    <w:p>
      <w:pPr>
        <w:pStyle w:val="Normal"/>
        <w:ind w:firstLine="225"/>
        <w:jc w:val="both"/>
        <w:rPr/>
      </w:pPr>
      <w:r>
        <w:rPr/>
      </w:r>
    </w:p>
    <w:p>
      <w:pPr>
        <w:pStyle w:val="Normal"/>
        <w:ind w:firstLine="225"/>
        <w:jc w:val="both"/>
        <w:rPr/>
      </w:pPr>
      <w:r>
        <w:rPr/>
        <w:t>2. Водоприемные устройства водозаборов из поверхностных источников следует принимать по табл. 13 для тяжелых условий забора воды.</w:t>
      </w:r>
    </w:p>
    <w:p>
      <w:pPr>
        <w:pStyle w:val="Normal"/>
        <w:ind w:firstLine="225"/>
        <w:jc w:val="both"/>
        <w:rPr/>
      </w:pPr>
      <w:r>
        <w:rPr/>
      </w:r>
    </w:p>
    <w:p>
      <w:pPr>
        <w:pStyle w:val="Normal"/>
        <w:ind w:firstLine="225"/>
        <w:jc w:val="both"/>
        <w:rPr/>
      </w:pPr>
      <w:r>
        <w:rPr/>
        <w:t>3. Методы обработки речной воды для закачки в пласты, состав и расчетные параметры сооружений водоподготовки надлежит устанавливать в зависимости от ее качества, требуемых расхода и качества воды для конкретных нефтяных месторождений на основании технологических изысканий.</w:t>
      </w:r>
    </w:p>
    <w:p>
      <w:pPr>
        <w:pStyle w:val="Normal"/>
        <w:ind w:firstLine="225"/>
        <w:jc w:val="both"/>
        <w:rPr/>
      </w:pPr>
      <w:r>
        <w:rPr/>
      </w:r>
    </w:p>
    <w:p>
      <w:pPr>
        <w:pStyle w:val="Normal"/>
        <w:ind w:firstLine="225"/>
        <w:jc w:val="both"/>
        <w:rPr/>
      </w:pPr>
      <w:r>
        <w:rPr/>
        <w:t>4. Склады реагентов следует рассчитывать на хранение запаса, обеспечивающего работу сооружений в течение периода, неблагоприятного по условиям доставки, но не более гарантийного срока хранения реагентов, установленного заводом-поставщиком.</w:t>
      </w:r>
    </w:p>
    <w:p>
      <w:pPr>
        <w:pStyle w:val="Normal"/>
        <w:ind w:firstLine="225"/>
        <w:jc w:val="both"/>
        <w:rPr/>
      </w:pPr>
      <w:r>
        <w:rPr/>
      </w:r>
    </w:p>
    <w:p>
      <w:pPr>
        <w:pStyle w:val="Normal"/>
        <w:ind w:firstLine="225"/>
        <w:jc w:val="both"/>
        <w:rPr/>
      </w:pPr>
      <w:r>
        <w:rPr/>
        <w:t>5. При использовании подземных вод в качестве источника хозяйственно-питьевого водоснабжения объектов обустройства нефтяных и газовых месторождений необходимо рассматривать возможность обезжелезивания воды с попутным удалением марганца и сероводорода непосредственно в водоносном пласте.</w:t>
      </w:r>
    </w:p>
    <w:p>
      <w:pPr>
        <w:pStyle w:val="Normal"/>
        <w:ind w:firstLine="225"/>
        <w:jc w:val="both"/>
        <w:rPr/>
      </w:pPr>
      <w:r>
        <w:rPr/>
      </w:r>
    </w:p>
    <w:p>
      <w:pPr>
        <w:pStyle w:val="Normal"/>
        <w:ind w:firstLine="225"/>
        <w:jc w:val="both"/>
        <w:rPr/>
      </w:pPr>
      <w:r>
        <w:rPr/>
        <w:t>6. Насосные станции водозаборов надлежит, как правило, проектировать с применением насосных установок для скважин, монтируемых в вертикальных трубчатых колодцах, и подводом воды к ним самотечно-сифонными трубопроводами, а также с применением погружных осевых и центробежных электронасосов, устанавливаемых в наклонных трубопроводах, укладываемых в береговом откосе.</w:t>
      </w:r>
    </w:p>
    <w:p>
      <w:pPr>
        <w:pStyle w:val="Normal"/>
        <w:ind w:firstLine="225"/>
        <w:jc w:val="both"/>
        <w:rPr/>
      </w:pPr>
      <w:r>
        <w:rPr/>
      </w:r>
    </w:p>
    <w:p>
      <w:pPr>
        <w:pStyle w:val="Normal"/>
        <w:ind w:firstLine="225"/>
        <w:jc w:val="both"/>
        <w:rPr/>
      </w:pPr>
      <w:r>
        <w:rPr/>
        <w:t>7. В насосных станциях I категории при количестве насосов более 9 следует принимать 3 резервных агрегата. При этом допускается парное подключение насосов к всасывающим и напорным коллекторам с общими задвижками.</w:t>
      </w:r>
    </w:p>
    <w:p>
      <w:pPr>
        <w:pStyle w:val="Normal"/>
        <w:ind w:firstLine="225"/>
        <w:jc w:val="both"/>
        <w:rPr/>
      </w:pPr>
      <w:r>
        <w:rPr/>
      </w:r>
    </w:p>
    <w:p>
      <w:pPr>
        <w:pStyle w:val="Normal"/>
        <w:ind w:firstLine="225"/>
        <w:jc w:val="both"/>
        <w:rPr/>
      </w:pPr>
      <w:r>
        <w:rPr/>
        <w:t>8. Технологические процессы подготовки и подачи воды должны быть максимально автоматизированы.</w:t>
      </w:r>
    </w:p>
    <w:p>
      <w:pPr>
        <w:pStyle w:val="Normal"/>
        <w:ind w:firstLine="225"/>
        <w:jc w:val="both"/>
        <w:rPr/>
      </w:pPr>
      <w:r>
        <w:rPr/>
      </w:r>
    </w:p>
    <w:p>
      <w:pPr>
        <w:pStyle w:val="Normal"/>
        <w:ind w:firstLine="225"/>
        <w:jc w:val="both"/>
        <w:rPr/>
      </w:pPr>
      <w:r>
        <w:rPr/>
        <w:t>9. При проектировании систем водоснабжения надлежит максимально принять сооружения и установки в комплектно-блочном исполнении заводского изготовления.</w:t>
      </w:r>
    </w:p>
    <w:p>
      <w:pPr>
        <w:pStyle w:val="Normal"/>
        <w:ind w:firstLine="225"/>
        <w:jc w:val="both"/>
        <w:rPr/>
      </w:pPr>
      <w:r>
        <w:rPr/>
      </w:r>
    </w:p>
    <w:p>
      <w:pPr>
        <w:pStyle w:val="Normal"/>
        <w:ind w:firstLine="225"/>
        <w:jc w:val="both"/>
        <w:rPr/>
      </w:pPr>
      <w:r>
        <w:rPr/>
        <w:t>10. При проектировании сетей и сооружений на вечномерзлых грунтах следует руководствоваться указаниями пп. 15.49-15.92.</w:t>
      </w:r>
    </w:p>
    <w:p>
      <w:pPr>
        <w:pStyle w:val="Normal"/>
        <w:ind w:firstLine="225"/>
        <w:jc w:val="both"/>
        <w:rPr/>
      </w:pPr>
      <w:r>
        <w:rPr/>
      </w:r>
    </w:p>
    <w:p>
      <w:pPr>
        <w:pStyle w:val="Normal"/>
        <w:ind w:firstLine="225"/>
        <w:jc w:val="both"/>
        <w:rPr/>
      </w:pPr>
      <w:r>
        <w:rPr/>
      </w:r>
    </w:p>
    <w:p>
      <w:pPr>
        <w:pStyle w:val="Heading"/>
        <w:jc w:val="center"/>
        <w:rPr/>
      </w:pPr>
      <w:r>
        <w:rPr/>
        <w:t xml:space="preserve">Водоводы систем ППД </w:t>
      </w:r>
    </w:p>
    <w:p>
      <w:pPr>
        <w:pStyle w:val="Normal"/>
        <w:ind w:firstLine="270"/>
        <w:jc w:val="both"/>
        <w:rPr/>
      </w:pPr>
      <w:r>
        <w:rPr/>
      </w:r>
    </w:p>
    <w:p>
      <w:pPr>
        <w:pStyle w:val="Normal"/>
        <w:ind w:firstLine="270"/>
        <w:jc w:val="both"/>
        <w:rPr/>
      </w:pPr>
      <w:r>
        <w:rPr/>
      </w:r>
    </w:p>
    <w:p>
      <w:pPr>
        <w:pStyle w:val="Normal"/>
        <w:ind w:firstLine="225"/>
        <w:jc w:val="both"/>
        <w:rPr/>
      </w:pPr>
      <w:r>
        <w:rPr/>
        <w:t>11. Трассировку водоводов следует предусматривать, как правило, вдоль существующих и проектируемых автодорог, а также в общих коридорах с нефтепроводами, газопроводами и другими коммуникациями.</w:t>
      </w:r>
    </w:p>
    <w:p>
      <w:pPr>
        <w:pStyle w:val="Normal"/>
        <w:ind w:firstLine="225"/>
        <w:jc w:val="both"/>
        <w:rPr/>
      </w:pPr>
      <w:r>
        <w:rPr/>
      </w:r>
    </w:p>
    <w:p>
      <w:pPr>
        <w:pStyle w:val="Normal"/>
        <w:ind w:firstLine="225"/>
        <w:jc w:val="both"/>
        <w:rPr/>
      </w:pPr>
      <w:r>
        <w:rPr/>
        <w:t>12. Водоводы должны прокладываться в две линии и более.</w:t>
      </w:r>
    </w:p>
    <w:p>
      <w:pPr>
        <w:pStyle w:val="Normal"/>
        <w:ind w:firstLine="225"/>
        <w:jc w:val="both"/>
        <w:rPr/>
      </w:pPr>
      <w:r>
        <w:rPr/>
      </w:r>
    </w:p>
    <w:p>
      <w:pPr>
        <w:pStyle w:val="Normal"/>
        <w:ind w:firstLine="225"/>
        <w:jc w:val="both"/>
        <w:rPr/>
      </w:pPr>
      <w:r>
        <w:rPr/>
        <w:t>Число переключений на водоводах и расстояния между переключениями определяются исходя из отключения одного водовода или его участка и обеспечения подачи воды не менее 60 % расчетного расхода. При этом следует учитывать возможность использования резервных насосных агрегатов.</w:t>
      </w:r>
    </w:p>
    <w:p>
      <w:pPr>
        <w:pStyle w:val="Normal"/>
        <w:ind w:firstLine="225"/>
        <w:jc w:val="both"/>
        <w:rPr/>
      </w:pPr>
      <w:r>
        <w:rPr/>
      </w:r>
    </w:p>
    <w:p>
      <w:pPr>
        <w:pStyle w:val="Normal"/>
        <w:ind w:firstLine="225"/>
        <w:jc w:val="both"/>
        <w:rPr/>
      </w:pPr>
      <w:r>
        <w:rPr/>
        <w:t>Переключения рекомендуется размещать по возможности в местах ответвлений от водоводов на месторождения или кустовые насосные станции.</w:t>
      </w:r>
    </w:p>
    <w:p>
      <w:pPr>
        <w:pStyle w:val="Normal"/>
        <w:ind w:firstLine="225"/>
        <w:jc w:val="both"/>
        <w:rPr/>
      </w:pPr>
      <w:r>
        <w:rPr/>
      </w:r>
    </w:p>
    <w:p>
      <w:pPr>
        <w:pStyle w:val="Normal"/>
        <w:ind w:firstLine="225"/>
        <w:jc w:val="both"/>
        <w:rPr/>
      </w:pPr>
      <w:r>
        <w:rPr/>
        <w:t>13. Длину ремонтных участков водоводов следует принимать равной длине участков между переключениями.</w:t>
      </w:r>
    </w:p>
    <w:p>
      <w:pPr>
        <w:pStyle w:val="Normal"/>
        <w:ind w:firstLine="225"/>
        <w:jc w:val="both"/>
        <w:rPr/>
      </w:pPr>
      <w:r>
        <w:rPr/>
      </w:r>
    </w:p>
    <w:p>
      <w:pPr>
        <w:pStyle w:val="Normal"/>
        <w:ind w:firstLine="225"/>
        <w:jc w:val="both"/>
        <w:rPr/>
      </w:pPr>
      <w:r>
        <w:rPr/>
        <w:t>Диаметры выпусков и устройств для выпуска воздуха должны обеспечивать опорожнение участков водоводов не более чем за 5 ч.</w:t>
      </w:r>
    </w:p>
    <w:p>
      <w:pPr>
        <w:pStyle w:val="Normal"/>
        <w:ind w:firstLine="225"/>
        <w:jc w:val="both"/>
        <w:rPr/>
      </w:pPr>
      <w:r>
        <w:rPr/>
      </w:r>
    </w:p>
    <w:p>
      <w:pPr>
        <w:pStyle w:val="Normal"/>
        <w:ind w:firstLine="225"/>
        <w:jc w:val="both"/>
        <w:rPr/>
      </w:pPr>
      <w:r>
        <w:rPr/>
        <w:t>14. Для водоводов следует принимать стальные трубы из марок сталей, допустимых для применения в районах с температурой наружного воздуха минус 40 град.С и ниже.</w:t>
      </w:r>
    </w:p>
    <w:p>
      <w:pPr>
        <w:pStyle w:val="Normal"/>
        <w:ind w:firstLine="225"/>
        <w:jc w:val="both"/>
        <w:rPr/>
      </w:pPr>
      <w:r>
        <w:rPr/>
      </w:r>
    </w:p>
    <w:p>
      <w:pPr>
        <w:pStyle w:val="Normal"/>
        <w:ind w:firstLine="225"/>
        <w:jc w:val="both"/>
        <w:rPr/>
      </w:pPr>
      <w:r>
        <w:rPr/>
        <w:t xml:space="preserve">15. Величину расчетного внутреннего давления в водоводах надлежит принимать согласно п. 8.22. Расчет на прочность и устойчивость следует производить согласно </w:t>
      </w:r>
      <w:r>
        <w:rPr>
          <w:vanish/>
        </w:rPr>
        <w:t>#M12293 0 871001207 3704477087 78 23945 2620511277 2685059051 3363248087 793431883 2581616431</w:t>
      </w:r>
      <w:r>
        <w:rPr/>
        <w:t>СНиП 2.05.06-85</w:t>
      </w:r>
      <w:r>
        <w:rPr>
          <w:vanish/>
        </w:rPr>
        <w:t>#S</w:t>
      </w:r>
      <w:r>
        <w:rPr/>
        <w:t>.</w:t>
      </w:r>
    </w:p>
    <w:p>
      <w:pPr>
        <w:pStyle w:val="Normal"/>
        <w:ind w:firstLine="225"/>
        <w:jc w:val="both"/>
        <w:rPr/>
      </w:pPr>
      <w:r>
        <w:rPr/>
      </w:r>
    </w:p>
    <w:p>
      <w:pPr>
        <w:pStyle w:val="Normal"/>
        <w:ind w:firstLine="225"/>
        <w:jc w:val="both"/>
        <w:rPr/>
      </w:pPr>
      <w:r>
        <w:rPr/>
        <w:t>16. Для защиты водоводов и оборудования насосных станций подкачки, работающих «насос в насос», от повышения давления необходимо предусматривать установку регулирующих заслонок (клапанов), предохранительных клапанов и задвижек для автоматического сброса воды.</w:t>
      </w:r>
    </w:p>
    <w:p>
      <w:pPr>
        <w:pStyle w:val="Normal"/>
        <w:ind w:firstLine="225"/>
        <w:jc w:val="both"/>
        <w:rPr/>
      </w:pPr>
      <w:r>
        <w:rPr/>
      </w:r>
    </w:p>
    <w:p>
      <w:pPr>
        <w:pStyle w:val="Normal"/>
        <w:ind w:firstLine="225"/>
        <w:jc w:val="both"/>
        <w:rPr/>
      </w:pPr>
      <w:r>
        <w:rPr/>
        <w:t>17. Бесколодезную установку арматуры следует предусматривать для задвижек с концами под приварку, а также вантузов и задвижек для впуска и выпуска воздуха. При этом механизм управления задвижкой или полностью корпус задвижки надлежит размещать в наземных камерах заводского изготовления (блок-боксах) с поддержанием температуры в них не ниже 5 град.С.</w:t>
      </w:r>
    </w:p>
    <w:p>
      <w:pPr>
        <w:pStyle w:val="Normal"/>
        <w:ind w:firstLine="225"/>
        <w:jc w:val="both"/>
        <w:rPr/>
      </w:pPr>
      <w:r>
        <w:rPr/>
      </w:r>
    </w:p>
    <w:p>
      <w:pPr>
        <w:pStyle w:val="Normal"/>
        <w:ind w:firstLine="225"/>
        <w:jc w:val="both"/>
        <w:rPr/>
      </w:pPr>
      <w:r>
        <w:rPr/>
        <w:t>18. Для существующих водоводов допускается принимать в расчетах фактические потери напора.</w:t>
      </w:r>
    </w:p>
    <w:p>
      <w:pPr>
        <w:pStyle w:val="Normal"/>
        <w:ind w:firstLine="225"/>
        <w:jc w:val="both"/>
        <w:rPr/>
      </w:pPr>
      <w:r>
        <w:rPr/>
      </w:r>
    </w:p>
    <w:p>
      <w:pPr>
        <w:pStyle w:val="Normal"/>
        <w:ind w:firstLine="225"/>
        <w:jc w:val="both"/>
        <w:rPr/>
      </w:pPr>
      <w:r>
        <w:rPr/>
        <w:t>19. Колодцы на заболоченных труднодоступных участках трассы водоводов допускается выполнять стальными.</w:t>
      </w:r>
    </w:p>
    <w:p>
      <w:pPr>
        <w:pStyle w:val="Normal"/>
        <w:ind w:firstLine="225"/>
        <w:jc w:val="both"/>
        <w:rPr/>
      </w:pPr>
      <w:r>
        <w:rPr/>
      </w:r>
    </w:p>
    <w:p>
      <w:pPr>
        <w:pStyle w:val="Normal"/>
        <w:ind w:firstLine="225"/>
        <w:jc w:val="both"/>
        <w:rPr/>
      </w:pPr>
      <w:r>
        <w:rPr/>
        <w:t>20. У мест расположения колодцев должны предусматриваться обеспечивающие их обнаружение указатели.</w:t>
      </w:r>
    </w:p>
    <w:p>
      <w:pPr>
        <w:pStyle w:val="Normal"/>
        <w:ind w:firstLine="225"/>
        <w:jc w:val="both"/>
        <w:rPr/>
      </w:pPr>
      <w:r>
        <w:rPr/>
      </w:r>
    </w:p>
    <w:p>
      <w:pPr>
        <w:pStyle w:val="Normal"/>
        <w:rPr/>
      </w:pPr>
      <w:r>
        <w:rPr/>
      </w:r>
    </w:p>
    <w:p>
      <w:pPr>
        <w:pStyle w:val="Normal"/>
        <w:rPr/>
      </w:pPr>
      <w:r>
        <w:rPr/>
        <w:t xml:space="preserve">     </w:t>
      </w:r>
    </w:p>
    <w:p>
      <w:pPr>
        <w:pStyle w:val="Normal"/>
        <w:rPr/>
      </w:pPr>
      <w:r>
        <w:rPr/>
        <w:t>Текст документа сверен по:</w:t>
      </w:r>
    </w:p>
    <w:p>
      <w:pPr>
        <w:pStyle w:val="Normal"/>
        <w:rPr/>
      </w:pPr>
      <w:r>
        <w:rPr/>
        <w:t>официальное издание,</w:t>
      </w:r>
    </w:p>
    <w:p>
      <w:pPr>
        <w:pStyle w:val="Normal"/>
        <w:rPr/>
      </w:pPr>
      <w:r>
        <w:rPr/>
        <w:t xml:space="preserve">Минстрой России - М.: ГП ЦПП, 1996     </w:t>
      </w:r>
    </w:p>
    <w:p>
      <w:pPr>
        <w:pStyle w:val="Normal"/>
        <w:rPr/>
      </w:pPr>
      <w:r>
        <w:rPr/>
      </w:r>
    </w:p>
    <w:sectPr>
      <w:headerReference w:type="default" r:id="rId419"/>
      <w:footerReference w:type="default" r:id="rId420"/>
      <w:type w:val="nextPage"/>
      <w:pgSz w:w="12240" w:h="15840"/>
      <w:pgMar w:left="1800" w:right="1800" w:header="720" w:top="1440" w:footer="72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 w:name="Courier New">
    <w:charset w:val="00" w:characterSet="windows-1252"/>
    <w:family w:val="moder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rPr>
        <w:color w:val="FF0000"/>
      </w:rPr>
    </w:pPr>
    <w:r>
      <w:rPr>
        <w:color w:val="FF0000"/>
      </w:rPr>
      <w:t>Внимание!!! Настоящий нормативный документ не является официальным изданием!</w:t>
    </w:r>
  </w:p>
  <w:p>
    <w:pPr>
      <w:pStyle w:val="Style22"/>
      <w:rPr/>
    </w:pPr>
    <w:r>
      <w:rPr/>
      <w:t xml:space="preserve">Справочно-информационная система по строительству НОУ-ХАУС </w:t>
    </w:r>
    <w:r>
      <w:rPr>
        <w:lang w:val="en-US"/>
      </w:rPr>
      <w:t>http://www.know-house.ru</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ind w:end="360" w:hanging="0"/>
      <w:jc w:val="end"/>
      <w:rPr/>
    </w:pPr>
    <w:r>
      <w:rPr/>
      <w:t>СНиП 2.04.02-84*</w:t>
    </w:r>
    <w:r>
      <mc:AlternateContent>
        <mc:Choice Requires="wps">
          <w:drawing>
            <wp:anchor behindDoc="0" distT="0" distB="0" distL="0" distR="0" simplePos="0" locked="0" layoutInCell="1" allowOverlap="1" relativeHeight="660">
              <wp:simplePos x="0" y="0"/>
              <wp:positionH relativeFrom="margin">
                <wp:align>right</wp:align>
              </wp:positionH>
              <wp:positionV relativeFrom="paragraph">
                <wp:posOffset>635</wp:posOffset>
              </wp:positionV>
              <wp:extent cx="191135" cy="146685"/>
              <wp:effectExtent l="0" t="0" r="0" b="0"/>
              <wp:wrapSquare wrapText="largest"/>
              <wp:docPr id="418" name="Врезка1"/>
              <a:graphic xmlns:a="http://schemas.openxmlformats.org/drawingml/2006/main">
                <a:graphicData uri="http://schemas.microsoft.com/office/word/2010/wordprocessingShape">
                  <wps:wsp>
                    <wps:cNvSpPr txBox="1"/>
                    <wps:spPr>
                      <a:xfrm>
                        <a:off x="0" y="0"/>
                        <a:ext cx="191135" cy="146685"/>
                      </a:xfrm>
                      <a:prstGeom prst="rect"/>
                      <a:solidFill>
                        <a:srgbClr val="FFFFFF">
                          <a:alpha val="0"/>
                        </a:srgbClr>
                      </a:solidFill>
                    </wps:spPr>
                    <wps:txbx>
                      <w:txbxContent>
                        <w:p>
                          <w:pPr>
                            <w:pStyle w:val="Style21"/>
                            <w:rPr>
                              <w:rStyle w:val="Style15"/>
                            </w:rPr>
                          </w:pPr>
                          <w:r>
                            <w:rPr>
                              <w:rStyle w:val="Style15"/>
                            </w:rPr>
                            <w:fldChar w:fldCharType="begin"/>
                          </w:r>
                          <w:r>
                            <w:instrText> PAGE </w:instrText>
                          </w:r>
                          <w:r>
                            <w:fldChar w:fldCharType="separate"/>
                          </w:r>
                          <w:r>
                            <w:t>242</w:t>
                          </w:r>
                          <w:r>
                            <w:fldChar w:fldCharType="end"/>
                          </w:r>
                        </w:p>
                      </w:txbxContent>
                    </wps:txbx>
                    <wps:bodyPr anchor="t">
                      <a:noAutofit/>
                    </wps:bodyPr>
                  </wps:wsp>
                </a:graphicData>
              </a:graphic>
            </wp:anchor>
          </w:drawing>
        </mc:Choice>
        <mc:Fallback>
          <w:pict>
            <v:rect fillcolor="#FFFFFF" style="position:absolute;rotation:0;width:15.05pt;height:11.55pt;margin-top:0.05pt;mso-position-vertical-relative:text;margin-left:416.95pt;mso-position-horizontal:right;mso-position-horizontal-relative:margin">
              <v:fill opacity="0f"/>
              <v:textbox>
                <w:txbxContent>
                  <w:p>
                    <w:pPr>
                      <w:pStyle w:val="Style21"/>
                      <w:rPr>
                        <w:rStyle w:val="Style15"/>
                      </w:rPr>
                    </w:pPr>
                    <w:r>
                      <w:rPr>
                        <w:rStyle w:val="Style15"/>
                      </w:rPr>
                      <w:fldChar w:fldCharType="begin"/>
                    </w:r>
                    <w:r>
                      <w:instrText> PAGE </w:instrText>
                    </w:r>
                    <w:r>
                      <w:fldChar w:fldCharType="separate"/>
                    </w:r>
                    <w:r>
                      <w:t>242</w:t>
                    </w:r>
                    <w:r>
                      <w:fldChar w:fldCharType="end"/>
                    </w:r>
                  </w:p>
                </w:txbxContent>
              </v:textbox>
              <w10:wrap type="square" side="largest"/>
            </v:rect>
          </w:pict>
        </mc:Fallback>
      </mc:AlternateContent>
    </w:r>
  </w:p>
</w:hdr>
</file>

<file path=word/settings.xml><?xml version="1.0" encoding="utf-8"?>
<w:settings xmlns:w="http://schemas.openxmlformats.org/wordprocessingml/2006/main">
  <w:zoom w:percent="2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 w:val="24"/>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eastAsia="zh-CN" w:bidi="hi-IN"/>
    </w:rPr>
  </w:style>
  <w:style w:type="character" w:styleId="Style14">
    <w:name w:val="Основной шрифт абзаца"/>
    <w:qFormat/>
    <w:rPr/>
  </w:style>
  <w:style w:type="character" w:styleId="Style15">
    <w:name w:val="Номер страницы"/>
    <w:basedOn w:val="Style14"/>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 w:type="paragraph" w:styleId="Style21">
    <w:name w:val="Header"/>
    <w:basedOn w:val="Normal"/>
    <w:pPr>
      <w:tabs>
        <w:tab w:val="center" w:pos="4153" w:leader="none"/>
        <w:tab w:val="right" w:pos="8306" w:leader="none"/>
      </w:tabs>
    </w:pPr>
    <w:rPr/>
  </w:style>
  <w:style w:type="paragraph" w:styleId="Style22">
    <w:name w:val="Footer"/>
    <w:basedOn w:val="Normal"/>
    <w:pPr>
      <w:tabs>
        <w:tab w:val="center" w:pos="4153" w:leader="none"/>
        <w:tab w:val="right" w:pos="8306" w:leader="none"/>
      </w:tabs>
    </w:pPr>
    <w:rPr/>
  </w:style>
  <w:style w:type="paragraph" w:styleId="Heading">
    <w:name w:val="Heading"/>
    <w:qFormat/>
    <w:pPr>
      <w:widowControl/>
    </w:pPr>
    <w:rPr>
      <w:rFonts w:ascii="Arial" w:hAnsi="Arial" w:eastAsia="Times New Roman" w:cs="Arial"/>
      <w:b/>
      <w:color w:val="auto"/>
      <w:sz w:val="22"/>
      <w:szCs w:val="20"/>
      <w:lang w:val="ru-RU" w:eastAsia="ru-RU" w:bidi="hi-IN"/>
    </w:rPr>
  </w:style>
  <w:style w:type="paragraph" w:styleId="Preformat">
    <w:name w:val="Preformat"/>
    <w:qFormat/>
    <w:pPr>
      <w:widowControl/>
    </w:pPr>
    <w:rPr>
      <w:rFonts w:ascii="Courier New" w:hAnsi="Courier New" w:eastAsia="Times New Roman" w:cs="Courier New"/>
      <w:color w:val="auto"/>
      <w:sz w:val="20"/>
      <w:szCs w:val="20"/>
      <w:lang w:val="ru-RU" w:eastAsia="ru-RU" w:bidi="hi-IN"/>
    </w:rPr>
  </w:style>
  <w:style w:type="paragraph" w:styleId="Style23">
    <w:name w:val="Содержимое таблицы"/>
    <w:basedOn w:val="Normal"/>
    <w:qFormat/>
    <w:pPr>
      <w:suppressLineNumbers/>
    </w:pPr>
    <w:rPr/>
  </w:style>
  <w:style w:type="paragraph" w:styleId="Style24">
    <w:name w:val="Заголовок таблицы"/>
    <w:basedOn w:val="Style23"/>
    <w:qFormat/>
    <w:pPr>
      <w:suppressLineNumbers/>
      <w:jc w:val="center"/>
    </w:pPr>
    <w:rPr>
      <w:b/>
      <w:bCs/>
    </w:rPr>
  </w:style>
  <w:style w:type="paragraph" w:styleId="Style25">
    <w:name w:val="Содержимое врезки"/>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wmf"/><Relationship Id="rId15" Type="http://schemas.openxmlformats.org/officeDocument/2006/relationships/image" Target="media/image14.wmf"/><Relationship Id="rId16" Type="http://schemas.openxmlformats.org/officeDocument/2006/relationships/image" Target="media/image15.wmf"/><Relationship Id="rId17" Type="http://schemas.openxmlformats.org/officeDocument/2006/relationships/image" Target="media/image16.wmf"/><Relationship Id="rId18" Type="http://schemas.openxmlformats.org/officeDocument/2006/relationships/image" Target="media/image17.wmf"/><Relationship Id="rId19" Type="http://schemas.openxmlformats.org/officeDocument/2006/relationships/image" Target="media/image18.wmf"/><Relationship Id="rId20" Type="http://schemas.openxmlformats.org/officeDocument/2006/relationships/image" Target="media/image19.wmf"/><Relationship Id="rId21" Type="http://schemas.openxmlformats.org/officeDocument/2006/relationships/image" Target="media/image20.wmf"/><Relationship Id="rId22" Type="http://schemas.openxmlformats.org/officeDocument/2006/relationships/image" Target="media/image21.wmf"/><Relationship Id="rId23" Type="http://schemas.openxmlformats.org/officeDocument/2006/relationships/image" Target="media/image22.wmf"/><Relationship Id="rId24" Type="http://schemas.openxmlformats.org/officeDocument/2006/relationships/image" Target="media/image23.wmf"/><Relationship Id="rId25" Type="http://schemas.openxmlformats.org/officeDocument/2006/relationships/image" Target="media/image24.wmf"/><Relationship Id="rId26" Type="http://schemas.openxmlformats.org/officeDocument/2006/relationships/image" Target="media/image25.wmf"/><Relationship Id="rId27" Type="http://schemas.openxmlformats.org/officeDocument/2006/relationships/image" Target="media/image26.wmf"/><Relationship Id="rId28" Type="http://schemas.openxmlformats.org/officeDocument/2006/relationships/image" Target="media/image27.wmf"/><Relationship Id="rId29" Type="http://schemas.openxmlformats.org/officeDocument/2006/relationships/image" Target="media/image28.wmf"/><Relationship Id="rId30" Type="http://schemas.openxmlformats.org/officeDocument/2006/relationships/image" Target="media/image29.wmf"/><Relationship Id="rId31" Type="http://schemas.openxmlformats.org/officeDocument/2006/relationships/image" Target="media/image30.wmf"/><Relationship Id="rId32" Type="http://schemas.openxmlformats.org/officeDocument/2006/relationships/image" Target="media/image31.wmf"/><Relationship Id="rId33" Type="http://schemas.openxmlformats.org/officeDocument/2006/relationships/image" Target="media/image32.wmf"/><Relationship Id="rId34" Type="http://schemas.openxmlformats.org/officeDocument/2006/relationships/image" Target="media/image33.wmf"/><Relationship Id="rId35" Type="http://schemas.openxmlformats.org/officeDocument/2006/relationships/image" Target="media/image34.wmf"/><Relationship Id="rId36" Type="http://schemas.openxmlformats.org/officeDocument/2006/relationships/image" Target="media/image35.wmf"/><Relationship Id="rId37" Type="http://schemas.openxmlformats.org/officeDocument/2006/relationships/image" Target="media/image36.wmf"/><Relationship Id="rId38" Type="http://schemas.openxmlformats.org/officeDocument/2006/relationships/image" Target="media/image37.wmf"/><Relationship Id="rId39" Type="http://schemas.openxmlformats.org/officeDocument/2006/relationships/image" Target="media/image38.wmf"/><Relationship Id="rId40" Type="http://schemas.openxmlformats.org/officeDocument/2006/relationships/image" Target="media/image39.wmf"/><Relationship Id="rId41" Type="http://schemas.openxmlformats.org/officeDocument/2006/relationships/image" Target="media/image40.wmf"/><Relationship Id="rId42" Type="http://schemas.openxmlformats.org/officeDocument/2006/relationships/image" Target="media/image41.wmf"/><Relationship Id="rId43" Type="http://schemas.openxmlformats.org/officeDocument/2006/relationships/image" Target="media/image42.wmf"/><Relationship Id="rId44" Type="http://schemas.openxmlformats.org/officeDocument/2006/relationships/image" Target="media/image43.wmf"/><Relationship Id="rId45" Type="http://schemas.openxmlformats.org/officeDocument/2006/relationships/image" Target="media/image44.wmf"/><Relationship Id="rId46" Type="http://schemas.openxmlformats.org/officeDocument/2006/relationships/image" Target="media/image45.wmf"/><Relationship Id="rId47" Type="http://schemas.openxmlformats.org/officeDocument/2006/relationships/image" Target="media/image46.wmf"/><Relationship Id="rId48" Type="http://schemas.openxmlformats.org/officeDocument/2006/relationships/image" Target="media/image47.wmf"/><Relationship Id="rId49" Type="http://schemas.openxmlformats.org/officeDocument/2006/relationships/image" Target="media/image48.wmf"/><Relationship Id="rId50" Type="http://schemas.openxmlformats.org/officeDocument/2006/relationships/image" Target="media/image49.wmf"/><Relationship Id="rId51" Type="http://schemas.openxmlformats.org/officeDocument/2006/relationships/image" Target="media/image50.wmf"/><Relationship Id="rId52" Type="http://schemas.openxmlformats.org/officeDocument/2006/relationships/image" Target="media/image51.wmf"/><Relationship Id="rId53" Type="http://schemas.openxmlformats.org/officeDocument/2006/relationships/image" Target="media/image52.wmf"/><Relationship Id="rId54" Type="http://schemas.openxmlformats.org/officeDocument/2006/relationships/image" Target="media/image53.wmf"/><Relationship Id="rId55" Type="http://schemas.openxmlformats.org/officeDocument/2006/relationships/image" Target="media/image54.wmf"/><Relationship Id="rId56" Type="http://schemas.openxmlformats.org/officeDocument/2006/relationships/image" Target="media/image55.wmf"/><Relationship Id="rId57" Type="http://schemas.openxmlformats.org/officeDocument/2006/relationships/image" Target="media/image56.wmf"/><Relationship Id="rId58" Type="http://schemas.openxmlformats.org/officeDocument/2006/relationships/image" Target="media/image57.wmf"/><Relationship Id="rId59" Type="http://schemas.openxmlformats.org/officeDocument/2006/relationships/image" Target="media/image58.wmf"/><Relationship Id="rId60" Type="http://schemas.openxmlformats.org/officeDocument/2006/relationships/image" Target="media/image59.wmf"/><Relationship Id="rId61" Type="http://schemas.openxmlformats.org/officeDocument/2006/relationships/image" Target="media/image60.wmf"/><Relationship Id="rId62" Type="http://schemas.openxmlformats.org/officeDocument/2006/relationships/image" Target="media/image61.wmf"/><Relationship Id="rId63" Type="http://schemas.openxmlformats.org/officeDocument/2006/relationships/image" Target="media/image62.wmf"/><Relationship Id="rId64" Type="http://schemas.openxmlformats.org/officeDocument/2006/relationships/image" Target="media/image63.wmf"/><Relationship Id="rId65" Type="http://schemas.openxmlformats.org/officeDocument/2006/relationships/image" Target="media/image64.wmf"/><Relationship Id="rId66" Type="http://schemas.openxmlformats.org/officeDocument/2006/relationships/image" Target="media/image65.wmf"/><Relationship Id="rId67" Type="http://schemas.openxmlformats.org/officeDocument/2006/relationships/image" Target="media/image66.wmf"/><Relationship Id="rId68" Type="http://schemas.openxmlformats.org/officeDocument/2006/relationships/image" Target="media/image67.wmf"/><Relationship Id="rId69" Type="http://schemas.openxmlformats.org/officeDocument/2006/relationships/image" Target="media/image68.wmf"/><Relationship Id="rId70" Type="http://schemas.openxmlformats.org/officeDocument/2006/relationships/image" Target="media/image69.wmf"/><Relationship Id="rId71" Type="http://schemas.openxmlformats.org/officeDocument/2006/relationships/image" Target="media/image70.wmf"/><Relationship Id="rId72" Type="http://schemas.openxmlformats.org/officeDocument/2006/relationships/image" Target="media/image71.wmf"/><Relationship Id="rId73" Type="http://schemas.openxmlformats.org/officeDocument/2006/relationships/image" Target="media/image72.wmf"/><Relationship Id="rId74" Type="http://schemas.openxmlformats.org/officeDocument/2006/relationships/image" Target="media/image73.wmf"/><Relationship Id="rId75" Type="http://schemas.openxmlformats.org/officeDocument/2006/relationships/image" Target="media/image74.wmf"/><Relationship Id="rId76" Type="http://schemas.openxmlformats.org/officeDocument/2006/relationships/image" Target="media/image75.wmf"/><Relationship Id="rId77" Type="http://schemas.openxmlformats.org/officeDocument/2006/relationships/image" Target="media/image76.wmf"/><Relationship Id="rId78" Type="http://schemas.openxmlformats.org/officeDocument/2006/relationships/image" Target="media/image77.wmf"/><Relationship Id="rId79" Type="http://schemas.openxmlformats.org/officeDocument/2006/relationships/image" Target="media/image78.wmf"/><Relationship Id="rId80" Type="http://schemas.openxmlformats.org/officeDocument/2006/relationships/image" Target="media/image79.wmf"/><Relationship Id="rId81" Type="http://schemas.openxmlformats.org/officeDocument/2006/relationships/image" Target="media/image80.wmf"/><Relationship Id="rId82" Type="http://schemas.openxmlformats.org/officeDocument/2006/relationships/image" Target="media/image81.wmf"/><Relationship Id="rId83" Type="http://schemas.openxmlformats.org/officeDocument/2006/relationships/image" Target="media/image82.wmf"/><Relationship Id="rId84" Type="http://schemas.openxmlformats.org/officeDocument/2006/relationships/image" Target="media/image83.wmf"/><Relationship Id="rId85" Type="http://schemas.openxmlformats.org/officeDocument/2006/relationships/image" Target="media/image84.wmf"/><Relationship Id="rId86" Type="http://schemas.openxmlformats.org/officeDocument/2006/relationships/image" Target="media/image85.wmf"/><Relationship Id="rId87" Type="http://schemas.openxmlformats.org/officeDocument/2006/relationships/image" Target="media/image86.wmf"/><Relationship Id="rId88" Type="http://schemas.openxmlformats.org/officeDocument/2006/relationships/image" Target="media/image87.wmf"/><Relationship Id="rId89" Type="http://schemas.openxmlformats.org/officeDocument/2006/relationships/image" Target="media/image88.wmf"/><Relationship Id="rId90" Type="http://schemas.openxmlformats.org/officeDocument/2006/relationships/image" Target="media/image89.wmf"/><Relationship Id="rId91" Type="http://schemas.openxmlformats.org/officeDocument/2006/relationships/image" Target="media/image90.wmf"/><Relationship Id="rId92" Type="http://schemas.openxmlformats.org/officeDocument/2006/relationships/image" Target="media/image91.wmf"/><Relationship Id="rId93" Type="http://schemas.openxmlformats.org/officeDocument/2006/relationships/image" Target="media/image92.wmf"/><Relationship Id="rId94" Type="http://schemas.openxmlformats.org/officeDocument/2006/relationships/image" Target="media/image93.wmf"/><Relationship Id="rId95" Type="http://schemas.openxmlformats.org/officeDocument/2006/relationships/image" Target="media/image94.wmf"/><Relationship Id="rId96" Type="http://schemas.openxmlformats.org/officeDocument/2006/relationships/image" Target="media/image95.wmf"/><Relationship Id="rId97" Type="http://schemas.openxmlformats.org/officeDocument/2006/relationships/image" Target="media/image96.wmf"/><Relationship Id="rId98" Type="http://schemas.openxmlformats.org/officeDocument/2006/relationships/image" Target="media/image97.wmf"/><Relationship Id="rId99" Type="http://schemas.openxmlformats.org/officeDocument/2006/relationships/image" Target="media/image98.wmf"/><Relationship Id="rId100" Type="http://schemas.openxmlformats.org/officeDocument/2006/relationships/image" Target="media/image99.wmf"/><Relationship Id="rId101" Type="http://schemas.openxmlformats.org/officeDocument/2006/relationships/image" Target="media/image100.wmf"/><Relationship Id="rId102" Type="http://schemas.openxmlformats.org/officeDocument/2006/relationships/image" Target="media/image101.wmf"/><Relationship Id="rId103" Type="http://schemas.openxmlformats.org/officeDocument/2006/relationships/image" Target="media/image102.wmf"/><Relationship Id="rId104" Type="http://schemas.openxmlformats.org/officeDocument/2006/relationships/image" Target="media/image103.wmf"/><Relationship Id="rId105" Type="http://schemas.openxmlformats.org/officeDocument/2006/relationships/image" Target="media/image104.wmf"/><Relationship Id="rId106" Type="http://schemas.openxmlformats.org/officeDocument/2006/relationships/image" Target="media/image105.wmf"/><Relationship Id="rId107" Type="http://schemas.openxmlformats.org/officeDocument/2006/relationships/image" Target="media/image106.wmf"/><Relationship Id="rId108" Type="http://schemas.openxmlformats.org/officeDocument/2006/relationships/image" Target="media/image107.wmf"/><Relationship Id="rId109" Type="http://schemas.openxmlformats.org/officeDocument/2006/relationships/image" Target="media/image108.wmf"/><Relationship Id="rId110" Type="http://schemas.openxmlformats.org/officeDocument/2006/relationships/image" Target="media/image109.wmf"/><Relationship Id="rId111" Type="http://schemas.openxmlformats.org/officeDocument/2006/relationships/image" Target="media/image110.wmf"/><Relationship Id="rId112" Type="http://schemas.openxmlformats.org/officeDocument/2006/relationships/image" Target="media/image111.wmf"/><Relationship Id="rId113" Type="http://schemas.openxmlformats.org/officeDocument/2006/relationships/image" Target="media/image112.wmf"/><Relationship Id="rId114" Type="http://schemas.openxmlformats.org/officeDocument/2006/relationships/image" Target="media/image113.wmf"/><Relationship Id="rId115" Type="http://schemas.openxmlformats.org/officeDocument/2006/relationships/image" Target="media/image114.wmf"/><Relationship Id="rId116" Type="http://schemas.openxmlformats.org/officeDocument/2006/relationships/image" Target="media/image115.wmf"/><Relationship Id="rId117" Type="http://schemas.openxmlformats.org/officeDocument/2006/relationships/image" Target="media/image116.wmf"/><Relationship Id="rId118" Type="http://schemas.openxmlformats.org/officeDocument/2006/relationships/image" Target="media/image117.wmf"/><Relationship Id="rId119" Type="http://schemas.openxmlformats.org/officeDocument/2006/relationships/image" Target="media/image118.wmf"/><Relationship Id="rId120" Type="http://schemas.openxmlformats.org/officeDocument/2006/relationships/image" Target="media/image119.wmf"/><Relationship Id="rId121" Type="http://schemas.openxmlformats.org/officeDocument/2006/relationships/image" Target="media/image120.wmf"/><Relationship Id="rId122" Type="http://schemas.openxmlformats.org/officeDocument/2006/relationships/image" Target="media/image121.wmf"/><Relationship Id="rId123" Type="http://schemas.openxmlformats.org/officeDocument/2006/relationships/image" Target="media/image122.wmf"/><Relationship Id="rId124" Type="http://schemas.openxmlformats.org/officeDocument/2006/relationships/image" Target="media/image123.wmf"/><Relationship Id="rId125" Type="http://schemas.openxmlformats.org/officeDocument/2006/relationships/image" Target="media/image124.wmf"/><Relationship Id="rId126" Type="http://schemas.openxmlformats.org/officeDocument/2006/relationships/image" Target="media/image125.wmf"/><Relationship Id="rId127" Type="http://schemas.openxmlformats.org/officeDocument/2006/relationships/image" Target="media/image126.wmf"/><Relationship Id="rId128" Type="http://schemas.openxmlformats.org/officeDocument/2006/relationships/image" Target="media/image127.wmf"/><Relationship Id="rId129" Type="http://schemas.openxmlformats.org/officeDocument/2006/relationships/image" Target="media/image128.wmf"/><Relationship Id="rId130" Type="http://schemas.openxmlformats.org/officeDocument/2006/relationships/image" Target="media/image129.wmf"/><Relationship Id="rId131" Type="http://schemas.openxmlformats.org/officeDocument/2006/relationships/image" Target="media/image130.wmf"/><Relationship Id="rId132" Type="http://schemas.openxmlformats.org/officeDocument/2006/relationships/image" Target="media/image131.wmf"/><Relationship Id="rId133" Type="http://schemas.openxmlformats.org/officeDocument/2006/relationships/image" Target="media/image132.wmf"/><Relationship Id="rId134" Type="http://schemas.openxmlformats.org/officeDocument/2006/relationships/image" Target="media/image133.wmf"/><Relationship Id="rId135" Type="http://schemas.openxmlformats.org/officeDocument/2006/relationships/image" Target="media/image134.wmf"/><Relationship Id="rId136" Type="http://schemas.openxmlformats.org/officeDocument/2006/relationships/image" Target="media/image135.wmf"/><Relationship Id="rId137" Type="http://schemas.openxmlformats.org/officeDocument/2006/relationships/image" Target="media/image136.wmf"/><Relationship Id="rId138" Type="http://schemas.openxmlformats.org/officeDocument/2006/relationships/image" Target="media/image137.wmf"/><Relationship Id="rId139" Type="http://schemas.openxmlformats.org/officeDocument/2006/relationships/image" Target="media/image138.wmf"/><Relationship Id="rId140" Type="http://schemas.openxmlformats.org/officeDocument/2006/relationships/image" Target="media/image139.wmf"/><Relationship Id="rId141" Type="http://schemas.openxmlformats.org/officeDocument/2006/relationships/image" Target="media/image140.wmf"/><Relationship Id="rId142" Type="http://schemas.openxmlformats.org/officeDocument/2006/relationships/image" Target="media/image141.wmf"/><Relationship Id="rId143" Type="http://schemas.openxmlformats.org/officeDocument/2006/relationships/image" Target="media/image142.wmf"/><Relationship Id="rId144" Type="http://schemas.openxmlformats.org/officeDocument/2006/relationships/image" Target="media/image143.wmf"/><Relationship Id="rId145" Type="http://schemas.openxmlformats.org/officeDocument/2006/relationships/image" Target="media/image144.wmf"/><Relationship Id="rId146" Type="http://schemas.openxmlformats.org/officeDocument/2006/relationships/image" Target="media/image145.wmf"/><Relationship Id="rId147" Type="http://schemas.openxmlformats.org/officeDocument/2006/relationships/image" Target="media/image146.wmf"/><Relationship Id="rId148" Type="http://schemas.openxmlformats.org/officeDocument/2006/relationships/image" Target="media/image147.wmf"/><Relationship Id="rId149" Type="http://schemas.openxmlformats.org/officeDocument/2006/relationships/image" Target="media/image148.wmf"/><Relationship Id="rId150" Type="http://schemas.openxmlformats.org/officeDocument/2006/relationships/image" Target="media/image149.wmf"/><Relationship Id="rId151" Type="http://schemas.openxmlformats.org/officeDocument/2006/relationships/image" Target="media/image150.wmf"/><Relationship Id="rId152" Type="http://schemas.openxmlformats.org/officeDocument/2006/relationships/image" Target="media/image151.wmf"/><Relationship Id="rId153" Type="http://schemas.openxmlformats.org/officeDocument/2006/relationships/image" Target="media/image152.wmf"/><Relationship Id="rId154" Type="http://schemas.openxmlformats.org/officeDocument/2006/relationships/image" Target="media/image153.wmf"/><Relationship Id="rId155" Type="http://schemas.openxmlformats.org/officeDocument/2006/relationships/image" Target="media/image154.wmf"/><Relationship Id="rId156" Type="http://schemas.openxmlformats.org/officeDocument/2006/relationships/image" Target="media/image155.wmf"/><Relationship Id="rId157" Type="http://schemas.openxmlformats.org/officeDocument/2006/relationships/image" Target="media/image156.wmf"/><Relationship Id="rId158" Type="http://schemas.openxmlformats.org/officeDocument/2006/relationships/image" Target="media/image157.wmf"/><Relationship Id="rId159" Type="http://schemas.openxmlformats.org/officeDocument/2006/relationships/image" Target="media/image158.wmf"/><Relationship Id="rId160" Type="http://schemas.openxmlformats.org/officeDocument/2006/relationships/image" Target="media/image159.wmf"/><Relationship Id="rId161" Type="http://schemas.openxmlformats.org/officeDocument/2006/relationships/image" Target="media/image160.wmf"/><Relationship Id="rId162" Type="http://schemas.openxmlformats.org/officeDocument/2006/relationships/image" Target="media/image161.wmf"/><Relationship Id="rId163" Type="http://schemas.openxmlformats.org/officeDocument/2006/relationships/image" Target="media/image162.wmf"/><Relationship Id="rId164" Type="http://schemas.openxmlformats.org/officeDocument/2006/relationships/image" Target="media/image163.wmf"/><Relationship Id="rId165" Type="http://schemas.openxmlformats.org/officeDocument/2006/relationships/image" Target="media/image164.wmf"/><Relationship Id="rId166" Type="http://schemas.openxmlformats.org/officeDocument/2006/relationships/image" Target="media/image165.wmf"/><Relationship Id="rId167" Type="http://schemas.openxmlformats.org/officeDocument/2006/relationships/image" Target="media/image166.wmf"/><Relationship Id="rId168" Type="http://schemas.openxmlformats.org/officeDocument/2006/relationships/image" Target="media/image167.wmf"/><Relationship Id="rId169" Type="http://schemas.openxmlformats.org/officeDocument/2006/relationships/image" Target="media/image168.wmf"/><Relationship Id="rId170" Type="http://schemas.openxmlformats.org/officeDocument/2006/relationships/image" Target="media/image169.wmf"/><Relationship Id="rId171" Type="http://schemas.openxmlformats.org/officeDocument/2006/relationships/image" Target="media/image170.wmf"/><Relationship Id="rId172" Type="http://schemas.openxmlformats.org/officeDocument/2006/relationships/image" Target="media/image171.wmf"/><Relationship Id="rId173" Type="http://schemas.openxmlformats.org/officeDocument/2006/relationships/image" Target="media/image172.wmf"/><Relationship Id="rId174" Type="http://schemas.openxmlformats.org/officeDocument/2006/relationships/image" Target="media/image173.wmf"/><Relationship Id="rId175" Type="http://schemas.openxmlformats.org/officeDocument/2006/relationships/image" Target="media/image174.wmf"/><Relationship Id="rId176" Type="http://schemas.openxmlformats.org/officeDocument/2006/relationships/image" Target="media/image175.wmf"/><Relationship Id="rId177" Type="http://schemas.openxmlformats.org/officeDocument/2006/relationships/image" Target="media/image176.wmf"/><Relationship Id="rId178" Type="http://schemas.openxmlformats.org/officeDocument/2006/relationships/image" Target="media/image177.wmf"/><Relationship Id="rId179" Type="http://schemas.openxmlformats.org/officeDocument/2006/relationships/image" Target="media/image178.wmf"/><Relationship Id="rId180" Type="http://schemas.openxmlformats.org/officeDocument/2006/relationships/image" Target="media/image179.wmf"/><Relationship Id="rId181" Type="http://schemas.openxmlformats.org/officeDocument/2006/relationships/image" Target="media/image180.wmf"/><Relationship Id="rId182" Type="http://schemas.openxmlformats.org/officeDocument/2006/relationships/image" Target="media/image181.wmf"/><Relationship Id="rId183" Type="http://schemas.openxmlformats.org/officeDocument/2006/relationships/image" Target="media/image182.wmf"/><Relationship Id="rId184" Type="http://schemas.openxmlformats.org/officeDocument/2006/relationships/image" Target="media/image183.wmf"/><Relationship Id="rId185" Type="http://schemas.openxmlformats.org/officeDocument/2006/relationships/image" Target="media/image184.wmf"/><Relationship Id="rId186" Type="http://schemas.openxmlformats.org/officeDocument/2006/relationships/image" Target="media/image185.wmf"/><Relationship Id="rId187" Type="http://schemas.openxmlformats.org/officeDocument/2006/relationships/image" Target="media/image186.wmf"/><Relationship Id="rId188" Type="http://schemas.openxmlformats.org/officeDocument/2006/relationships/image" Target="media/image187.wmf"/><Relationship Id="rId189" Type="http://schemas.openxmlformats.org/officeDocument/2006/relationships/image" Target="media/image188.wmf"/><Relationship Id="rId190" Type="http://schemas.openxmlformats.org/officeDocument/2006/relationships/image" Target="media/image189.wmf"/><Relationship Id="rId191" Type="http://schemas.openxmlformats.org/officeDocument/2006/relationships/image" Target="media/image190.wmf"/><Relationship Id="rId192" Type="http://schemas.openxmlformats.org/officeDocument/2006/relationships/image" Target="media/image191.wmf"/><Relationship Id="rId193" Type="http://schemas.openxmlformats.org/officeDocument/2006/relationships/image" Target="media/image192.wmf"/><Relationship Id="rId194" Type="http://schemas.openxmlformats.org/officeDocument/2006/relationships/image" Target="media/image193.wmf"/><Relationship Id="rId195" Type="http://schemas.openxmlformats.org/officeDocument/2006/relationships/image" Target="media/image194.wmf"/><Relationship Id="rId196" Type="http://schemas.openxmlformats.org/officeDocument/2006/relationships/image" Target="media/image195.wmf"/><Relationship Id="rId197" Type="http://schemas.openxmlformats.org/officeDocument/2006/relationships/image" Target="media/image196.wmf"/><Relationship Id="rId198" Type="http://schemas.openxmlformats.org/officeDocument/2006/relationships/image" Target="media/image197.wmf"/><Relationship Id="rId199" Type="http://schemas.openxmlformats.org/officeDocument/2006/relationships/image" Target="media/image198.wmf"/><Relationship Id="rId200" Type="http://schemas.openxmlformats.org/officeDocument/2006/relationships/image" Target="media/image199.wmf"/><Relationship Id="rId201" Type="http://schemas.openxmlformats.org/officeDocument/2006/relationships/image" Target="media/image200.wmf"/><Relationship Id="rId202" Type="http://schemas.openxmlformats.org/officeDocument/2006/relationships/image" Target="media/image201.wmf"/><Relationship Id="rId203" Type="http://schemas.openxmlformats.org/officeDocument/2006/relationships/image" Target="media/image202.wmf"/><Relationship Id="rId204" Type="http://schemas.openxmlformats.org/officeDocument/2006/relationships/image" Target="media/image203.wmf"/><Relationship Id="rId205" Type="http://schemas.openxmlformats.org/officeDocument/2006/relationships/image" Target="media/image204.wmf"/><Relationship Id="rId206" Type="http://schemas.openxmlformats.org/officeDocument/2006/relationships/image" Target="media/image205.wmf"/><Relationship Id="rId207" Type="http://schemas.openxmlformats.org/officeDocument/2006/relationships/image" Target="media/image206.wmf"/><Relationship Id="rId208" Type="http://schemas.openxmlformats.org/officeDocument/2006/relationships/image" Target="media/image207.wmf"/><Relationship Id="rId209" Type="http://schemas.openxmlformats.org/officeDocument/2006/relationships/image" Target="media/image208.wmf"/><Relationship Id="rId210" Type="http://schemas.openxmlformats.org/officeDocument/2006/relationships/image" Target="media/image209.wmf"/><Relationship Id="rId211" Type="http://schemas.openxmlformats.org/officeDocument/2006/relationships/image" Target="media/image210.wmf"/><Relationship Id="rId212" Type="http://schemas.openxmlformats.org/officeDocument/2006/relationships/image" Target="media/image211.wmf"/><Relationship Id="rId213" Type="http://schemas.openxmlformats.org/officeDocument/2006/relationships/image" Target="media/image212.wmf"/><Relationship Id="rId214" Type="http://schemas.openxmlformats.org/officeDocument/2006/relationships/image" Target="media/image213.wmf"/><Relationship Id="rId215" Type="http://schemas.openxmlformats.org/officeDocument/2006/relationships/image" Target="media/image214.wmf"/><Relationship Id="rId216" Type="http://schemas.openxmlformats.org/officeDocument/2006/relationships/image" Target="media/image215.wmf"/><Relationship Id="rId217" Type="http://schemas.openxmlformats.org/officeDocument/2006/relationships/image" Target="media/image216.wmf"/><Relationship Id="rId218" Type="http://schemas.openxmlformats.org/officeDocument/2006/relationships/image" Target="media/image217.wmf"/><Relationship Id="rId219" Type="http://schemas.openxmlformats.org/officeDocument/2006/relationships/image" Target="media/image218.wmf"/><Relationship Id="rId220" Type="http://schemas.openxmlformats.org/officeDocument/2006/relationships/image" Target="media/image219.wmf"/><Relationship Id="rId221" Type="http://schemas.openxmlformats.org/officeDocument/2006/relationships/image" Target="media/image220.wmf"/><Relationship Id="rId222" Type="http://schemas.openxmlformats.org/officeDocument/2006/relationships/image" Target="media/image221.wmf"/><Relationship Id="rId223" Type="http://schemas.openxmlformats.org/officeDocument/2006/relationships/image" Target="media/image222.png"/><Relationship Id="rId224" Type="http://schemas.openxmlformats.org/officeDocument/2006/relationships/image" Target="media/image223.wmf"/><Relationship Id="rId225" Type="http://schemas.openxmlformats.org/officeDocument/2006/relationships/image" Target="media/image224.png"/><Relationship Id="rId226" Type="http://schemas.openxmlformats.org/officeDocument/2006/relationships/image" Target="media/image225.wmf"/><Relationship Id="rId227" Type="http://schemas.openxmlformats.org/officeDocument/2006/relationships/image" Target="media/image226.wmf"/><Relationship Id="rId228" Type="http://schemas.openxmlformats.org/officeDocument/2006/relationships/image" Target="media/image227.wmf"/><Relationship Id="rId229" Type="http://schemas.openxmlformats.org/officeDocument/2006/relationships/image" Target="media/image228.wmf"/><Relationship Id="rId230" Type="http://schemas.openxmlformats.org/officeDocument/2006/relationships/image" Target="media/image229.wmf"/><Relationship Id="rId231" Type="http://schemas.openxmlformats.org/officeDocument/2006/relationships/image" Target="media/image230.wmf"/><Relationship Id="rId232" Type="http://schemas.openxmlformats.org/officeDocument/2006/relationships/image" Target="media/image231.wmf"/><Relationship Id="rId233" Type="http://schemas.openxmlformats.org/officeDocument/2006/relationships/image" Target="media/image232.png"/><Relationship Id="rId234" Type="http://schemas.openxmlformats.org/officeDocument/2006/relationships/image" Target="media/image233.wmf"/><Relationship Id="rId235" Type="http://schemas.openxmlformats.org/officeDocument/2006/relationships/image" Target="media/image234.wmf"/><Relationship Id="rId236" Type="http://schemas.openxmlformats.org/officeDocument/2006/relationships/image" Target="media/image235.wmf"/><Relationship Id="rId237" Type="http://schemas.openxmlformats.org/officeDocument/2006/relationships/image" Target="media/image236.wmf"/><Relationship Id="rId238" Type="http://schemas.openxmlformats.org/officeDocument/2006/relationships/image" Target="media/image237.wmf"/><Relationship Id="rId239" Type="http://schemas.openxmlformats.org/officeDocument/2006/relationships/image" Target="media/image238.wmf"/><Relationship Id="rId240" Type="http://schemas.openxmlformats.org/officeDocument/2006/relationships/image" Target="media/image239.wmf"/><Relationship Id="rId241" Type="http://schemas.openxmlformats.org/officeDocument/2006/relationships/image" Target="media/image240.png"/><Relationship Id="rId242" Type="http://schemas.openxmlformats.org/officeDocument/2006/relationships/image" Target="media/image241.wmf"/><Relationship Id="rId243" Type="http://schemas.openxmlformats.org/officeDocument/2006/relationships/image" Target="media/image242.wmf"/><Relationship Id="rId244" Type="http://schemas.openxmlformats.org/officeDocument/2006/relationships/image" Target="media/image243.wmf"/><Relationship Id="rId245" Type="http://schemas.openxmlformats.org/officeDocument/2006/relationships/image" Target="media/image244.wmf"/><Relationship Id="rId246" Type="http://schemas.openxmlformats.org/officeDocument/2006/relationships/image" Target="media/image245.wmf"/><Relationship Id="rId247" Type="http://schemas.openxmlformats.org/officeDocument/2006/relationships/image" Target="media/image246.wmf"/><Relationship Id="rId248" Type="http://schemas.openxmlformats.org/officeDocument/2006/relationships/image" Target="media/image247.wmf"/><Relationship Id="rId249" Type="http://schemas.openxmlformats.org/officeDocument/2006/relationships/image" Target="media/image248.wmf"/><Relationship Id="rId250" Type="http://schemas.openxmlformats.org/officeDocument/2006/relationships/image" Target="media/image249.wmf"/><Relationship Id="rId251" Type="http://schemas.openxmlformats.org/officeDocument/2006/relationships/image" Target="media/image250.wmf"/><Relationship Id="rId252" Type="http://schemas.openxmlformats.org/officeDocument/2006/relationships/image" Target="media/image251.wmf"/><Relationship Id="rId253" Type="http://schemas.openxmlformats.org/officeDocument/2006/relationships/image" Target="media/image252.wmf"/><Relationship Id="rId254" Type="http://schemas.openxmlformats.org/officeDocument/2006/relationships/image" Target="media/image253.wmf"/><Relationship Id="rId255" Type="http://schemas.openxmlformats.org/officeDocument/2006/relationships/image" Target="media/image254.wmf"/><Relationship Id="rId256" Type="http://schemas.openxmlformats.org/officeDocument/2006/relationships/image" Target="media/image255.wmf"/><Relationship Id="rId257" Type="http://schemas.openxmlformats.org/officeDocument/2006/relationships/image" Target="media/image256.wmf"/><Relationship Id="rId258" Type="http://schemas.openxmlformats.org/officeDocument/2006/relationships/image" Target="media/image257.wmf"/><Relationship Id="rId259" Type="http://schemas.openxmlformats.org/officeDocument/2006/relationships/image" Target="media/image258.wmf"/><Relationship Id="rId260" Type="http://schemas.openxmlformats.org/officeDocument/2006/relationships/image" Target="media/image259.wmf"/><Relationship Id="rId261" Type="http://schemas.openxmlformats.org/officeDocument/2006/relationships/image" Target="media/image260.wmf"/><Relationship Id="rId262" Type="http://schemas.openxmlformats.org/officeDocument/2006/relationships/image" Target="media/image261.wmf"/><Relationship Id="rId263" Type="http://schemas.openxmlformats.org/officeDocument/2006/relationships/image" Target="media/image262.wmf"/><Relationship Id="rId264" Type="http://schemas.openxmlformats.org/officeDocument/2006/relationships/image" Target="media/image263.wmf"/><Relationship Id="rId265" Type="http://schemas.openxmlformats.org/officeDocument/2006/relationships/image" Target="media/image264.wmf"/><Relationship Id="rId266" Type="http://schemas.openxmlformats.org/officeDocument/2006/relationships/image" Target="media/image265.wmf"/><Relationship Id="rId267" Type="http://schemas.openxmlformats.org/officeDocument/2006/relationships/image" Target="media/image266.wmf"/><Relationship Id="rId268" Type="http://schemas.openxmlformats.org/officeDocument/2006/relationships/image" Target="media/image267.wmf"/><Relationship Id="rId269" Type="http://schemas.openxmlformats.org/officeDocument/2006/relationships/image" Target="media/image268.wmf"/><Relationship Id="rId270" Type="http://schemas.openxmlformats.org/officeDocument/2006/relationships/image" Target="media/image269.wmf"/><Relationship Id="rId271" Type="http://schemas.openxmlformats.org/officeDocument/2006/relationships/image" Target="media/image270.wmf"/><Relationship Id="rId272" Type="http://schemas.openxmlformats.org/officeDocument/2006/relationships/image" Target="media/image271.wmf"/><Relationship Id="rId273" Type="http://schemas.openxmlformats.org/officeDocument/2006/relationships/image" Target="media/image272.wmf"/><Relationship Id="rId274" Type="http://schemas.openxmlformats.org/officeDocument/2006/relationships/image" Target="media/image273.wmf"/><Relationship Id="rId275" Type="http://schemas.openxmlformats.org/officeDocument/2006/relationships/image" Target="media/image274.wmf"/><Relationship Id="rId276" Type="http://schemas.openxmlformats.org/officeDocument/2006/relationships/image" Target="media/image275.wmf"/><Relationship Id="rId277" Type="http://schemas.openxmlformats.org/officeDocument/2006/relationships/image" Target="media/image276.wmf"/><Relationship Id="rId278" Type="http://schemas.openxmlformats.org/officeDocument/2006/relationships/image" Target="media/image277.wmf"/><Relationship Id="rId279" Type="http://schemas.openxmlformats.org/officeDocument/2006/relationships/image" Target="media/image278.wmf"/><Relationship Id="rId280" Type="http://schemas.openxmlformats.org/officeDocument/2006/relationships/image" Target="media/image279.wmf"/><Relationship Id="rId281" Type="http://schemas.openxmlformats.org/officeDocument/2006/relationships/image" Target="media/image280.wmf"/><Relationship Id="rId282" Type="http://schemas.openxmlformats.org/officeDocument/2006/relationships/image" Target="media/image281.wmf"/><Relationship Id="rId283" Type="http://schemas.openxmlformats.org/officeDocument/2006/relationships/image" Target="media/image282.wmf"/><Relationship Id="rId284" Type="http://schemas.openxmlformats.org/officeDocument/2006/relationships/image" Target="media/image283.wmf"/><Relationship Id="rId285" Type="http://schemas.openxmlformats.org/officeDocument/2006/relationships/image" Target="media/image284.wmf"/><Relationship Id="rId286" Type="http://schemas.openxmlformats.org/officeDocument/2006/relationships/image" Target="media/image285.png"/><Relationship Id="rId287" Type="http://schemas.openxmlformats.org/officeDocument/2006/relationships/image" Target="media/image286.wmf"/><Relationship Id="rId288" Type="http://schemas.openxmlformats.org/officeDocument/2006/relationships/image" Target="media/image287.wmf"/><Relationship Id="rId289" Type="http://schemas.openxmlformats.org/officeDocument/2006/relationships/image" Target="media/image288.wmf"/><Relationship Id="rId290" Type="http://schemas.openxmlformats.org/officeDocument/2006/relationships/image" Target="media/image289.wmf"/><Relationship Id="rId291" Type="http://schemas.openxmlformats.org/officeDocument/2006/relationships/image" Target="media/image290.wmf"/><Relationship Id="rId292" Type="http://schemas.openxmlformats.org/officeDocument/2006/relationships/image" Target="media/image291.wmf"/><Relationship Id="rId293" Type="http://schemas.openxmlformats.org/officeDocument/2006/relationships/image" Target="media/image292.wmf"/><Relationship Id="rId294" Type="http://schemas.openxmlformats.org/officeDocument/2006/relationships/image" Target="media/image293.wmf"/><Relationship Id="rId295" Type="http://schemas.openxmlformats.org/officeDocument/2006/relationships/image" Target="media/image294.wmf"/><Relationship Id="rId296" Type="http://schemas.openxmlformats.org/officeDocument/2006/relationships/image" Target="media/image295.wmf"/><Relationship Id="rId297" Type="http://schemas.openxmlformats.org/officeDocument/2006/relationships/image" Target="media/image296.wmf"/><Relationship Id="rId298" Type="http://schemas.openxmlformats.org/officeDocument/2006/relationships/image" Target="media/image297.wmf"/><Relationship Id="rId299" Type="http://schemas.openxmlformats.org/officeDocument/2006/relationships/image" Target="media/image298.wmf"/><Relationship Id="rId300" Type="http://schemas.openxmlformats.org/officeDocument/2006/relationships/image" Target="media/image299.wmf"/><Relationship Id="rId301" Type="http://schemas.openxmlformats.org/officeDocument/2006/relationships/image" Target="media/image300.wmf"/><Relationship Id="rId302" Type="http://schemas.openxmlformats.org/officeDocument/2006/relationships/image" Target="media/image301.png"/><Relationship Id="rId303" Type="http://schemas.openxmlformats.org/officeDocument/2006/relationships/image" Target="media/image302.wmf"/><Relationship Id="rId304" Type="http://schemas.openxmlformats.org/officeDocument/2006/relationships/image" Target="media/image303.wmf"/><Relationship Id="rId305" Type="http://schemas.openxmlformats.org/officeDocument/2006/relationships/image" Target="media/image304.wmf"/><Relationship Id="rId306" Type="http://schemas.openxmlformats.org/officeDocument/2006/relationships/image" Target="media/image305.wmf"/><Relationship Id="rId307" Type="http://schemas.openxmlformats.org/officeDocument/2006/relationships/image" Target="media/image306.wmf"/><Relationship Id="rId308" Type="http://schemas.openxmlformats.org/officeDocument/2006/relationships/image" Target="media/image307.wmf"/><Relationship Id="rId309" Type="http://schemas.openxmlformats.org/officeDocument/2006/relationships/image" Target="media/image308.wmf"/><Relationship Id="rId310" Type="http://schemas.openxmlformats.org/officeDocument/2006/relationships/image" Target="media/image309.wmf"/><Relationship Id="rId311" Type="http://schemas.openxmlformats.org/officeDocument/2006/relationships/image" Target="media/image310.wmf"/><Relationship Id="rId312" Type="http://schemas.openxmlformats.org/officeDocument/2006/relationships/image" Target="media/image311.wmf"/><Relationship Id="rId313" Type="http://schemas.openxmlformats.org/officeDocument/2006/relationships/image" Target="media/image312.wmf"/><Relationship Id="rId314" Type="http://schemas.openxmlformats.org/officeDocument/2006/relationships/image" Target="media/image313.wmf"/><Relationship Id="rId315" Type="http://schemas.openxmlformats.org/officeDocument/2006/relationships/image" Target="media/image314.wmf"/><Relationship Id="rId316" Type="http://schemas.openxmlformats.org/officeDocument/2006/relationships/image" Target="media/image315.wmf"/><Relationship Id="rId317" Type="http://schemas.openxmlformats.org/officeDocument/2006/relationships/image" Target="media/image316.wmf"/><Relationship Id="rId318" Type="http://schemas.openxmlformats.org/officeDocument/2006/relationships/image" Target="media/image317.wmf"/><Relationship Id="rId319" Type="http://schemas.openxmlformats.org/officeDocument/2006/relationships/image" Target="media/image318.wmf"/><Relationship Id="rId320" Type="http://schemas.openxmlformats.org/officeDocument/2006/relationships/image" Target="media/image319.wmf"/><Relationship Id="rId321" Type="http://schemas.openxmlformats.org/officeDocument/2006/relationships/image" Target="media/image320.wmf"/><Relationship Id="rId322" Type="http://schemas.openxmlformats.org/officeDocument/2006/relationships/image" Target="media/image321.wmf"/><Relationship Id="rId323" Type="http://schemas.openxmlformats.org/officeDocument/2006/relationships/image" Target="media/image322.wmf"/><Relationship Id="rId324" Type="http://schemas.openxmlformats.org/officeDocument/2006/relationships/image" Target="media/image323.wmf"/><Relationship Id="rId325" Type="http://schemas.openxmlformats.org/officeDocument/2006/relationships/image" Target="media/image324.wmf"/><Relationship Id="rId326" Type="http://schemas.openxmlformats.org/officeDocument/2006/relationships/image" Target="media/image325.wmf"/><Relationship Id="rId327" Type="http://schemas.openxmlformats.org/officeDocument/2006/relationships/image" Target="media/image326.wmf"/><Relationship Id="rId328" Type="http://schemas.openxmlformats.org/officeDocument/2006/relationships/image" Target="media/image327.wmf"/><Relationship Id="rId329" Type="http://schemas.openxmlformats.org/officeDocument/2006/relationships/image" Target="media/image328.wmf"/><Relationship Id="rId330" Type="http://schemas.openxmlformats.org/officeDocument/2006/relationships/image" Target="media/image329.wmf"/><Relationship Id="rId331" Type="http://schemas.openxmlformats.org/officeDocument/2006/relationships/image" Target="media/image330.png"/><Relationship Id="rId332" Type="http://schemas.openxmlformats.org/officeDocument/2006/relationships/image" Target="media/image331.wmf"/><Relationship Id="rId333" Type="http://schemas.openxmlformats.org/officeDocument/2006/relationships/image" Target="media/image332.wmf"/><Relationship Id="rId334" Type="http://schemas.openxmlformats.org/officeDocument/2006/relationships/image" Target="media/image333.wmf"/><Relationship Id="rId335" Type="http://schemas.openxmlformats.org/officeDocument/2006/relationships/image" Target="media/image334.wmf"/><Relationship Id="rId336" Type="http://schemas.openxmlformats.org/officeDocument/2006/relationships/image" Target="media/image335.wmf"/><Relationship Id="rId337" Type="http://schemas.openxmlformats.org/officeDocument/2006/relationships/image" Target="media/image336.wmf"/><Relationship Id="rId338" Type="http://schemas.openxmlformats.org/officeDocument/2006/relationships/image" Target="media/image337.wmf"/><Relationship Id="rId339" Type="http://schemas.openxmlformats.org/officeDocument/2006/relationships/image" Target="media/image338.wmf"/><Relationship Id="rId340" Type="http://schemas.openxmlformats.org/officeDocument/2006/relationships/image" Target="media/image339.wmf"/><Relationship Id="rId341" Type="http://schemas.openxmlformats.org/officeDocument/2006/relationships/image" Target="media/image340.png"/><Relationship Id="rId342" Type="http://schemas.openxmlformats.org/officeDocument/2006/relationships/image" Target="media/image341.wmf"/><Relationship Id="rId343" Type="http://schemas.openxmlformats.org/officeDocument/2006/relationships/image" Target="media/image342.png"/><Relationship Id="rId344" Type="http://schemas.openxmlformats.org/officeDocument/2006/relationships/image" Target="media/image343.wmf"/><Relationship Id="rId345" Type="http://schemas.openxmlformats.org/officeDocument/2006/relationships/image" Target="media/image344.wmf"/><Relationship Id="rId346" Type="http://schemas.openxmlformats.org/officeDocument/2006/relationships/image" Target="media/image345.wmf"/><Relationship Id="rId347" Type="http://schemas.openxmlformats.org/officeDocument/2006/relationships/image" Target="media/image346.png"/><Relationship Id="rId348" Type="http://schemas.openxmlformats.org/officeDocument/2006/relationships/image" Target="media/image347.wmf"/><Relationship Id="rId349" Type="http://schemas.openxmlformats.org/officeDocument/2006/relationships/image" Target="media/image348.png"/><Relationship Id="rId350" Type="http://schemas.openxmlformats.org/officeDocument/2006/relationships/image" Target="media/image349.png"/><Relationship Id="rId351" Type="http://schemas.openxmlformats.org/officeDocument/2006/relationships/image" Target="media/image350.wmf"/><Relationship Id="rId352" Type="http://schemas.openxmlformats.org/officeDocument/2006/relationships/image" Target="media/image351.png"/><Relationship Id="rId353" Type="http://schemas.openxmlformats.org/officeDocument/2006/relationships/image" Target="media/image352.wmf"/><Relationship Id="rId354" Type="http://schemas.openxmlformats.org/officeDocument/2006/relationships/image" Target="media/image353.wmf"/><Relationship Id="rId355" Type="http://schemas.openxmlformats.org/officeDocument/2006/relationships/image" Target="media/image354.wmf"/><Relationship Id="rId356" Type="http://schemas.openxmlformats.org/officeDocument/2006/relationships/image" Target="media/image355.wmf"/><Relationship Id="rId357" Type="http://schemas.openxmlformats.org/officeDocument/2006/relationships/image" Target="media/image356.wmf"/><Relationship Id="rId358" Type="http://schemas.openxmlformats.org/officeDocument/2006/relationships/image" Target="media/image357.png"/><Relationship Id="rId359" Type="http://schemas.openxmlformats.org/officeDocument/2006/relationships/image" Target="media/image358.wmf"/><Relationship Id="rId360" Type="http://schemas.openxmlformats.org/officeDocument/2006/relationships/image" Target="media/image359.wmf"/><Relationship Id="rId361" Type="http://schemas.openxmlformats.org/officeDocument/2006/relationships/image" Target="media/image360.wmf"/><Relationship Id="rId362" Type="http://schemas.openxmlformats.org/officeDocument/2006/relationships/image" Target="media/image361.wmf"/><Relationship Id="rId363" Type="http://schemas.openxmlformats.org/officeDocument/2006/relationships/image" Target="media/image362.wmf"/><Relationship Id="rId364" Type="http://schemas.openxmlformats.org/officeDocument/2006/relationships/image" Target="media/image363.wmf"/><Relationship Id="rId365" Type="http://schemas.openxmlformats.org/officeDocument/2006/relationships/image" Target="media/image364.wmf"/><Relationship Id="rId366" Type="http://schemas.openxmlformats.org/officeDocument/2006/relationships/image" Target="media/image365.wmf"/><Relationship Id="rId367" Type="http://schemas.openxmlformats.org/officeDocument/2006/relationships/image" Target="media/image366.wmf"/><Relationship Id="rId368" Type="http://schemas.openxmlformats.org/officeDocument/2006/relationships/image" Target="media/image367.wmf"/><Relationship Id="rId369" Type="http://schemas.openxmlformats.org/officeDocument/2006/relationships/image" Target="media/image368.wmf"/><Relationship Id="rId370" Type="http://schemas.openxmlformats.org/officeDocument/2006/relationships/image" Target="media/image369.wmf"/><Relationship Id="rId371" Type="http://schemas.openxmlformats.org/officeDocument/2006/relationships/image" Target="media/image370.wmf"/><Relationship Id="rId372" Type="http://schemas.openxmlformats.org/officeDocument/2006/relationships/image" Target="media/image371.wmf"/><Relationship Id="rId373" Type="http://schemas.openxmlformats.org/officeDocument/2006/relationships/image" Target="media/image372.wmf"/><Relationship Id="rId374" Type="http://schemas.openxmlformats.org/officeDocument/2006/relationships/image" Target="media/image373.wmf"/><Relationship Id="rId375" Type="http://schemas.openxmlformats.org/officeDocument/2006/relationships/image" Target="media/image374.wmf"/><Relationship Id="rId376" Type="http://schemas.openxmlformats.org/officeDocument/2006/relationships/image" Target="media/image375.wmf"/><Relationship Id="rId377" Type="http://schemas.openxmlformats.org/officeDocument/2006/relationships/image" Target="media/image376.wmf"/><Relationship Id="rId378" Type="http://schemas.openxmlformats.org/officeDocument/2006/relationships/image" Target="media/image377.wmf"/><Relationship Id="rId379" Type="http://schemas.openxmlformats.org/officeDocument/2006/relationships/image" Target="media/image378.wmf"/><Relationship Id="rId380" Type="http://schemas.openxmlformats.org/officeDocument/2006/relationships/image" Target="media/image379.wmf"/><Relationship Id="rId381" Type="http://schemas.openxmlformats.org/officeDocument/2006/relationships/image" Target="media/image380.wmf"/><Relationship Id="rId382" Type="http://schemas.openxmlformats.org/officeDocument/2006/relationships/image" Target="media/image381.wmf"/><Relationship Id="rId383" Type="http://schemas.openxmlformats.org/officeDocument/2006/relationships/image" Target="media/image382.wmf"/><Relationship Id="rId384" Type="http://schemas.openxmlformats.org/officeDocument/2006/relationships/image" Target="media/image383.wmf"/><Relationship Id="rId385" Type="http://schemas.openxmlformats.org/officeDocument/2006/relationships/image" Target="media/image384.wmf"/><Relationship Id="rId386" Type="http://schemas.openxmlformats.org/officeDocument/2006/relationships/image" Target="media/image385.wmf"/><Relationship Id="rId387" Type="http://schemas.openxmlformats.org/officeDocument/2006/relationships/image" Target="media/image386.wmf"/><Relationship Id="rId388" Type="http://schemas.openxmlformats.org/officeDocument/2006/relationships/image" Target="media/image387.wmf"/><Relationship Id="rId389" Type="http://schemas.openxmlformats.org/officeDocument/2006/relationships/image" Target="media/image388.wmf"/><Relationship Id="rId390" Type="http://schemas.openxmlformats.org/officeDocument/2006/relationships/image" Target="media/image389.wmf"/><Relationship Id="rId391" Type="http://schemas.openxmlformats.org/officeDocument/2006/relationships/image" Target="media/image390.wmf"/><Relationship Id="rId392" Type="http://schemas.openxmlformats.org/officeDocument/2006/relationships/image" Target="media/image391.wmf"/><Relationship Id="rId393" Type="http://schemas.openxmlformats.org/officeDocument/2006/relationships/image" Target="media/image392.wmf"/><Relationship Id="rId394" Type="http://schemas.openxmlformats.org/officeDocument/2006/relationships/image" Target="media/image393.wmf"/><Relationship Id="rId395" Type="http://schemas.openxmlformats.org/officeDocument/2006/relationships/image" Target="media/image394.wmf"/><Relationship Id="rId396" Type="http://schemas.openxmlformats.org/officeDocument/2006/relationships/image" Target="media/image395.wmf"/><Relationship Id="rId397" Type="http://schemas.openxmlformats.org/officeDocument/2006/relationships/image" Target="media/image396.wmf"/><Relationship Id="rId398" Type="http://schemas.openxmlformats.org/officeDocument/2006/relationships/image" Target="media/image397.wmf"/><Relationship Id="rId399" Type="http://schemas.openxmlformats.org/officeDocument/2006/relationships/image" Target="media/image398.wmf"/><Relationship Id="rId400" Type="http://schemas.openxmlformats.org/officeDocument/2006/relationships/image" Target="media/image399.wmf"/><Relationship Id="rId401" Type="http://schemas.openxmlformats.org/officeDocument/2006/relationships/image" Target="media/image400.wmf"/><Relationship Id="rId402" Type="http://schemas.openxmlformats.org/officeDocument/2006/relationships/image" Target="media/image401.wmf"/><Relationship Id="rId403" Type="http://schemas.openxmlformats.org/officeDocument/2006/relationships/image" Target="media/image402.wmf"/><Relationship Id="rId404" Type="http://schemas.openxmlformats.org/officeDocument/2006/relationships/image" Target="media/image403.wmf"/><Relationship Id="rId405" Type="http://schemas.openxmlformats.org/officeDocument/2006/relationships/image" Target="media/image404.wmf"/><Relationship Id="rId406" Type="http://schemas.openxmlformats.org/officeDocument/2006/relationships/image" Target="media/image405.wmf"/><Relationship Id="rId407" Type="http://schemas.openxmlformats.org/officeDocument/2006/relationships/image" Target="media/image406.wmf"/><Relationship Id="rId408" Type="http://schemas.openxmlformats.org/officeDocument/2006/relationships/image" Target="media/image407.wmf"/><Relationship Id="rId409" Type="http://schemas.openxmlformats.org/officeDocument/2006/relationships/image" Target="media/image408.wmf"/><Relationship Id="rId410" Type="http://schemas.openxmlformats.org/officeDocument/2006/relationships/image" Target="media/image409.wmf"/><Relationship Id="rId411" Type="http://schemas.openxmlformats.org/officeDocument/2006/relationships/image" Target="media/image410.wmf"/><Relationship Id="rId412" Type="http://schemas.openxmlformats.org/officeDocument/2006/relationships/image" Target="media/image411.wmf"/><Relationship Id="rId413" Type="http://schemas.openxmlformats.org/officeDocument/2006/relationships/image" Target="media/image412.wmf"/><Relationship Id="rId414" Type="http://schemas.openxmlformats.org/officeDocument/2006/relationships/image" Target="media/image413.wmf"/><Relationship Id="rId415" Type="http://schemas.openxmlformats.org/officeDocument/2006/relationships/image" Target="media/image414.wmf"/><Relationship Id="rId416" Type="http://schemas.openxmlformats.org/officeDocument/2006/relationships/image" Target="media/image415.wmf"/><Relationship Id="rId417" Type="http://schemas.openxmlformats.org/officeDocument/2006/relationships/image" Target="media/image416.wmf"/><Relationship Id="rId418" Type="http://schemas.openxmlformats.org/officeDocument/2006/relationships/image" Target="media/image417.wmf"/><Relationship Id="rId419" Type="http://schemas.openxmlformats.org/officeDocument/2006/relationships/header" Target="header1.xml"/><Relationship Id="rId420" Type="http://schemas.openxmlformats.org/officeDocument/2006/relationships/footer" Target="footer1.xml"/><Relationship Id="rId421" Type="http://schemas.openxmlformats.org/officeDocument/2006/relationships/fontTable" Target="fontTable.xml"/><Relationship Id="rId4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Template>
  <TotalTime>5</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2001-08-20T10:15:00Z</dcterms:created>
  <dc:creator>Sergei An</dc:creator>
  <dc:description/>
  <dc:language>ru-RU</dc:language>
  <cp:lastModifiedBy>Sergei An</cp:lastModifiedBy>
  <dcterms:modified xsi:type="dcterms:W3CDTF">2001-08-20T10:20:00Z</dcterms:modified>
  <cp:revision>1</cp:revision>
  <dc:subject/>
  <dc:title>СТРОИТЕЛЬНЫЕ НОРМЫ И ПРАВИЛА</dc:title>
</cp:coreProperties>
</file>