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Изменение N 1 к Методическим указаниям</w:t>
        <w:br/>
        <w:t>"Комплексное обследование крановых путей грузоподъемных машин"</w:t>
        <w:br/>
        <w:t>(РД 10-138-97) Шифр РДИ 10-349(138)-00</w:t>
        <w:br/>
        <w:t>(утв. постановлением Госгортехнадзора РФ от 30 марта 2000 г. N 12)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20 апреля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Раздел 1, п.1.1 изложить в следующей редакции: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 xml:space="preserve">"Настоящий руководящий документ (РД) служит руководством по проведению обследования крановых путей и </w:t>
      </w:r>
      <w:hyperlink w:anchor="sub_2004">
        <w:r>
          <w:rPr>
            <w:rStyle w:val="Style16"/>
            <w:rFonts w:cs="Arial" w:ascii="Arial" w:hAnsi="Arial"/>
            <w:sz w:val="20"/>
            <w:szCs w:val="20"/>
            <w:u w:val="single"/>
          </w:rPr>
          <w:t>подкрановых строительных конструкций</w:t>
        </w:r>
      </w:hyperlink>
      <w:r>
        <w:rPr>
          <w:rFonts w:cs="Arial" w:ascii="Arial" w:hAnsi="Arial"/>
          <w:sz w:val="20"/>
          <w:szCs w:val="20"/>
        </w:rPr>
        <w:t>, выполняемых при обследовании грузоподъемных машин в период эксплуатации и с истекшим сроком службы согласно Методическим указаниям по обследованию грузоподъемных машин с истекшим сроком службы (РД 10-112-96), часть 1, утвержденным постановлением Госгортехнадзора России от 28.03.96 N 12.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РД не распространяется на </w:t>
      </w:r>
      <w:hyperlink w:anchor="sub_2001">
        <w:r>
          <w:rPr>
            <w:rStyle w:val="Style16"/>
            <w:rFonts w:cs="Arial" w:ascii="Arial" w:hAnsi="Arial"/>
            <w:sz w:val="20"/>
            <w:szCs w:val="20"/>
            <w:u w:val="single"/>
          </w:rPr>
          <w:t>рельсовые крановые пути</w:t>
        </w:r>
      </w:hyperlink>
      <w:r>
        <w:rPr>
          <w:rFonts w:cs="Arial" w:ascii="Arial" w:hAnsi="Arial"/>
          <w:sz w:val="20"/>
          <w:szCs w:val="20"/>
        </w:rPr>
        <w:t xml:space="preserve"> башенных кранов, находящихся в эксплуатации менее 12 мес, обследование указанных путей проводят согласно Правилам устройства и безопасной эксплуатации грузоподъемных кранов (ПБ 10-14-92), ГОСТ Р 51248-99".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Раздел 3. "Термины и определения"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"Применительно к настоящему РД используются термины и определения, приведенные в Правилах устройства и безопасной эксплуатации грузоподъемных кранов, РД 10-112-96, часть 1, а также следующие специальные термины и определения:</w:t>
      </w:r>
    </w:p>
    <w:p>
      <w:pPr>
        <w:pStyle w:val="Normal"/>
        <w:autoSpaceDE w:val="false"/>
        <w:ind w:firstLine="720"/>
        <w:jc w:val="both"/>
        <w:rPr/>
      </w:pPr>
      <w:bookmarkStart w:id="4" w:name="sub_2001"/>
      <w:bookmarkEnd w:id="4"/>
      <w:r>
        <w:rPr>
          <w:rFonts w:cs="Arial" w:ascii="Arial" w:hAnsi="Arial"/>
          <w:b/>
          <w:bCs/>
          <w:sz w:val="20"/>
          <w:szCs w:val="20"/>
        </w:rPr>
        <w:t>рельсовый крановый путь</w:t>
      </w:r>
      <w:r>
        <w:rPr>
          <w:rFonts w:cs="Arial" w:ascii="Arial" w:hAnsi="Arial"/>
          <w:sz w:val="20"/>
          <w:szCs w:val="20"/>
        </w:rPr>
        <w:t xml:space="preserve"> - устройство (сооружение), состоящее из направляющих (рельсов), соединений и креплений направляющих, а также путевого оборудования, предназначенное для передвижения по нему грузоподъемных машин на рельсовом ходу;</w:t>
      </w:r>
    </w:p>
    <w:p>
      <w:pPr>
        <w:pStyle w:val="Normal"/>
        <w:autoSpaceDE w:val="false"/>
        <w:ind w:firstLine="720"/>
        <w:jc w:val="both"/>
        <w:rPr/>
      </w:pPr>
      <w:bookmarkStart w:id="5" w:name="sub_2001"/>
      <w:bookmarkStart w:id="6" w:name="sub_2002"/>
      <w:bookmarkEnd w:id="5"/>
      <w:bookmarkEnd w:id="6"/>
      <w:r>
        <w:rPr>
          <w:rFonts w:cs="Arial" w:ascii="Arial" w:hAnsi="Arial"/>
          <w:b/>
          <w:bCs/>
          <w:sz w:val="20"/>
          <w:szCs w:val="20"/>
        </w:rPr>
        <w:t>надземный рельсовый крановый путь</w:t>
      </w:r>
      <w:r>
        <w:rPr>
          <w:rFonts w:cs="Arial" w:ascii="Arial" w:hAnsi="Arial"/>
          <w:sz w:val="20"/>
          <w:szCs w:val="20"/>
        </w:rPr>
        <w:t xml:space="preserve"> - рельсовый крановый путь, опирающийся на подкрановые строительные конструкции или подвешенный к ним;</w:t>
      </w:r>
    </w:p>
    <w:p>
      <w:pPr>
        <w:pStyle w:val="Normal"/>
        <w:autoSpaceDE w:val="false"/>
        <w:ind w:firstLine="720"/>
        <w:jc w:val="both"/>
        <w:rPr/>
      </w:pPr>
      <w:bookmarkStart w:id="7" w:name="sub_2002"/>
      <w:bookmarkStart w:id="8" w:name="sub_2003"/>
      <w:bookmarkEnd w:id="7"/>
      <w:bookmarkEnd w:id="8"/>
      <w:r>
        <w:rPr>
          <w:rFonts w:cs="Arial" w:ascii="Arial" w:hAnsi="Arial"/>
          <w:b/>
          <w:bCs/>
          <w:sz w:val="20"/>
          <w:szCs w:val="20"/>
        </w:rPr>
        <w:t>наземный рельсовый крановый путь</w:t>
      </w:r>
      <w:r>
        <w:rPr>
          <w:rFonts w:cs="Arial" w:ascii="Arial" w:hAnsi="Arial"/>
          <w:sz w:val="20"/>
          <w:szCs w:val="20"/>
        </w:rPr>
        <w:t xml:space="preserve"> - рельсовый крановый путь, опирающийся на подрельсовые опоры, балластный слой и (или) другие элементы, передающие крановые нагрузки на грунт земляного полотна;</w:t>
      </w:r>
    </w:p>
    <w:p>
      <w:pPr>
        <w:pStyle w:val="Normal"/>
        <w:autoSpaceDE w:val="false"/>
        <w:ind w:firstLine="720"/>
        <w:jc w:val="both"/>
        <w:rPr/>
      </w:pPr>
      <w:bookmarkStart w:id="9" w:name="sub_2003"/>
      <w:bookmarkStart w:id="10" w:name="sub_2004"/>
      <w:bookmarkEnd w:id="9"/>
      <w:bookmarkEnd w:id="10"/>
      <w:r>
        <w:rPr>
          <w:rFonts w:cs="Arial" w:ascii="Arial" w:hAnsi="Arial"/>
          <w:b/>
          <w:bCs/>
          <w:sz w:val="20"/>
          <w:szCs w:val="20"/>
        </w:rPr>
        <w:t>подкрановые строительные конструкции</w:t>
      </w:r>
      <w:r>
        <w:rPr>
          <w:rFonts w:cs="Arial" w:ascii="Arial" w:hAnsi="Arial"/>
          <w:sz w:val="20"/>
          <w:szCs w:val="20"/>
        </w:rPr>
        <w:t xml:space="preserve"> - строительные конструкции (подкрановые балки, фермы, подкраново-подстропильные балки и фермы), предназначенные для опирания (подвески) рельсового кранового пути, восприятия крановых нагрузок и обеспечения пространственной жесткости и устойчивости каркаса".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004"/>
      <w:bookmarkStart w:id="12" w:name="sub_3"/>
      <w:bookmarkEnd w:id="11"/>
      <w:bookmarkEnd w:id="12"/>
      <w:r>
        <w:rPr>
          <w:rFonts w:cs="Arial" w:ascii="Arial" w:hAnsi="Arial"/>
          <w:sz w:val="20"/>
          <w:szCs w:val="20"/>
        </w:rPr>
        <w:t>3. Раздел 6, п.6.1, подпункт 2)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sz w:val="20"/>
          <w:szCs w:val="20"/>
        </w:rPr>
        <w:t>"Первичное или повторные комплексные обследования крановых путей следует проводить в сроки, предусмотренные нормативными документами на обследование кранов, согласно РД 10-112-96, часть 1, а подкрановых строительных конструкций - согласно РД 22-01-97 "Требования к проведению оценки безопасности эксплуатации производственных зданий и сооружений поднадзорных промышленных производств и объектов (обследование строительных конструкций специализированными организациями)", согласованному с Госгортехнадзором России 21.12.97".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"/>
      <w:bookmarkEnd w:id="14"/>
      <w:r>
        <w:rPr>
          <w:rFonts w:cs="Arial" w:ascii="Arial" w:hAnsi="Arial"/>
          <w:sz w:val="20"/>
          <w:szCs w:val="20"/>
        </w:rPr>
        <w:t>4. Раздел 6, п.6.2, подпункт 5) дополнить после слов в скобках "при наличии" следующим текстом: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"/>
      <w:bookmarkEnd w:id="15"/>
      <w:r>
        <w:rPr>
          <w:rFonts w:cs="Arial" w:ascii="Arial" w:hAnsi="Arial"/>
          <w:sz w:val="20"/>
          <w:szCs w:val="20"/>
        </w:rPr>
        <w:t>"... который должен быть составлен по форме, рекомендованной приложением 13 к РД 10-117-95 "Требования к устройству и безопасной эксплуатации рельсовых путей козловых кранов", а надземного - по той же форме без пп.1.1, 1.2 и раздела 7 с включением в нее дополнительно данных о типах, основных параметрах, размерах и характеристиках подкрановых строительных конструкций. В "Паспорте..." должны быть приведены полные названия и юридические адреса организаций, составивших документ, а также указаны номера лицензий в соответствии с требованиями раздела 9 настоящего РД".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"Проектная документация и паспорт должны быть откорректированы по результатам обследования и приведены в соответствие данным, отражающим фактическое состояние </w:t>
      </w:r>
      <w:hyperlink w:anchor="sub_2001">
        <w:r>
          <w:rPr>
            <w:rStyle w:val="Style16"/>
            <w:rFonts w:cs="Arial" w:ascii="Arial" w:hAnsi="Arial"/>
            <w:sz w:val="20"/>
            <w:szCs w:val="20"/>
            <w:u w:val="single"/>
          </w:rPr>
          <w:t>рельсового кранового пути</w:t>
        </w:r>
      </w:hyperlink>
      <w:r>
        <w:rPr>
          <w:rFonts w:cs="Arial" w:ascii="Arial" w:hAnsi="Arial"/>
          <w:sz w:val="20"/>
          <w:szCs w:val="20"/>
        </w:rPr>
        <w:t xml:space="preserve"> (в том числе результаты проведенных реконструкций). При отсутствии исходной проектной документации или паспорта кранового пути организация, проводящая обследование (либо иная специализированная организация), вносит соответствующие изменения или составляет новый паспорт".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5"/>
      <w:bookmarkEnd w:id="16"/>
      <w:r>
        <w:rPr>
          <w:rFonts w:cs="Arial" w:ascii="Arial" w:hAnsi="Arial"/>
          <w:sz w:val="20"/>
          <w:szCs w:val="20"/>
        </w:rPr>
        <w:t>5. Раздел 8, п.8.3, подпункт 1)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"/>
      <w:bookmarkEnd w:id="17"/>
      <w:r>
        <w:rPr>
          <w:rFonts w:cs="Arial" w:ascii="Arial" w:hAnsi="Arial"/>
          <w:sz w:val="20"/>
          <w:szCs w:val="20"/>
        </w:rPr>
        <w:t>"Внешний осмотр и выполнение необходимых геометрических размеров направляющих (рельсов, двутавров, квадратов), по которым перемещаются ходовые колеса грузоподьемной машины, для определения фактического износа направляющих, а также выявления на них трещин, выколов, вмятин и других недопустимых дефектов (повреждений)".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6"/>
      <w:bookmarkEnd w:id="18"/>
      <w:r>
        <w:rPr>
          <w:rFonts w:cs="Arial" w:ascii="Arial" w:hAnsi="Arial"/>
          <w:sz w:val="20"/>
          <w:szCs w:val="20"/>
        </w:rPr>
        <w:t>6. Раздел 8, п.8.3, подпункт 6)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"/>
      <w:bookmarkEnd w:id="19"/>
      <w:r>
        <w:rPr>
          <w:rFonts w:cs="Arial" w:ascii="Arial" w:hAnsi="Arial"/>
          <w:sz w:val="20"/>
          <w:szCs w:val="20"/>
        </w:rPr>
        <w:t>"Измерение отклонений элементов крановых путей от проектного положения в плане и профиле (планово-высотная съемка) с применением геодезических приборов (выполняется при остановленном кране, находящемся в начале или конце пути, желательно вне зоны активного использования при эксплуатации).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упругой просадки кранового пути выполняют с учетом рекомендаций РД 10-177-95 под нагрузкой от крана с грузом.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оценке предельно допустимых отклонений рельсов от проектного положения и величин дефектов следует руководствоваться требованиями РД 22-01-97, ГОСТ 23121-78, СНиП 2.03.01-84 (для </w:t>
      </w:r>
      <w:hyperlink w:anchor="sub_2004">
        <w:r>
          <w:rPr>
            <w:rStyle w:val="Style16"/>
            <w:rFonts w:cs="Arial" w:ascii="Arial" w:hAnsi="Arial"/>
            <w:sz w:val="20"/>
            <w:szCs w:val="20"/>
            <w:u w:val="single"/>
          </w:rPr>
          <w:t>подкрановых строительных конструкций</w:t>
        </w:r>
      </w:hyperlink>
      <w:r>
        <w:rPr>
          <w:rFonts w:cs="Arial" w:ascii="Arial" w:hAnsi="Arial"/>
          <w:sz w:val="20"/>
          <w:szCs w:val="20"/>
        </w:rPr>
        <w:t>), инструкций по монтажу и эксплуатации (для подвесных путей) и других нормативных документов".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7"/>
      <w:bookmarkEnd w:id="20"/>
      <w:r>
        <w:rPr>
          <w:rFonts w:cs="Arial" w:ascii="Arial" w:hAnsi="Arial"/>
          <w:sz w:val="20"/>
          <w:szCs w:val="20"/>
        </w:rPr>
        <w:t>7. Раздел 9, подпункт 2) дополнить текстом: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7"/>
      <w:bookmarkEnd w:id="21"/>
      <w:r>
        <w:rPr>
          <w:rFonts w:cs="Arial" w:ascii="Arial" w:hAnsi="Arial"/>
          <w:sz w:val="20"/>
          <w:szCs w:val="20"/>
        </w:rPr>
        <w:t>"Специализированная организация, проводящая обследование крановых путей (и грузоподъемной машины) должна иметь лицензию Госгортехнадзора России, а при обследовании подкрановых строительных конструкций - лицензию Госстроя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обследования подкрановых строительных конструкций организации, имеющие лицензию Госгортехнадзора России, могут привлекать в состав комиссии на договорной основе представителей организаций, имеющих лицензии Госстроя России на проведение обследования подкрановых строительных конструкций".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8"/>
      <w:bookmarkEnd w:id="22"/>
      <w:r>
        <w:rPr>
          <w:rFonts w:cs="Arial" w:ascii="Arial" w:hAnsi="Arial"/>
          <w:sz w:val="20"/>
          <w:szCs w:val="20"/>
        </w:rPr>
        <w:t>8. Раздел 9, подпункт 4)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8"/>
      <w:bookmarkEnd w:id="23"/>
      <w:r>
        <w:rPr>
          <w:rFonts w:cs="Arial" w:ascii="Arial" w:hAnsi="Arial"/>
          <w:sz w:val="20"/>
          <w:szCs w:val="20"/>
        </w:rPr>
        <w:t>"Требования к персоналу по обследованию крановых путей - согласно РД 10-112-96, часть 1, а подкрановых строительных конструкций - согласно нормативным документам Госстроя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9"/>
      <w:bookmarkEnd w:id="24"/>
      <w:r>
        <w:rPr>
          <w:rFonts w:cs="Arial" w:ascii="Arial" w:hAnsi="Arial"/>
          <w:sz w:val="20"/>
          <w:szCs w:val="20"/>
        </w:rPr>
        <w:t>9. Раздел 9, подпункт 7) исключить.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"/>
      <w:bookmarkStart w:id="26" w:name="sub_10"/>
      <w:bookmarkEnd w:id="25"/>
      <w:bookmarkEnd w:id="26"/>
      <w:r>
        <w:rPr>
          <w:rFonts w:cs="Arial" w:ascii="Arial" w:hAnsi="Arial"/>
          <w:sz w:val="20"/>
          <w:szCs w:val="20"/>
        </w:rPr>
        <w:t>10. Приложение 3, раздел 1 исключить, а раздел 2 использовать как "справочный".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"/>
      <w:bookmarkStart w:id="28" w:name="sub_11"/>
      <w:bookmarkEnd w:id="27"/>
      <w:bookmarkEnd w:id="28"/>
      <w:r>
        <w:rPr>
          <w:rFonts w:cs="Arial" w:ascii="Arial" w:hAnsi="Arial"/>
          <w:sz w:val="20"/>
          <w:szCs w:val="20"/>
        </w:rPr>
        <w:t>11. Приложение 6 дополнить следующим текстом: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"/>
      <w:bookmarkStart w:id="30" w:name="sub_11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ВНИИПТмаш      │</w:t>
      </w:r>
      <w:hyperlink w:anchor="sub_2001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Рельсовые крановые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кранов│109386,          Москва,│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мостового   типа,   кабельных,│Люблинская ул., 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портальных,       консольных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электроталей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СКТБ БК        │Рельсовые крановые пути кранов│129301,          Москва,│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башенных                     и│ул.Касаткина,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кранов-лесопогрузчиков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ЦНИИОМТП       │Крановые  пути  грузоподъемных│127434,          Москва,│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                      │Дмитровское ш., 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2007-01-31T19:09:00Z</dcterms:created>
  <dc:creator>Виктор</dc:creator>
  <dc:description/>
  <dc:language>ru-RU</dc:language>
  <cp:lastModifiedBy>Виктор</cp:lastModifiedBy>
  <dcterms:modified xsi:type="dcterms:W3CDTF">2007-01-31T19:09:00Z</dcterms:modified>
  <cp:revision>2</cp:revision>
  <dc:subject/>
  <dc:title/>
</cp:coreProperties>
</file>