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Приказ Госгортехнадзора РФ от 6 июня 2003 г. N 122</w:t>
        <w:br/>
        <w:t>"Об утверждении состава редакционной комиссии по подготовке проекта</w:t>
        <w:br/>
        <w:t>Инструкции по безопасной эксплуатации электроустановок</w:t>
        <w:br/>
        <w:t>в горнорудной промышленности"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0" w:name="sub_199544672"/>
      <w:bookmarkEnd w:id="0"/>
      <w:r>
        <w:rPr>
          <w:rFonts w:cs="Arial" w:ascii="Arial" w:hAnsi="Arial"/>
          <w:i/>
          <w:iCs/>
          <w:sz w:val="20"/>
          <w:szCs w:val="20"/>
        </w:rPr>
        <w:t>См. также Указание Госгортехнадзора РФ от 5 июня 2003 г. N У-78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" w:name="sub_199544672"/>
      <w:bookmarkStart w:id="2" w:name="sub_199544672"/>
      <w:bookmarkEnd w:id="2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связи с необходимостью подготовки окончательной редакции проекта Инструкции по безопасной эксплуатации электроустановок в горнорудной промышленности приказываю: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" w:name="sub_1"/>
      <w:bookmarkEnd w:id="3"/>
      <w:r>
        <w:rPr>
          <w:rFonts w:cs="Arial" w:ascii="Arial" w:hAnsi="Arial"/>
          <w:sz w:val="20"/>
          <w:szCs w:val="20"/>
        </w:rPr>
        <w:t>1. Создать редакционную комиссию в следующем составе: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" w:name="sub_1"/>
      <w:bookmarkStart w:id="5" w:name="sub_1"/>
      <w:bookmarkEnd w:id="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Челышев  А.Н.    -  заместитель   начальника   Госгортехнадзора    России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(председатель комиссии);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Перепелицын А.И. -  начальник  Управления  по   надзору   в   горнорудной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промышленности Госгортехнадзора  России  (заместитель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председателя комиссии);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Пьянников В.П.   -  заместитель  начальника  Управления  по   надзору   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горнорудной промышленности Госгортехнадзора России;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Талисман  В.Л.   -  главный   специалист   Управления   по   надзору    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горнорудной промышленности;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Сычев К.К.       -  ведущий   специалист   Управления   по   надзору    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горнорудной промышленности;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Стандрик Р.А.    -  начальник   отдела   Научно-технического   управления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Госгортехнадзора России;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Ситникова Е.Г.   -  ведущий   специалист   Управления   международных   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правовых отношений Госгортехнадзора России;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" w:name="sub_2"/>
      <w:bookmarkEnd w:id="6"/>
      <w:r>
        <w:rPr>
          <w:rFonts w:cs="Arial" w:ascii="Arial" w:hAnsi="Arial"/>
          <w:sz w:val="20"/>
          <w:szCs w:val="20"/>
        </w:rPr>
        <w:t>2. Редакционной комиссии обеспечить проведение необходимых рассмотрений и согласований проекта Инструкции по безопасной эксплуатации электроустановок в горнорудной промышленности.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" w:name="sub_2"/>
      <w:bookmarkStart w:id="8" w:name="sub_3"/>
      <w:bookmarkEnd w:id="7"/>
      <w:bookmarkEnd w:id="8"/>
      <w:r>
        <w:rPr>
          <w:rFonts w:cs="Arial" w:ascii="Arial" w:hAnsi="Arial"/>
          <w:sz w:val="20"/>
          <w:szCs w:val="20"/>
        </w:rPr>
        <w:t>3. Контроль за исполнением настоящего приказа возложить на начальника Управления по надзору в горнорудной промышленности А.И.Перепелицына.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" w:name="sub_3"/>
      <w:bookmarkStart w:id="10" w:name="sub_3"/>
      <w:bookmarkEnd w:id="10"/>
      <w:r>
        <w:rPr>
          <w:rFonts w:cs="Courier New" w:ascii="Courier New" w:hAnsi="Courier New"/>
          <w:sz w:val="20"/>
          <w:szCs w:val="20"/>
        </w:rPr>
      </w:r>
    </w:p>
    <w:tbl>
      <w:tblPr>
        <w:tblW w:w="10422" w:type="dxa"/>
        <w:jc w:val="start"/>
        <w:tblInd w:w="0" w:type="dxa"/>
        <w:tblBorders/>
        <w:tblCellMar>
          <w:top w:w="0" w:type="dxa"/>
          <w:start w:w="108" w:type="dxa"/>
          <w:bottom w:w="0" w:type="dxa"/>
          <w:end w:w="108" w:type="dxa"/>
        </w:tblCellMar>
      </w:tblPr>
      <w:tblGrid>
        <w:gridCol w:w="5275"/>
        <w:gridCol w:w="5147"/>
      </w:tblGrid>
      <w:tr>
        <w:trPr/>
        <w:tc>
          <w:tcPr>
            <w:tcW w:w="5275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Начальник Госгортехнадзора России </w:t>
            </w:r>
          </w:p>
        </w:tc>
        <w:tc>
          <w:tcPr>
            <w:tcW w:w="5147" w:type="dxa"/>
            <w:tcBorders/>
            <w:shd w:fill="auto" w:val="clear"/>
          </w:tcPr>
          <w:p>
            <w:pPr>
              <w:pStyle w:val="Normal"/>
              <w:autoSpaceDE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В.М.Кульечев</w:t>
            </w:r>
          </w:p>
        </w:tc>
      </w:tr>
    </w:tbl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Arial">
    <w:charset w:val="cc" w:characterSet="windows-1251"/>
    <w:family w:val="swiss"/>
    <w:pitch w:val="variable"/>
  </w:font>
  <w:font w:name="Liberation Sans">
    <w:altName w:val="Arial"/>
    <w:charset w:val="01" w:characterSet="utf-8"/>
    <w:family w:val="swiss"/>
    <w:pitch w:val="variable"/>
  </w:font>
  <w:font w:name="Courier New">
    <w:charset w:val="cc" w:characterSet="windows-1251"/>
    <w:family w:val="moder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start"/>
      <w:pPr>
        <w:tabs>
          <w:tab w:val="num" w:pos="432"/>
        </w:tabs>
        <w:ind w:start="432" w:hanging="432"/>
      </w:pPr>
    </w:lvl>
    <w:lvl w:ilvl="1">
      <w:start w:val="1"/>
      <w:numFmt w:val="none"/>
      <w:suff w:val="nothing"/>
      <w:lvlText w:val=""/>
      <w:lvlJc w:val="start"/>
      <w:pPr>
        <w:tabs>
          <w:tab w:val="num" w:pos="576"/>
        </w:tabs>
        <w:ind w:start="576" w:hanging="576"/>
      </w:pPr>
    </w:lvl>
    <w:lvl w:ilvl="2">
      <w:start w:val="1"/>
      <w:numFmt w:val="none"/>
      <w:suff w:val="nothing"/>
      <w:lvlText w:val=""/>
      <w:lvlJc w:val="start"/>
      <w:pPr>
        <w:tabs>
          <w:tab w:val="num" w:pos="720"/>
        </w:tabs>
        <w:ind w:start="720" w:hanging="720"/>
      </w:pPr>
    </w:lvl>
    <w:lvl w:ilvl="3">
      <w:start w:val="1"/>
      <w:numFmt w:val="none"/>
      <w:suff w:val="nothing"/>
      <w:lvlText w:val=""/>
      <w:lvlJc w:val="start"/>
      <w:pPr>
        <w:tabs>
          <w:tab w:val="num" w:pos="864"/>
        </w:tabs>
        <w:ind w:start="864" w:hanging="864"/>
      </w:pPr>
    </w:lvl>
    <w:lvl w:ilvl="4">
      <w:start w:val="1"/>
      <w:numFmt w:val="none"/>
      <w:suff w:val="nothing"/>
      <w:lvlText w:val=""/>
      <w:lvlJc w:val="start"/>
      <w:pPr>
        <w:tabs>
          <w:tab w:val="num" w:pos="1008"/>
        </w:tabs>
        <w:ind w:start="1008" w:hanging="1008"/>
      </w:pPr>
    </w:lvl>
    <w:lvl w:ilvl="5">
      <w:start w:val="1"/>
      <w:numFmt w:val="none"/>
      <w:suff w:val="nothing"/>
      <w:lvlText w:val=""/>
      <w:lvlJc w:val="start"/>
      <w:pPr>
        <w:tabs>
          <w:tab w:val="num" w:pos="1152"/>
        </w:tabs>
        <w:ind w:start="1152" w:hanging="1152"/>
      </w:pPr>
    </w:lvl>
    <w:lvl w:ilvl="6">
      <w:start w:val="1"/>
      <w:numFmt w:val="none"/>
      <w:suff w:val="nothing"/>
      <w:lvlText w:val=""/>
      <w:lvlJc w:val="start"/>
      <w:pPr>
        <w:tabs>
          <w:tab w:val="num" w:pos="1296"/>
        </w:tabs>
        <w:ind w:start="1296" w:hanging="1296"/>
      </w:pPr>
    </w:lvl>
    <w:lvl w:ilvl="7">
      <w:start w:val="1"/>
      <w:numFmt w:val="none"/>
      <w:suff w:val="nothing"/>
      <w:lvlText w:val=""/>
      <w:lvlJc w:val="start"/>
      <w:pPr>
        <w:tabs>
          <w:tab w:val="num" w:pos="1440"/>
        </w:tabs>
        <w:ind w:start="1440" w:hanging="1440"/>
      </w:pPr>
    </w:lvl>
    <w:lvl w:ilvl="8">
      <w:start w:val="1"/>
      <w:numFmt w:val="none"/>
      <w:suff w:val="nothing"/>
      <w:lvlText w:val=""/>
      <w:lvlJc w:val="start"/>
      <w:pPr>
        <w:tabs>
          <w:tab w:val="num" w:pos="1584"/>
        </w:tabs>
        <w:ind w:star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1">
    <w:name w:val="Heading 1"/>
    <w:basedOn w:val="Normal"/>
    <w:next w:val="Normal"/>
    <w:qFormat/>
    <w:pPr>
      <w:numPr>
        <w:ilvl w:val="0"/>
        <w:numId w:val="1"/>
      </w:numPr>
      <w:autoSpaceDE w:val="false"/>
      <w:spacing w:before="108" w:after="108"/>
      <w:jc w:val="center"/>
      <w:outlineLvl w:val="0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styleId="Style13">
    <w:name w:val="Основной шрифт абзаца"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Style19">
    <w:name w:val="Текст (лев. подпись)"/>
    <w:basedOn w:val="Normal"/>
    <w:next w:val="Normal"/>
    <w:qFormat/>
    <w:pPr>
      <w:autoSpaceDE w:val="false"/>
    </w:pPr>
    <w:rPr>
      <w:rFonts w:ascii="Arial" w:hAnsi="Arial" w:cs="Arial"/>
      <w:sz w:val="20"/>
      <w:szCs w:val="20"/>
    </w:rPr>
  </w:style>
  <w:style w:type="paragraph" w:styleId="Style20">
    <w:name w:val="Текст (прав. подпись)"/>
    <w:basedOn w:val="Normal"/>
    <w:next w:val="Normal"/>
    <w:qFormat/>
    <w:pPr>
      <w:autoSpaceDE w:val="false"/>
      <w:jc w:val="end"/>
    </w:pPr>
    <w:rPr>
      <w:rFonts w:ascii="Arial" w:hAnsi="Arial" w:cs="Arial"/>
      <w:sz w:val="20"/>
      <w:szCs w:val="20"/>
    </w:rPr>
  </w:style>
  <w:style w:type="paragraph" w:styleId="Style21">
    <w:name w:val="Комментарий"/>
    <w:basedOn w:val="Normal"/>
    <w:next w:val="Normal"/>
    <w:qFormat/>
    <w:pPr>
      <w:autoSpaceDE w:val="false"/>
      <w:ind w:start="170" w:hanging="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styleId="Style22">
    <w:name w:val="Таблицы (моноширинный)"/>
    <w:basedOn w:val="Normal"/>
    <w:next w:val="Normal"/>
    <w:qFormat/>
    <w:pPr>
      <w:autoSpaceDE w:val="false"/>
      <w:jc w:val="both"/>
    </w:pPr>
    <w:rPr>
      <w:rFonts w:ascii="Courier New" w:hAnsi="Courier New" w:cs="Courier New"/>
      <w:sz w:val="20"/>
      <w:szCs w:val="20"/>
    </w:rPr>
  </w:style>
  <w:style w:type="paragraph" w:styleId="Style23">
    <w:name w:val="Содержимое таблицы"/>
    <w:basedOn w:val="Normal"/>
    <w:qFormat/>
    <w:pPr>
      <w:suppressLineNumbers/>
    </w:pPr>
    <w:rPr/>
  </w:style>
  <w:style w:type="paragraph" w:styleId="Style24">
    <w:name w:val="Заголовок таблицы"/>
    <w:basedOn w:val="Style23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2007-01-30T20:09:00Z</dcterms:created>
  <dc:creator>Виктор</dc:creator>
  <dc:description/>
  <dc:language>ru-RU</dc:language>
  <cp:lastModifiedBy>Виктор</cp:lastModifiedBy>
  <dcterms:modified xsi:type="dcterms:W3CDTF">2007-01-30T20:09:00Z</dcterms:modified>
  <cp:revision>2</cp:revision>
  <dc:subject/>
  <dc:title/>
</cp:coreProperties>
</file>