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29 октября 2002 г. N 182</w:t>
        <w:br/>
        <w:t>"О дополнении к приказу Госгортехнадзора России "О введении в действие Положения о порядке согласования органами Госгортехнадзора России проектной документации на пользование участками недр" от 11 октября 2002 года N 172"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дополнение к порядку согласования органами Госгортехнадзора России проектной документации на пользование участками недр, установленного приказом от 11 октября 2002 года N 172,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Управлению по надзору в нефтяной и газовой промышленности и территориальным органам Госгортехнадзора России при подготовке предложений по согласованию проектной документации на разведку, разработку и обустройство месторождений углеводородного сырья и подземных хранилищ газа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Организацию и утверждение экспертизы промышленной безопасности проектной документации;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 Рассмотрение проектной документации в соответствии с Правилами безопасности в нефтяной и газовой промышленности (пункт 1.2.2), утвержденными постановлением Госгортехнадзора России 9 апреля 1998 года N 24 в части определения полномочий Госгортехнадзора России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Управлению по надзору в нефтяной и газовой промышленности проинформировать территориальные органы Госгортехнадзора России и подконтрольные предприятия и организации нефтегазового комплекса об указанных дополнениях к приказу от 11.10.2002 N 172.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2007-01-30T21:09:00Z</dcterms:created>
  <dc:creator>Виктор</dc:creator>
  <dc:description/>
  <dc:language>ru-RU</dc:language>
  <cp:lastModifiedBy>Виктор</cp:lastModifiedBy>
  <dcterms:modified xsi:type="dcterms:W3CDTF">2007-01-30T21:10:00Z</dcterms:modified>
  <cp:revision>2</cp:revision>
  <dc:subject/>
  <dc:title/>
</cp:coreProperties>
</file>