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Постановление Госгортехнадзора РФ от 4 апреля 2000 г. N 18</w:t>
        <w:br/>
        <w:t>"О введении в действие Правил устройства и безопасной эксплуатации компрессорных установок с поршневыми компрессорами, работающими на взрывоопасных и вредных газах"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Федеральный горный и промышленный надзор России постановляет: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Ввести в действие с 1 июня 2000 г. "Правила устройства и безопасной эксплуатации компрессорных установок с поршневыми компрессорами, работающими на взрывоопасных и вредных газах" (ПБ 09-297-99), утвержденные постановлением Госгортехнадзора России от 06 июля 1999 г. N 50.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3" w:name="sub_174343240"/>
      <w:bookmarkEnd w:id="3"/>
      <w:r>
        <w:rPr>
          <w:rFonts w:cs="Arial" w:ascii="Arial" w:hAnsi="Arial"/>
          <w:i/>
          <w:iCs/>
          <w:sz w:val="20"/>
          <w:szCs w:val="20"/>
        </w:rPr>
        <w:t>См. Правила устройства и безопасной эксплуатации компрессорных установок с поршневыми компрессорами, работающими на взрывоопасных и вредных газах, утвержденные постановлением Госгортехнадзора РФ от 5 июня 2003 г. N 61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4" w:name="sub_174343240"/>
      <w:bookmarkStart w:id="5" w:name="sub_174343240"/>
      <w:bookmarkEnd w:id="5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2"/>
      <w:bookmarkEnd w:id="6"/>
      <w:r>
        <w:rPr>
          <w:rFonts w:cs="Arial" w:ascii="Arial" w:hAnsi="Arial"/>
          <w:sz w:val="20"/>
          <w:szCs w:val="20"/>
        </w:rPr>
        <w:t>2. Начальникам территориальных органов Госгортехнадзора России:</w:t>
      </w:r>
    </w:p>
    <w:p>
      <w:pPr>
        <w:pStyle w:val="Normal"/>
        <w:autoSpaceDE w:val="false"/>
        <w:ind w:firstLine="720"/>
        <w:jc w:val="both"/>
        <w:rPr/>
      </w:pPr>
      <w:bookmarkStart w:id="7" w:name="sub_2"/>
      <w:bookmarkEnd w:id="7"/>
      <w:r>
        <w:rPr>
          <w:rFonts w:cs="Arial" w:ascii="Arial" w:hAnsi="Arial"/>
          <w:sz w:val="20"/>
          <w:szCs w:val="20"/>
        </w:rPr>
        <w:t>организовать до 15.04.2000 изучение "Правил устройства и безопасной эксплуатации компрессорных установок с поршневыми компрессорами, работающими на взрывоопасных и вредных газах" инспекторами, осуществляющими контроль за технической безопасностью на предприятиях и объектах, на которые распространено действие настоящих правил;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довести до сведения руководителей подконтрольных предприятий и организаций, на которые распространяется действие указанных Правил, информацию о вводе в действие ПБ 09-297-99 и потребовать проведения обучения и проверки знаний специалистов, занимающихся проектированием, эксплуатацией, изготовлением оборудования, ремонтом, монтажом, подготовкой кадров и экспертизой безопасности;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обязать подконтрольные предприятия до 01.08.2000 разработать в соответствии с новыми требованиями ПБ 09-297-99 дополнительные мероприятия и ввести их в программы мероприятий по приведению производств в соответствие с требованиями действующих нормативов.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99"/>
        <w:gridCol w:w="5123"/>
      </w:tblGrid>
      <w:tr>
        <w:trPr/>
        <w:tc>
          <w:tcPr>
            <w:tcW w:w="529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23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В.Д.Лозовой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Комментарий"/>
    <w:basedOn w:val="Normal"/>
    <w:next w:val="Normal"/>
    <w:qFormat/>
    <w:pPr>
      <w:autoSpaceDE w:val="false"/>
      <w:ind w:start="170" w:hanging="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Style22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2007-01-31T16:43:00Z</dcterms:created>
  <dc:creator>Виктор</dc:creator>
  <dc:description/>
  <dc:language>ru-RU</dc:language>
  <cp:lastModifiedBy>Виктор</cp:lastModifiedBy>
  <dcterms:modified xsi:type="dcterms:W3CDTF">2007-01-31T16:43:00Z</dcterms:modified>
  <cp:revision>2</cp:revision>
  <dc:subject/>
  <dc:title/>
</cp:coreProperties>
</file>