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Постановление Госгортехнадзора РФ от 2 июня 1999 г. N 34</w:t>
        <w:br/>
        <w:t>"О состоянии безопасности эксплуатации газораспределительных</w:t>
        <w:br/>
        <w:t>станций"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Госгортехнадзор России осуществляет надзор за безопасностью эксплуатации 3420 газораспределительных станций, входящих в системы газоснабжения Российской Федерации. По сравнению со среднегодовым уровнем 1992 - 1997 гг. аварийность на газораспределительных станциях в 1998 г. увеличилась более чем в 2 раза.</w:t>
      </w:r>
    </w:p>
    <w:p>
      <w:pPr>
        <w:pStyle w:val="Normal"/>
        <w:autoSpaceDE w:val="false"/>
        <w:ind w:firstLine="720"/>
        <w:jc w:val="both"/>
        <w:rPr>
          <w:rFonts w:ascii="Arial" w:hAnsi="Arial" w:cs="Arial"/>
          <w:sz w:val="20"/>
          <w:szCs w:val="20"/>
        </w:rPr>
      </w:pPr>
      <w:r>
        <w:rPr>
          <w:rFonts w:cs="Arial" w:ascii="Arial" w:hAnsi="Arial"/>
          <w:sz w:val="20"/>
          <w:szCs w:val="20"/>
        </w:rPr>
        <w:t>Результаты расследования причин аварий на газораспределительных станциях, проверки технического состояния и организации их эксплуатации показывают, что владельцы этих объектов не уделяют должного внимания обеспечению надежности и безопасности их работы и не организовали эффективного производственного контроля за промышленной безопасностью.</w:t>
      </w:r>
    </w:p>
    <w:p>
      <w:pPr>
        <w:pStyle w:val="Normal"/>
        <w:autoSpaceDE w:val="false"/>
        <w:ind w:firstLine="720"/>
        <w:jc w:val="both"/>
        <w:rPr>
          <w:rFonts w:ascii="Arial" w:hAnsi="Arial" w:cs="Arial"/>
          <w:sz w:val="20"/>
          <w:szCs w:val="20"/>
        </w:rPr>
      </w:pPr>
      <w:r>
        <w:rPr>
          <w:rFonts w:cs="Arial" w:ascii="Arial" w:hAnsi="Arial"/>
          <w:sz w:val="20"/>
          <w:szCs w:val="20"/>
        </w:rPr>
        <w:t>ОАО "Газпром", которому принадлежат более 93% общего парка эксплуатируемых в Российской Федерации газораспределительных станций, пока еще не в полном объеме выполняет работы по их реконструкции и ремонту.</w:t>
      </w:r>
    </w:p>
    <w:p>
      <w:pPr>
        <w:pStyle w:val="Normal"/>
        <w:autoSpaceDE w:val="false"/>
        <w:ind w:firstLine="720"/>
        <w:jc w:val="both"/>
        <w:rPr>
          <w:rFonts w:ascii="Arial" w:hAnsi="Arial" w:cs="Arial"/>
          <w:sz w:val="20"/>
          <w:szCs w:val="20"/>
        </w:rPr>
      </w:pPr>
      <w:r>
        <w:rPr>
          <w:rFonts w:cs="Arial" w:ascii="Arial" w:hAnsi="Arial"/>
          <w:sz w:val="20"/>
          <w:szCs w:val="20"/>
        </w:rPr>
        <w:t>До настоящего времени не разработана методика проведения обследований, оценки и определения остаточного ресурса безопасной эксплуатации газораспределительных станций. Положение осложняется тем, что почти треть действующего парка газораспределительных станций эксплуатируется более 20 лет. Это увеличивает риск возникновения аварий, особенно в зимний период.</w:t>
      </w:r>
    </w:p>
    <w:p>
      <w:pPr>
        <w:pStyle w:val="Normal"/>
        <w:autoSpaceDE w:val="false"/>
        <w:ind w:firstLine="720"/>
        <w:jc w:val="both"/>
        <w:rPr>
          <w:rFonts w:ascii="Arial" w:hAnsi="Arial" w:cs="Arial"/>
          <w:sz w:val="20"/>
          <w:szCs w:val="20"/>
        </w:rPr>
      </w:pPr>
      <w:r>
        <w:rPr>
          <w:rFonts w:cs="Arial" w:ascii="Arial" w:hAnsi="Arial"/>
          <w:sz w:val="20"/>
          <w:szCs w:val="20"/>
        </w:rPr>
        <w:t>Анализ работы систем газоснабжения в осенне-зимний период 1998-1999 гг. показал, что несмотря на безаварийную эксплуатацию газораспределительных станций отмечались случаи срывов и ограничения поставок газа потребителям. Недопустимые падения давления в газовых сетях и последующие отключения систем автоматики неоднократно приводили к созданию аварийных ситуаций на объектах потребителей газа. Около 40 газораспределительных станций работали на предельно допустимых режимах эксплуатации или по аварийной схеме подачи газа.</w:t>
      </w:r>
    </w:p>
    <w:p>
      <w:pPr>
        <w:pStyle w:val="Normal"/>
        <w:autoSpaceDE w:val="false"/>
        <w:ind w:firstLine="720"/>
        <w:jc w:val="both"/>
        <w:rPr>
          <w:rFonts w:ascii="Arial" w:hAnsi="Arial" w:cs="Arial"/>
          <w:sz w:val="20"/>
          <w:szCs w:val="20"/>
        </w:rPr>
      </w:pPr>
      <w:r>
        <w:rPr>
          <w:rFonts w:cs="Arial" w:ascii="Arial" w:hAnsi="Arial"/>
          <w:sz w:val="20"/>
          <w:szCs w:val="20"/>
        </w:rPr>
        <w:t>Для обеспечения надежности работы систем газоснабжения в отопительный сезон 1999-2000 гг. требуется выполнить полную или частичную реконструкцию на 120 газораспределительных станциях.</w:t>
      </w:r>
    </w:p>
    <w:p>
      <w:pPr>
        <w:pStyle w:val="Normal"/>
        <w:autoSpaceDE w:val="false"/>
        <w:ind w:firstLine="720"/>
        <w:jc w:val="both"/>
        <w:rPr>
          <w:rFonts w:ascii="Arial" w:hAnsi="Arial" w:cs="Arial"/>
          <w:sz w:val="20"/>
          <w:szCs w:val="20"/>
        </w:rPr>
      </w:pPr>
      <w:r>
        <w:rPr>
          <w:rFonts w:cs="Arial" w:ascii="Arial" w:hAnsi="Arial"/>
          <w:sz w:val="20"/>
          <w:szCs w:val="20"/>
        </w:rPr>
        <w:t>План ОАО "Газпром" по реконструкции и техническому перевооружению газораспределительных станций до 2003 г. включает реконструкцию 805 объектов. Согласно планам ОАО "Газпром" в 1999 г. предусмотрено выполнение работ по реконструкции на 175 объектах, включая полную замену 80 газораспределительных станций.</w:t>
      </w:r>
    </w:p>
    <w:p>
      <w:pPr>
        <w:pStyle w:val="Normal"/>
        <w:autoSpaceDE w:val="false"/>
        <w:ind w:firstLine="720"/>
        <w:jc w:val="both"/>
        <w:rPr>
          <w:rFonts w:ascii="Arial" w:hAnsi="Arial" w:cs="Arial"/>
          <w:sz w:val="20"/>
          <w:szCs w:val="20"/>
        </w:rPr>
      </w:pPr>
      <w:r>
        <w:rPr>
          <w:rFonts w:cs="Arial" w:ascii="Arial" w:hAnsi="Arial"/>
          <w:sz w:val="20"/>
          <w:szCs w:val="20"/>
        </w:rPr>
        <w:t>Однако темпы работ по реконструкции, достигнутые в 1998 г. (реконструкция проведена только на 36 объектах), не позволяют с уверенностью прогнозировать выполнение этого плана в полном объеме и в установленные сроки.</w:t>
      </w:r>
    </w:p>
    <w:p>
      <w:pPr>
        <w:pStyle w:val="Normal"/>
        <w:autoSpaceDE w:val="false"/>
        <w:ind w:firstLine="720"/>
        <w:jc w:val="both"/>
        <w:rPr>
          <w:rFonts w:ascii="Arial" w:hAnsi="Arial" w:cs="Arial"/>
          <w:sz w:val="20"/>
          <w:szCs w:val="20"/>
        </w:rPr>
      </w:pPr>
      <w:r>
        <w:rPr>
          <w:rFonts w:cs="Arial" w:ascii="Arial" w:hAnsi="Arial"/>
          <w:sz w:val="20"/>
          <w:szCs w:val="20"/>
        </w:rPr>
        <w:t>Следует отметить, что ОАО "Газпром" принимаются меры по созданию серии блочных станций нового поколения, что может обеспечить в короткие сроки замену морально устаревших и выработавших свой ресурс газораспределительных станций. Однако недостаточное финансирование работ по реконструкции, а также отсутствие необходимых согласований проектно-конструкторской документации и разрешений Госгортехнадзора России на применение некоторых блочных станций препятствует оперативному решению проблемы своевременной замены газораспределительных станций.</w:t>
      </w:r>
    </w:p>
    <w:p>
      <w:pPr>
        <w:pStyle w:val="Normal"/>
        <w:autoSpaceDE w:val="false"/>
        <w:ind w:firstLine="720"/>
        <w:jc w:val="both"/>
        <w:rPr>
          <w:rFonts w:ascii="Arial" w:hAnsi="Arial" w:cs="Arial"/>
          <w:sz w:val="20"/>
          <w:szCs w:val="20"/>
        </w:rPr>
      </w:pPr>
      <w:r>
        <w:rPr>
          <w:rFonts w:cs="Arial" w:ascii="Arial" w:hAnsi="Arial"/>
          <w:sz w:val="20"/>
          <w:szCs w:val="20"/>
        </w:rPr>
        <w:t>Крайне неудовлетворительно эксплуатируются газораспределительные станции, принадлежащие потребителям газа и не входящие в Единую систему газоснабжения ОАО "Газпром". Из 188 таких объектов 67 газораспределительных станций находятся в критическом состоянии. Владельцы этих газораспределительных станций из-за отсутствия финансовых средств, материально-технических возможностей, специалистов, а также нормативной документации не могут обеспечить безопасность их эксплуатации и выполнение в полном объеме программ технического обслуживания и ремонта.</w:t>
      </w:r>
    </w:p>
    <w:p>
      <w:pPr>
        <w:pStyle w:val="Normal"/>
        <w:autoSpaceDE w:val="false"/>
        <w:ind w:firstLine="720"/>
        <w:jc w:val="both"/>
        <w:rPr/>
      </w:pPr>
      <w:r>
        <w:rPr>
          <w:rFonts w:cs="Arial" w:ascii="Arial" w:hAnsi="Arial"/>
          <w:sz w:val="20"/>
          <w:szCs w:val="20"/>
        </w:rPr>
        <w:t>В то же время руководители органов исполнительной власти субъектов Федерации и региональных органов власти не уделяют должного внимания вопросам безопасной эксплуатации этих объектов. Не задействованы возможности резервных региональных фондов системы страхования риска за причинение вреда при эксплуатации опасного производственного объекта как источника финансирования комплекса работ по капитальному ремонту и реконструкции газораспределительных станций, находящихся в аварийном состоянии. Органами власти не ведется организационная работа по воздействию на владельцев этих объектов для решения вопросов подготовки газораспределительных станций к передаче в Единую систему газоснабжения ОАО "Газпром", что позволило бы обеспечить безопасность их дальнейшей эксплуатации. В то же время правомерные действия по приостановке эксплуатации таких объектов для устранения нарушений требований промышленной безопасности встречают крайне жесткую негативную реакцию у потребителей газа и местных органов власти.</w:t>
      </w:r>
    </w:p>
    <w:p>
      <w:pPr>
        <w:pStyle w:val="Normal"/>
        <w:autoSpaceDE w:val="false"/>
        <w:ind w:firstLine="720"/>
        <w:jc w:val="both"/>
        <w:rPr>
          <w:rFonts w:ascii="Arial" w:hAnsi="Arial" w:cs="Arial"/>
          <w:sz w:val="20"/>
          <w:szCs w:val="20"/>
        </w:rPr>
      </w:pPr>
      <w:r>
        <w:rPr>
          <w:rFonts w:cs="Arial" w:ascii="Arial" w:hAnsi="Arial"/>
          <w:sz w:val="20"/>
          <w:szCs w:val="20"/>
        </w:rPr>
        <w:t>В этих условиях большинству территориальных органов Госгортехнадзора России не удалось достичь взаимопонимания и убедить руководителей местных органов исполнительной власти в необходимости решения этой проблемы.</w:t>
      </w:r>
    </w:p>
    <w:p>
      <w:pPr>
        <w:pStyle w:val="Normal"/>
        <w:autoSpaceDE w:val="false"/>
        <w:ind w:firstLine="720"/>
        <w:jc w:val="both"/>
        <w:rPr>
          <w:rFonts w:ascii="Arial" w:hAnsi="Arial" w:cs="Arial"/>
          <w:sz w:val="20"/>
          <w:szCs w:val="20"/>
        </w:rPr>
      </w:pPr>
      <w:r>
        <w:rPr>
          <w:rFonts w:cs="Arial" w:ascii="Arial" w:hAnsi="Arial"/>
          <w:sz w:val="20"/>
          <w:szCs w:val="20"/>
        </w:rPr>
        <w:t>Госгортехнадзор России постановляет:</w:t>
      </w:r>
    </w:p>
    <w:p>
      <w:pPr>
        <w:pStyle w:val="Normal"/>
        <w:autoSpaceDE w:val="false"/>
        <w:ind w:firstLine="720"/>
        <w:jc w:val="both"/>
        <w:rPr>
          <w:rFonts w:ascii="Arial" w:hAnsi="Arial" w:cs="Arial"/>
          <w:sz w:val="20"/>
          <w:szCs w:val="20"/>
        </w:rPr>
      </w:pPr>
      <w:r>
        <w:rPr>
          <w:rFonts w:cs="Arial" w:ascii="Arial" w:hAnsi="Arial"/>
          <w:sz w:val="20"/>
          <w:szCs w:val="20"/>
        </w:rPr>
        <w:t>1. Управлению по надзору в нефтяной и газовой промышленности (Ю.А.Дадонов):</w:t>
      </w:r>
    </w:p>
    <w:p>
      <w:pPr>
        <w:pStyle w:val="Normal"/>
        <w:autoSpaceDE w:val="false"/>
        <w:ind w:firstLine="720"/>
        <w:jc w:val="both"/>
        <w:rPr>
          <w:rFonts w:ascii="Arial" w:hAnsi="Arial" w:cs="Arial"/>
          <w:sz w:val="20"/>
          <w:szCs w:val="20"/>
        </w:rPr>
      </w:pPr>
      <w:r>
        <w:rPr>
          <w:rFonts w:cs="Arial" w:ascii="Arial" w:hAnsi="Arial"/>
          <w:sz w:val="20"/>
          <w:szCs w:val="20"/>
        </w:rPr>
        <w:t>1.1. Совместно с территориальными органами Госгортехнадзора России, органами исполнительной власти субъектов Федерации, владельцами газораспределительных станций организовать и в двухмесячный срок провести комиссионные обследования состояния газораспределительных станций, принадлежащих потребителям газа.</w:t>
      </w:r>
    </w:p>
    <w:p>
      <w:pPr>
        <w:pStyle w:val="Normal"/>
        <w:autoSpaceDE w:val="false"/>
        <w:ind w:firstLine="720"/>
        <w:jc w:val="both"/>
        <w:rPr>
          <w:rFonts w:ascii="Arial" w:hAnsi="Arial" w:cs="Arial"/>
          <w:sz w:val="20"/>
          <w:szCs w:val="20"/>
        </w:rPr>
      </w:pPr>
      <w:r>
        <w:rPr>
          <w:rFonts w:cs="Arial" w:ascii="Arial" w:hAnsi="Arial"/>
          <w:sz w:val="20"/>
          <w:szCs w:val="20"/>
        </w:rPr>
        <w:t>1.2. Разработать совместно с ОАО "Газпром" временные методические рекомендации по проведению обследований технического состояния газораспределительных станций.</w:t>
      </w:r>
    </w:p>
    <w:p>
      <w:pPr>
        <w:pStyle w:val="Normal"/>
        <w:autoSpaceDE w:val="false"/>
        <w:ind w:firstLine="720"/>
        <w:jc w:val="both"/>
        <w:rPr>
          <w:rFonts w:ascii="Arial" w:hAnsi="Arial" w:cs="Arial"/>
          <w:sz w:val="20"/>
          <w:szCs w:val="20"/>
        </w:rPr>
      </w:pPr>
      <w:r>
        <w:rPr>
          <w:rFonts w:cs="Arial" w:ascii="Arial" w:hAnsi="Arial"/>
          <w:sz w:val="20"/>
          <w:szCs w:val="20"/>
        </w:rPr>
        <w:t>1.3. Обобщить результаты проверок и до 15 августа подготовить аналитическую справку о состоянии газораспределительных станций, принадлежащих потребителям газа, с рекомендациями по повышению их безопасности.</w:t>
      </w:r>
    </w:p>
    <w:p>
      <w:pPr>
        <w:pStyle w:val="Normal"/>
        <w:autoSpaceDE w:val="false"/>
        <w:ind w:firstLine="720"/>
        <w:jc w:val="both"/>
        <w:rPr>
          <w:rFonts w:ascii="Arial" w:hAnsi="Arial" w:cs="Arial"/>
          <w:sz w:val="20"/>
          <w:szCs w:val="20"/>
        </w:rPr>
      </w:pPr>
      <w:r>
        <w:rPr>
          <w:rFonts w:cs="Arial" w:ascii="Arial" w:hAnsi="Arial"/>
          <w:sz w:val="20"/>
          <w:szCs w:val="20"/>
        </w:rPr>
        <w:t>2. Территориальным органам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2.1. Рассмотреть совместно с органами исполнительной власти субъектов Федерации состояние надежности газоснабжения по результатам комиссионных обследований газораспределительных станций, принадлежащих потребителям газа.</w:t>
      </w:r>
    </w:p>
    <w:p>
      <w:pPr>
        <w:pStyle w:val="Normal"/>
        <w:autoSpaceDE w:val="false"/>
        <w:ind w:firstLine="720"/>
        <w:jc w:val="both"/>
        <w:rPr>
          <w:rFonts w:ascii="Arial" w:hAnsi="Arial" w:cs="Arial"/>
          <w:sz w:val="20"/>
          <w:szCs w:val="20"/>
        </w:rPr>
      </w:pPr>
      <w:r>
        <w:rPr>
          <w:rFonts w:cs="Arial" w:ascii="Arial" w:hAnsi="Arial"/>
          <w:sz w:val="20"/>
          <w:szCs w:val="20"/>
        </w:rPr>
        <w:t>2.2. Потребовать от владельцев газораспределительных станций, находящихся в предаварийном состоянии, разработать и представить на согласование графики работ по приведению объектов в состояние, обеспечивающее их безопасную эксплуатацию.</w:t>
      </w:r>
    </w:p>
    <w:p>
      <w:pPr>
        <w:pStyle w:val="Normal"/>
        <w:autoSpaceDE w:val="false"/>
        <w:ind w:firstLine="720"/>
        <w:jc w:val="both"/>
        <w:rPr>
          <w:rFonts w:ascii="Arial" w:hAnsi="Arial" w:cs="Arial"/>
          <w:sz w:val="20"/>
          <w:szCs w:val="20"/>
        </w:rPr>
      </w:pPr>
      <w:r>
        <w:rPr>
          <w:rFonts w:cs="Arial" w:ascii="Arial" w:hAnsi="Arial"/>
          <w:sz w:val="20"/>
          <w:szCs w:val="20"/>
        </w:rPr>
        <w:t>2.3. Предложить органам исполнительной власти субъектов Федерации совместно с ОАО "Газпром" рассмотреть вопрос о передаче газораспределительных станций, принадлежащих потребителям газа, в Единую систему газоснабжения ОАО "Газпром".</w:t>
      </w:r>
    </w:p>
    <w:p>
      <w:pPr>
        <w:pStyle w:val="Normal"/>
        <w:autoSpaceDE w:val="false"/>
        <w:ind w:firstLine="720"/>
        <w:jc w:val="both"/>
        <w:rPr>
          <w:rFonts w:ascii="Arial" w:hAnsi="Arial" w:cs="Arial"/>
          <w:sz w:val="20"/>
          <w:szCs w:val="20"/>
        </w:rPr>
      </w:pPr>
      <w:r>
        <w:rPr>
          <w:rFonts w:cs="Arial" w:ascii="Arial" w:hAnsi="Arial"/>
          <w:sz w:val="20"/>
          <w:szCs w:val="20"/>
        </w:rPr>
        <w:t>2.4. Установить особый контроль за подготовкой газораспределительных станций к работе в осенне-зимний период 1999-2000 гг. и предупредить владельцев объектов о безусловной приостановке работы газораспределительных станций в случаях грубых нарушений безопасности их эксплуатации.</w:t>
      </w:r>
    </w:p>
    <w:p>
      <w:pPr>
        <w:pStyle w:val="Normal"/>
        <w:autoSpaceDE w:val="false"/>
        <w:ind w:firstLine="720"/>
        <w:jc w:val="both"/>
        <w:rPr>
          <w:rFonts w:ascii="Arial" w:hAnsi="Arial" w:cs="Arial"/>
          <w:sz w:val="20"/>
          <w:szCs w:val="20"/>
        </w:rPr>
      </w:pPr>
      <w:r>
        <w:rPr>
          <w:rFonts w:cs="Arial" w:ascii="Arial" w:hAnsi="Arial"/>
          <w:sz w:val="20"/>
          <w:szCs w:val="20"/>
        </w:rPr>
        <w:t>2.5. До 20 августа 1999 г. обсудить на Советах территориальных органов, с привлечением заинтересованных организаций, ход подготовки объектов к отопительному сезону 1999-2000 гг., а также выполнение графиков по подготовке газораспределительных станций, принадлежащих потребителям газа, к безопасной эксплуатации.</w:t>
      </w:r>
    </w:p>
    <w:p>
      <w:pPr>
        <w:pStyle w:val="Normal"/>
        <w:autoSpaceDE w:val="false"/>
        <w:ind w:firstLine="720"/>
        <w:jc w:val="both"/>
        <w:rPr>
          <w:rFonts w:ascii="Arial" w:hAnsi="Arial" w:cs="Arial"/>
          <w:sz w:val="20"/>
          <w:szCs w:val="20"/>
        </w:rPr>
      </w:pPr>
      <w:r>
        <w:rPr>
          <w:rFonts w:cs="Arial" w:ascii="Arial" w:hAnsi="Arial"/>
          <w:sz w:val="20"/>
          <w:szCs w:val="20"/>
        </w:rPr>
        <w:t>3. Управлению по надзору в нефтяной и газовой промышленности (Ю.А.Дадонов) обобщить результаты рассмотрения на Советах территориальных органов хода подготовки газораспределительных станций к осенне-зимнему периоду 1999-2000 гг. и до 10.09.99 подготовить аналитическую записку о состоянии этих объектов.</w:t>
      </w:r>
    </w:p>
    <w:p>
      <w:pPr>
        <w:pStyle w:val="Normal"/>
        <w:autoSpaceDE w:val="false"/>
        <w:ind w:firstLine="720"/>
        <w:jc w:val="both"/>
        <w:rPr>
          <w:rFonts w:ascii="Arial" w:hAnsi="Arial" w:cs="Arial"/>
          <w:sz w:val="20"/>
          <w:szCs w:val="20"/>
        </w:rPr>
      </w:pPr>
      <w:r>
        <w:rPr>
          <w:rFonts w:cs="Arial" w:ascii="Arial" w:hAnsi="Arial"/>
          <w:sz w:val="20"/>
          <w:szCs w:val="20"/>
        </w:rPr>
        <w:t>4. Руководству ОАО "Газпром":</w:t>
      </w:r>
    </w:p>
    <w:p>
      <w:pPr>
        <w:pStyle w:val="Normal"/>
        <w:autoSpaceDE w:val="false"/>
        <w:ind w:firstLine="720"/>
        <w:jc w:val="both"/>
        <w:rPr>
          <w:rFonts w:ascii="Arial" w:hAnsi="Arial" w:cs="Arial"/>
          <w:sz w:val="20"/>
          <w:szCs w:val="20"/>
        </w:rPr>
      </w:pPr>
      <w:r>
        <w:rPr>
          <w:rFonts w:cs="Arial" w:ascii="Arial" w:hAnsi="Arial"/>
          <w:sz w:val="20"/>
          <w:szCs w:val="20"/>
        </w:rPr>
        <w:t>4.1. Принять меры по недопущению необоснованного снижения давления газа на выходе газораспределительных станций, приводящего к отказам систем автоматики.</w:t>
      </w:r>
    </w:p>
    <w:p>
      <w:pPr>
        <w:pStyle w:val="Normal"/>
        <w:autoSpaceDE w:val="false"/>
        <w:ind w:firstLine="720"/>
        <w:jc w:val="both"/>
        <w:rPr>
          <w:rFonts w:ascii="Arial" w:hAnsi="Arial" w:cs="Arial"/>
          <w:sz w:val="20"/>
          <w:szCs w:val="20"/>
        </w:rPr>
      </w:pPr>
      <w:r>
        <w:rPr>
          <w:rFonts w:cs="Arial" w:ascii="Arial" w:hAnsi="Arial"/>
          <w:sz w:val="20"/>
          <w:szCs w:val="20"/>
        </w:rPr>
        <w:t>4.2. В III квартале 1999 г. разработать и представить на согласование в Госгортехнадзор России проект методического документа по проведению обследований, комплексной оценки и определению остаточного ресурса газораспределительных станций.</w:t>
      </w:r>
    </w:p>
    <w:p>
      <w:pPr>
        <w:pStyle w:val="Normal"/>
        <w:autoSpaceDE w:val="false"/>
        <w:ind w:firstLine="720"/>
        <w:jc w:val="both"/>
        <w:rPr>
          <w:rFonts w:ascii="Arial" w:hAnsi="Arial" w:cs="Arial"/>
          <w:sz w:val="20"/>
          <w:szCs w:val="20"/>
        </w:rPr>
      </w:pPr>
      <w:r>
        <w:rPr>
          <w:rFonts w:cs="Arial" w:ascii="Arial" w:hAnsi="Arial"/>
          <w:sz w:val="20"/>
          <w:szCs w:val="20"/>
        </w:rPr>
        <w:t>4.3. В 1999 г. доработать и представить в Госгортехнадзор России пакет документов на получение разрешений на применение типовых проектов газораспределительных станций нового поколения.</w:t>
      </w:r>
    </w:p>
    <w:p>
      <w:pPr>
        <w:pStyle w:val="Normal"/>
        <w:autoSpaceDE w:val="false"/>
        <w:ind w:firstLine="720"/>
        <w:jc w:val="both"/>
        <w:rPr>
          <w:rFonts w:ascii="Arial" w:hAnsi="Arial" w:cs="Arial"/>
          <w:sz w:val="20"/>
          <w:szCs w:val="20"/>
        </w:rPr>
      </w:pPr>
      <w:r>
        <w:rPr>
          <w:rFonts w:cs="Arial" w:ascii="Arial" w:hAnsi="Arial"/>
          <w:sz w:val="20"/>
          <w:szCs w:val="20"/>
        </w:rPr>
        <w:t>4.4. Изыскать возможность оказания помощи владельцам газораспределительных станций в подготовке объектов к эксплуатации в осенне-зимний период 1999-2000 гг.</w:t>
      </w:r>
    </w:p>
    <w:p>
      <w:pPr>
        <w:pStyle w:val="Normal"/>
        <w:autoSpaceDE w:val="false"/>
        <w:ind w:firstLine="720"/>
        <w:jc w:val="both"/>
        <w:rPr>
          <w:rFonts w:ascii="Arial" w:hAnsi="Arial" w:cs="Arial"/>
          <w:sz w:val="20"/>
          <w:szCs w:val="20"/>
        </w:rPr>
      </w:pPr>
      <w:r>
        <w:rPr>
          <w:rFonts w:cs="Arial" w:ascii="Arial" w:hAnsi="Arial"/>
          <w:sz w:val="20"/>
          <w:szCs w:val="20"/>
        </w:rPr>
        <w:t>5. Контроль за выполнением настоящего Постановления возложить на начальника управления по надзору в нефтяной и газовой промышленности Ю.А.Дадонова.</w:t>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Arial">
    <w:charset w:val="cc" w:characterSet="windows-1251"/>
    <w:family w:val="swiss"/>
    <w:pitch w:val="variable"/>
  </w:font>
  <w:font w:name="Liberation Sans">
    <w:altName w:val="Arial"/>
    <w:charset w:val="01" w:characterSet="utf-8"/>
    <w:family w:val="swiss"/>
    <w:pitch w:val="variable"/>
  </w:font>
  <w:font w:name="Courier New">
    <w:charset w:val="cc" w:characterSet="windows-1251"/>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numPr>
        <w:ilvl w:val="0"/>
        <w:numId w:val="1"/>
      </w:numPr>
      <w:autoSpaceDE w:val="false"/>
      <w:spacing w:before="108" w:after="108"/>
      <w:jc w:val="center"/>
      <w:outlineLvl w:val="0"/>
      <w:outlineLvl w:val="0"/>
    </w:pPr>
    <w:rPr>
      <w:rFonts w:ascii="Arial" w:hAnsi="Arial" w:cs="Arial"/>
      <w:b/>
      <w:bCs/>
      <w:color w:val="000080"/>
      <w:sz w:val="20"/>
      <w:szCs w:val="20"/>
    </w:rPr>
  </w:style>
  <w:style w:type="character" w:styleId="Style13">
    <w:name w:val="Основной шрифт абзаца"/>
    <w:qFormat/>
    <w:rPr/>
  </w:style>
  <w:style w:type="paragraph" w:styleId="Style14">
    <w:name w:val="Заголовок"/>
    <w:basedOn w:val="Normal"/>
    <w:next w:val="Style15"/>
    <w:qFormat/>
    <w:pPr>
      <w:keepNext/>
      <w:spacing w:before="240" w:after="120"/>
    </w:pPr>
    <w:rPr>
      <w:rFonts w:ascii="Liberation Sans" w:hAnsi="Liberation Sans" w:eastAsia="Noto Sans CJK SC Regular"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аблицы (моноширинный)"/>
    <w:basedOn w:val="Normal"/>
    <w:next w:val="Normal"/>
    <w:qFormat/>
    <w:pPr>
      <w:autoSpaceDE w:val="false"/>
      <w:jc w:val="both"/>
    </w:pPr>
    <w:rPr>
      <w:rFonts w:ascii="Courier New" w:hAnsi="Courier New" w:cs="Courier New"/>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2007-01-31T17:39:00Z</dcterms:created>
  <dc:creator>Виктор</dc:creator>
  <dc:description/>
  <dc:language>ru-RU</dc:language>
  <cp:lastModifiedBy>Виктор</cp:lastModifiedBy>
  <dcterms:modified xsi:type="dcterms:W3CDTF">2007-01-31T17:39:00Z</dcterms:modified>
  <cp:revision>2</cp:revision>
  <dc:subject/>
  <dc:title/>
</cp:coreProperties>
</file>