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15 апреля 1999 г. N 26</w:t>
        <w:br/>
        <w:t>"О распространении действия "Правил устройства и безопасной эксплуатации</w:t>
        <w:br/>
        <w:t>технологических трубопроводов" (ПБ 03-108-96) на объекты металлургии"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вводом в действие "Правил устройства и безопасной эксплуатации технологических трубопроводов", утвержденных постановлением Госгортехнадзора России от 02.03.95 N 11, утратили силу "Правила устройства и безопасной эксплуатации трубопроводов для горючих, токсичных и сжиженных газов" (ПУГ - 69), утвержденные Госгортехнадзором СССР 17.09.69 регламентирующие требования безопасности к устройству и эксплуатации газопроводов в металлургических производствах.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целях обеспечения единства требований к технологическим трубопроводам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Распространить действие "Правил устройства и безопасной эксплуатации технологических трубопроводов" на проектирование, устройство, изготовление, монтаж, эксплуатацию и ремонт стационарных стальных технологических трубопроводов для объектов металлургии.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Отделу по надзору в металлургической промышленности при пересмотре нормативных документов, регламентирующих вопросы обеспечения промышленной безопасности металлургических производств, внести соответствующие изменения и дополнения.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Территориальным органам Госгортехнадзора России довести данное постановление до поднадзорных металлургических предприятий и организаций осуществляющих работы для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2007-01-31T17:40:00Z</dcterms:created>
  <dc:creator>Виктор</dc:creator>
  <dc:description/>
  <dc:language>ru-RU</dc:language>
  <cp:lastModifiedBy>Виктор</cp:lastModifiedBy>
  <dcterms:modified xsi:type="dcterms:W3CDTF">2007-01-31T17:40:00Z</dcterms:modified>
  <cp:revision>2</cp:revision>
  <dc:subject/>
  <dc:title/>
</cp:coreProperties>
</file>