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Нормы пожарной безопасности НПБ 86-2000</w:t>
        <w:br/>
        <w:t>"Источники электропитания постоянного тока средств противопожарной защиты. Общие технические требования. Методы испытаний"</w:t>
        <w:br/>
        <w:t>(утв. приказом ГУГПС МВД России от 13 февраля 2001 г. N 10)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Direct current power supplies fire-protective systems. General technical requirements. Test methods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</w:rPr>
        <w:t>Вводятся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впервые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апреля 2001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Общие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Настоящие нормы устанавливают общие технические требования к источникам электропитания постоянного тока (ИПТ), предназначенным для применения в установках противопожарной защиты зданий, сооружений, помещений и оборудования, а также методы их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использованы термины и определения, соответствующие ГОСТ Р 51179 и ПУЭ.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sz w:val="20"/>
          <w:szCs w:val="20"/>
        </w:rPr>
        <w:t>3. Общие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3.1. Требования назначения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3.2. Требования надежности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3.3. Требования стойкости к внешним воздействиям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3.4. Требования электромагнитной совместимости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3.5. Требования к маркировке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6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3.6. Требования комплектности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" w:name="sub_310"/>
      <w:bookmarkEnd w:id="9"/>
      <w:r>
        <w:rPr>
          <w:rFonts w:cs="Arial" w:ascii="Arial" w:hAnsi="Arial"/>
          <w:b/>
          <w:bCs/>
          <w:sz w:val="20"/>
          <w:szCs w:val="20"/>
        </w:rPr>
        <w:t>3.1. Требования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" w:name="sub_310"/>
      <w:bookmarkStart w:id="11" w:name="sub_310"/>
      <w:bookmarkEnd w:id="1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11"/>
      <w:bookmarkEnd w:id="12"/>
      <w:r>
        <w:rPr>
          <w:rFonts w:cs="Arial" w:ascii="Arial" w:hAnsi="Arial"/>
          <w:sz w:val="20"/>
          <w:szCs w:val="20"/>
        </w:rPr>
        <w:t>3.1.1. Электропитание ИПТ должно осуществляться от электрических сетей с параметрами, указанными в технической документации (ТД).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11"/>
      <w:bookmarkStart w:id="14" w:name="sub_312"/>
      <w:bookmarkEnd w:id="13"/>
      <w:bookmarkEnd w:id="14"/>
      <w:r>
        <w:rPr>
          <w:rFonts w:cs="Arial" w:ascii="Arial" w:hAnsi="Arial"/>
          <w:sz w:val="20"/>
          <w:szCs w:val="20"/>
        </w:rPr>
        <w:t>3.1.2. Значение постоянного выходного напряжения ИПТ при питании от электрических сетей должно быть в пределах от 95 до 105% номинального 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12"/>
      <w:bookmarkStart w:id="16" w:name="sub_313"/>
      <w:bookmarkEnd w:id="15"/>
      <w:bookmarkEnd w:id="16"/>
      <w:r>
        <w:rPr>
          <w:rFonts w:cs="Arial" w:ascii="Arial" w:hAnsi="Arial"/>
          <w:sz w:val="20"/>
          <w:szCs w:val="20"/>
        </w:rPr>
        <w:t>3.1.3. Классы пульсации, рекомендуемые для ИПТ, должны соответствовать ГОСТ Р 51179 и быть указаны в 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13"/>
      <w:bookmarkStart w:id="18" w:name="sub_314"/>
      <w:bookmarkEnd w:id="17"/>
      <w:bookmarkEnd w:id="18"/>
      <w:r>
        <w:rPr>
          <w:rFonts w:cs="Arial" w:ascii="Arial" w:hAnsi="Arial"/>
          <w:sz w:val="20"/>
          <w:szCs w:val="20"/>
        </w:rPr>
        <w:t>3.1.4. Номинальное значение и диапазон допустимых значений выходного тока ИПТ должны быть указаны в 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14"/>
      <w:bookmarkStart w:id="20" w:name="sub_315"/>
      <w:bookmarkEnd w:id="19"/>
      <w:bookmarkEnd w:id="20"/>
      <w:r>
        <w:rPr>
          <w:rFonts w:cs="Arial" w:ascii="Arial" w:hAnsi="Arial"/>
          <w:sz w:val="20"/>
          <w:szCs w:val="20"/>
        </w:rPr>
        <w:t>3.1.5. ИПТ может иметь в своем составе зарядное устройство для аккумулятора.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15"/>
      <w:bookmarkStart w:id="22" w:name="sub_3151"/>
      <w:bookmarkEnd w:id="21"/>
      <w:bookmarkEnd w:id="22"/>
      <w:r>
        <w:rPr>
          <w:rFonts w:cs="Arial" w:ascii="Arial" w:hAnsi="Arial"/>
          <w:sz w:val="20"/>
          <w:szCs w:val="20"/>
        </w:rPr>
        <w:t>3.1.5.1. ИПТ с зарядным устройством при питании от электрических сетей должен обеспечивать автоматический заряд аккумулятора. Режим заряда должен быть указан в 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3151"/>
      <w:bookmarkStart w:id="24" w:name="sub_3152"/>
      <w:bookmarkEnd w:id="23"/>
      <w:bookmarkEnd w:id="24"/>
      <w:r>
        <w:rPr>
          <w:rFonts w:cs="Arial" w:ascii="Arial" w:hAnsi="Arial"/>
          <w:sz w:val="20"/>
          <w:szCs w:val="20"/>
        </w:rPr>
        <w:t>3.1.5.2. ИПТ с зарядным устройством должен сохранять свои параметры при размыкании и коротком замыкании цепи аккумулятора.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3152"/>
      <w:bookmarkStart w:id="26" w:name="sub_316"/>
      <w:bookmarkEnd w:id="25"/>
      <w:bookmarkEnd w:id="26"/>
      <w:r>
        <w:rPr>
          <w:rFonts w:cs="Arial" w:ascii="Arial" w:hAnsi="Arial"/>
          <w:sz w:val="20"/>
          <w:szCs w:val="20"/>
        </w:rPr>
        <w:t>3.1.6. ИПТ может иметь в своем составе аккумулятор.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316"/>
      <w:bookmarkStart w:id="28" w:name="sub_3161"/>
      <w:bookmarkEnd w:id="27"/>
      <w:bookmarkEnd w:id="28"/>
      <w:r>
        <w:rPr>
          <w:rFonts w:cs="Arial" w:ascii="Arial" w:hAnsi="Arial"/>
          <w:sz w:val="20"/>
          <w:szCs w:val="20"/>
        </w:rPr>
        <w:t>3.1.6.1. ИПТ с аккумулятором должен иметь зарядное устройство.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161"/>
      <w:bookmarkStart w:id="30" w:name="sub_3162"/>
      <w:bookmarkEnd w:id="29"/>
      <w:bookmarkEnd w:id="30"/>
      <w:r>
        <w:rPr>
          <w:rFonts w:cs="Arial" w:ascii="Arial" w:hAnsi="Arial"/>
          <w:sz w:val="20"/>
          <w:szCs w:val="20"/>
        </w:rPr>
        <w:t>3.1.6.2. ИПТ с аккумулятором должен формировать сигнал неисправности при минимальном значении напряжения аккумулятора, указанном в ТД на аккумулятор.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3162"/>
      <w:bookmarkStart w:id="32" w:name="sub_3163"/>
      <w:bookmarkEnd w:id="31"/>
      <w:bookmarkEnd w:id="32"/>
      <w:r>
        <w:rPr>
          <w:rFonts w:cs="Arial" w:ascii="Arial" w:hAnsi="Arial"/>
          <w:sz w:val="20"/>
          <w:szCs w:val="20"/>
        </w:rPr>
        <w:t>3.1.6.3. Значения выходного напряжения ИПТ при минимальном и максимальном выходном токе в момент перехода питания от электрических сетей на питание от аккумулятора и обратно должны быть указаны в 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3163"/>
      <w:bookmarkStart w:id="34" w:name="sub_3164"/>
      <w:bookmarkEnd w:id="33"/>
      <w:bookmarkEnd w:id="34"/>
      <w:r>
        <w:rPr>
          <w:rFonts w:cs="Arial" w:ascii="Arial" w:hAnsi="Arial"/>
          <w:sz w:val="20"/>
          <w:szCs w:val="20"/>
        </w:rPr>
        <w:t>3.1.6.4. Значение выходного напряжения ИПТ с аккумулятором при отключении электрических сетей должно быть указано в 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164"/>
      <w:bookmarkStart w:id="36" w:name="sub_317"/>
      <w:bookmarkEnd w:id="35"/>
      <w:bookmarkEnd w:id="36"/>
      <w:r>
        <w:rPr>
          <w:rFonts w:cs="Arial" w:ascii="Arial" w:hAnsi="Arial"/>
          <w:sz w:val="20"/>
          <w:szCs w:val="20"/>
        </w:rPr>
        <w:t>3.1.7. В ИПТ должны быть предусмотрены оптические индикаторы для отображения режимов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17"/>
      <w:bookmarkEnd w:id="37"/>
      <w:r>
        <w:rPr>
          <w:rFonts w:cs="Arial" w:ascii="Arial" w:hAnsi="Arial"/>
          <w:sz w:val="20"/>
          <w:szCs w:val="20"/>
        </w:rPr>
        <w:t>подключения к электрическим сетям;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появления неисправностей в ИПТ.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ИПТ с аккумулятором должен иметь дополнительный оптический индикатор, отображающий подключение аккумулятора.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18"/>
      <w:bookmarkEnd w:id="38"/>
      <w:r>
        <w:rPr>
          <w:rFonts w:cs="Arial" w:ascii="Arial" w:hAnsi="Arial"/>
          <w:sz w:val="20"/>
          <w:szCs w:val="20"/>
        </w:rPr>
        <w:t>3.1.8. ИПТ должен иметь автоматическую защиту от воздействия последствий короткого замыкания или повышения выходного тока выше максимального 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18"/>
      <w:bookmarkStart w:id="40" w:name="sub_319"/>
      <w:bookmarkEnd w:id="39"/>
      <w:bookmarkEnd w:id="40"/>
      <w:r>
        <w:rPr>
          <w:rFonts w:cs="Arial" w:ascii="Arial" w:hAnsi="Arial"/>
          <w:sz w:val="20"/>
          <w:szCs w:val="20"/>
        </w:rPr>
        <w:t>3.1.9. ИПТ должен восстанавливать свои параметры после устранения причин короткого замыкания или повышения выходного тока выше максимального 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19"/>
      <w:bookmarkStart w:id="42" w:name="sub_3110"/>
      <w:bookmarkEnd w:id="41"/>
      <w:bookmarkEnd w:id="42"/>
      <w:r>
        <w:rPr>
          <w:rFonts w:cs="Arial" w:ascii="Arial" w:hAnsi="Arial"/>
          <w:sz w:val="20"/>
          <w:szCs w:val="20"/>
        </w:rPr>
        <w:t>3.1.10. ИПТ должен сохранять свои параметры при изменении напряжения электрической сети от 85 до 110% номинального 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110"/>
      <w:bookmarkStart w:id="44" w:name="sub_3111"/>
      <w:bookmarkEnd w:id="43"/>
      <w:bookmarkEnd w:id="44"/>
      <w:r>
        <w:rPr>
          <w:rFonts w:cs="Arial" w:ascii="Arial" w:hAnsi="Arial"/>
          <w:sz w:val="20"/>
          <w:szCs w:val="20"/>
        </w:rPr>
        <w:t>3.1.11. Время готовности ИПТ к работе не должно превышать 5 мин после его подключения к электрическим сетям.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3111"/>
      <w:bookmarkStart w:id="46" w:name="sub_3111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7" w:name="sub_320"/>
      <w:bookmarkEnd w:id="47"/>
      <w:r>
        <w:rPr>
          <w:rFonts w:cs="Arial" w:ascii="Arial" w:hAnsi="Arial"/>
          <w:b/>
          <w:bCs/>
          <w:sz w:val="20"/>
          <w:szCs w:val="20"/>
        </w:rPr>
        <w:t>3.2. Требования надежности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8" w:name="sub_320"/>
      <w:bookmarkStart w:id="49" w:name="sub_320"/>
      <w:bookmarkEnd w:id="4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21"/>
      <w:bookmarkEnd w:id="50"/>
      <w:r>
        <w:rPr>
          <w:rFonts w:cs="Arial" w:ascii="Arial" w:hAnsi="Arial"/>
          <w:sz w:val="20"/>
          <w:szCs w:val="20"/>
        </w:rPr>
        <w:t>3.2.1. ИПТ должен быть рассчитан на круглосуточную непрерывную работу.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21"/>
      <w:bookmarkStart w:id="52" w:name="sub_322"/>
      <w:bookmarkEnd w:id="51"/>
      <w:bookmarkEnd w:id="52"/>
      <w:r>
        <w:rPr>
          <w:rFonts w:cs="Arial" w:ascii="Arial" w:hAnsi="Arial"/>
          <w:sz w:val="20"/>
          <w:szCs w:val="20"/>
        </w:rPr>
        <w:t>3.2.2. Средняя наработка на отказ ИПТ должна быть не менее 40 000 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322"/>
      <w:bookmarkStart w:id="54" w:name="sub_322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Условия, с учетом которых нормируются показатели безотказности, сохраняемости и долговечности, должны быть указаны в ТД на ИПТ.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5" w:name="sub_330"/>
      <w:bookmarkEnd w:id="55"/>
      <w:r>
        <w:rPr>
          <w:rFonts w:cs="Arial" w:ascii="Arial" w:hAnsi="Arial"/>
          <w:b/>
          <w:bCs/>
          <w:sz w:val="20"/>
          <w:szCs w:val="20"/>
        </w:rPr>
        <w:t>3.3. Требования стойкости к внешним воздействиям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6" w:name="sub_330"/>
      <w:bookmarkStart w:id="57" w:name="sub_330"/>
      <w:bookmarkEnd w:id="5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31"/>
      <w:bookmarkEnd w:id="58"/>
      <w:r>
        <w:rPr>
          <w:rFonts w:cs="Arial" w:ascii="Arial" w:hAnsi="Arial"/>
          <w:sz w:val="20"/>
          <w:szCs w:val="20"/>
        </w:rPr>
        <w:t>3.3.1. ИПТ должен быть стойким к воздействию синусоидальной вибрации. Степень жесткости воздействия устанавливают в соответствии с ГОСТ 28203 в ТД на ИПТ.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31"/>
      <w:bookmarkStart w:id="60" w:name="sub_332"/>
      <w:bookmarkEnd w:id="59"/>
      <w:bookmarkEnd w:id="60"/>
      <w:r>
        <w:rPr>
          <w:rFonts w:cs="Arial" w:ascii="Arial" w:hAnsi="Arial"/>
          <w:sz w:val="20"/>
          <w:szCs w:val="20"/>
        </w:rPr>
        <w:t>3.3.2. ИПТ должен быть прочным к одиночному удару. Степень жесткости воздействия устанавливают в соответствии с ГОСТ 28213 в ТД на ИПТ.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32"/>
      <w:bookmarkStart w:id="62" w:name="sub_333"/>
      <w:bookmarkEnd w:id="61"/>
      <w:bookmarkEnd w:id="62"/>
      <w:r>
        <w:rPr>
          <w:rFonts w:cs="Arial" w:ascii="Arial" w:hAnsi="Arial"/>
          <w:sz w:val="20"/>
          <w:szCs w:val="20"/>
        </w:rPr>
        <w:t>3.3.3. ИПТ должен быть стойким к воздействию повышенной температуры окружающей среды. Степень жесткости воздействия устанавливают в соответствии с ГОСТ 28200 в ТД на ИПТ.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333"/>
      <w:bookmarkStart w:id="64" w:name="sub_334"/>
      <w:bookmarkEnd w:id="63"/>
      <w:bookmarkEnd w:id="64"/>
      <w:r>
        <w:rPr>
          <w:rFonts w:cs="Arial" w:ascii="Arial" w:hAnsi="Arial"/>
          <w:sz w:val="20"/>
          <w:szCs w:val="20"/>
        </w:rPr>
        <w:t>3.3.4. ИПТ должен быть стойким к воздействию пониженной температуры окружающей среды. Степень жесткости воздействия устанавливают в соответствии с ГОСТ 28199 в ТД на ИПТ.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34"/>
      <w:bookmarkStart w:id="66" w:name="sub_335"/>
      <w:bookmarkEnd w:id="65"/>
      <w:bookmarkEnd w:id="66"/>
      <w:r>
        <w:rPr>
          <w:rFonts w:cs="Arial" w:ascii="Arial" w:hAnsi="Arial"/>
          <w:sz w:val="20"/>
          <w:szCs w:val="20"/>
        </w:rPr>
        <w:t>3.3.5. ИПТ должен быть стойким к воздействию влажного тепла (постоянный режим). Степень жесткости воздействия устанавливают в соответствии с ГОСТ 28201 в ТД на ИПТ.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335"/>
      <w:bookmarkStart w:id="68" w:name="sub_335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9" w:name="sub_340"/>
      <w:bookmarkEnd w:id="69"/>
      <w:r>
        <w:rPr>
          <w:rFonts w:cs="Arial" w:ascii="Arial" w:hAnsi="Arial"/>
          <w:b/>
          <w:bCs/>
          <w:sz w:val="20"/>
          <w:szCs w:val="20"/>
        </w:rPr>
        <w:t>3.4. Требования электромагнитной совместимости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0" w:name="sub_340"/>
      <w:bookmarkStart w:id="71" w:name="sub_340"/>
      <w:bookmarkEnd w:id="7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2" w:name="sub_341"/>
      <w:bookmarkEnd w:id="72"/>
      <w:r>
        <w:rPr>
          <w:rFonts w:cs="Arial" w:ascii="Arial" w:hAnsi="Arial"/>
          <w:sz w:val="20"/>
          <w:szCs w:val="20"/>
        </w:rPr>
        <w:t xml:space="preserve">3.4.1. ИПТ должен быть устойчив к электромагнитным воздействиям в соответствии с требованиями НПБ 57-97 со степенью жесткости не ниже 2. Напряжение пульсации ИПТ при воздействии наносекундных и микросекундных импульсных помех должно соответствовать </w:t>
      </w:r>
      <w:hyperlink w:anchor="sub_31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п.3.1.3.</w:t>
        </w:r>
      </w:hyperlink>
      <w:r>
        <w:rPr>
          <w:rFonts w:cs="Arial" w:ascii="Arial" w:hAnsi="Arial"/>
          <w:sz w:val="20"/>
          <w:szCs w:val="20"/>
        </w:rPr>
        <w:t xml:space="preserve"> Степень жесткости должна быть указана в ТД на ИПТ.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41"/>
      <w:bookmarkStart w:id="74" w:name="sub_342"/>
      <w:bookmarkEnd w:id="73"/>
      <w:bookmarkEnd w:id="74"/>
      <w:r>
        <w:rPr>
          <w:rFonts w:cs="Arial" w:ascii="Arial" w:hAnsi="Arial"/>
          <w:sz w:val="20"/>
          <w:szCs w:val="20"/>
        </w:rPr>
        <w:t>3.4.2. Значения квазипикового напряжения радиопомех и напряженности поля радиопомех не должны превышать норм, указанных в НПБ 57-97 и ГОСТ Р 50009.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342"/>
      <w:bookmarkStart w:id="76" w:name="sub_342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7" w:name="sub_350"/>
      <w:bookmarkEnd w:id="77"/>
      <w:r>
        <w:rPr>
          <w:rFonts w:cs="Arial" w:ascii="Arial" w:hAnsi="Arial"/>
          <w:b/>
          <w:bCs/>
          <w:sz w:val="20"/>
          <w:szCs w:val="20"/>
        </w:rPr>
        <w:t>3.5. Требования к маркировке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8" w:name="sub_350"/>
      <w:bookmarkStart w:id="79" w:name="sub_350"/>
      <w:bookmarkEnd w:id="7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Маркировка ИПТ должна содержать: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условное обозначение;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товарный знак или наименование предприятия-изготовителя, серийный номер.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Кроме того, в ней должны быть указаны: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напряжение электрической сети;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выходное напряжение;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выходной ток; год выпуска.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0" w:name="sub_360"/>
      <w:bookmarkEnd w:id="80"/>
      <w:r>
        <w:rPr>
          <w:rFonts w:cs="Arial" w:ascii="Arial" w:hAnsi="Arial"/>
          <w:b/>
          <w:bCs/>
          <w:sz w:val="20"/>
          <w:szCs w:val="20"/>
        </w:rPr>
        <w:t>3.6. Требования комплектности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1" w:name="sub_360"/>
      <w:bookmarkStart w:id="82" w:name="sub_360"/>
      <w:bookmarkEnd w:id="8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Поставляемая документация должна включать в себя: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сведения об электропитании;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требования, предъявляемые ко всем подключаемым к ИПТ линиям, достаточные для оценки электрической совместимости с другими средствами противопожарной защиты;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сведения о номинальных токах плавких вставок;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сведения о типах аккумуляторов, их максимальные и минимальные емкости.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3" w:name="sub_400"/>
      <w:bookmarkEnd w:id="83"/>
      <w:r>
        <w:rPr>
          <w:rFonts w:cs="Arial" w:ascii="Arial" w:hAnsi="Arial"/>
          <w:b/>
          <w:bCs/>
          <w:sz w:val="20"/>
          <w:szCs w:val="20"/>
        </w:rPr>
        <w:t>4.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4" w:name="sub_400"/>
      <w:bookmarkStart w:id="85" w:name="sub_400"/>
      <w:bookmarkEnd w:id="8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1"/>
      <w:bookmarkEnd w:id="86"/>
      <w:r>
        <w:rPr>
          <w:rFonts w:cs="Arial" w:ascii="Arial" w:hAnsi="Arial"/>
          <w:sz w:val="20"/>
          <w:szCs w:val="20"/>
        </w:rPr>
        <w:t>4.1. ИПТ должен быть безопасным для обслуживающего персонала в соответствии с требованиями ГОСТ 12.2.003 при монтаже, ремонте и регламентных работах.</w:t>
      </w:r>
    </w:p>
    <w:p>
      <w:pPr>
        <w:pStyle w:val="Normal"/>
        <w:autoSpaceDE w:val="false"/>
        <w:ind w:firstLine="720"/>
        <w:jc w:val="both"/>
        <w:rPr/>
      </w:pPr>
      <w:bookmarkStart w:id="87" w:name="sub_41"/>
      <w:bookmarkStart w:id="88" w:name="sub_42"/>
      <w:bookmarkEnd w:id="87"/>
      <w:bookmarkEnd w:id="88"/>
      <w:r>
        <w:rPr>
          <w:rFonts w:cs="Arial" w:ascii="Arial" w:hAnsi="Arial"/>
          <w:sz w:val="20"/>
          <w:szCs w:val="20"/>
        </w:rPr>
        <w:t>4.2. ИПТ должен удовлетворять требованиям безопасности в соответствии с требованиями ГОСТ 12.2.006.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42"/>
      <w:bookmarkStart w:id="90" w:name="sub_43"/>
      <w:bookmarkEnd w:id="89"/>
      <w:bookmarkEnd w:id="90"/>
      <w:r>
        <w:rPr>
          <w:rFonts w:cs="Arial" w:ascii="Arial" w:hAnsi="Arial"/>
          <w:sz w:val="20"/>
          <w:szCs w:val="20"/>
        </w:rPr>
        <w:t>4.3. ИПТ должен соответствовать требованиям безопасности, изложенным в ГОСТ 12.2.007.0.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43"/>
      <w:bookmarkStart w:id="92" w:name="sub_43"/>
      <w:bookmarkEnd w:id="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3" w:name="sub_500"/>
      <w:bookmarkEnd w:id="93"/>
      <w:r>
        <w:rPr>
          <w:rFonts w:cs="Arial" w:ascii="Arial" w:hAnsi="Arial"/>
          <w:b/>
          <w:bCs/>
          <w:sz w:val="20"/>
          <w:szCs w:val="20"/>
        </w:rPr>
        <w:t>5.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4" w:name="sub_500"/>
      <w:bookmarkStart w:id="95" w:name="sub_500"/>
      <w:bookmarkEnd w:id="9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5.2. Методика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6" w:name="sub_510"/>
      <w:bookmarkEnd w:id="96"/>
      <w:r>
        <w:rPr>
          <w:rFonts w:cs="Arial" w:ascii="Arial" w:hAnsi="Arial"/>
          <w:b/>
          <w:bCs/>
          <w:sz w:val="20"/>
          <w:szCs w:val="20"/>
        </w:rPr>
        <w:t>5.1.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7" w:name="sub_510"/>
      <w:bookmarkStart w:id="98" w:name="sub_510"/>
      <w:bookmarkEnd w:id="9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511"/>
      <w:bookmarkEnd w:id="99"/>
      <w:r>
        <w:rPr>
          <w:rFonts w:cs="Arial" w:ascii="Arial" w:hAnsi="Arial"/>
          <w:sz w:val="20"/>
          <w:szCs w:val="20"/>
        </w:rPr>
        <w:t>5.1.1. Испытания должны проводиться с помощью испытательного оборудования, аттестованного в соответствии с требованиям ГОСТ 8.568.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11"/>
      <w:bookmarkStart w:id="101" w:name="sub_512"/>
      <w:bookmarkEnd w:id="100"/>
      <w:bookmarkEnd w:id="101"/>
      <w:r>
        <w:rPr>
          <w:rFonts w:cs="Arial" w:ascii="Arial" w:hAnsi="Arial"/>
          <w:sz w:val="20"/>
          <w:szCs w:val="20"/>
        </w:rPr>
        <w:t xml:space="preserve">5.1.2. Сертификационные испытания на соответствие ИПТ требованиям </w:t>
      </w:r>
      <w:hyperlink w:anchor="sub_31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пп.3.1</w:t>
        </w:r>
      </w:hyperlink>
      <w:r>
        <w:rPr>
          <w:rFonts w:cs="Arial" w:ascii="Arial" w:hAnsi="Arial"/>
          <w:sz w:val="20"/>
          <w:szCs w:val="20"/>
        </w:rPr>
        <w:t xml:space="preserve"> (за исключением </w:t>
      </w:r>
      <w:hyperlink w:anchor="sub_316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п.3.1.6.3</w:t>
        </w:r>
      </w:hyperlink>
      <w:r>
        <w:rPr>
          <w:rFonts w:cs="Arial" w:ascii="Arial" w:hAnsi="Arial"/>
          <w:sz w:val="20"/>
          <w:szCs w:val="20"/>
        </w:rPr>
        <w:t xml:space="preserve">), </w:t>
      </w:r>
      <w:hyperlink w:anchor="sub_330">
        <w:r>
          <w:rPr>
            <w:rStyle w:val="Style15"/>
            <w:rFonts w:cs="Arial" w:ascii="Arial" w:hAnsi="Arial"/>
            <w:sz w:val="20"/>
            <w:szCs w:val="20"/>
            <w:u w:val="single"/>
          </w:rPr>
          <w:t>3.3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40">
        <w:r>
          <w:rPr>
            <w:rStyle w:val="Style15"/>
            <w:rFonts w:cs="Arial" w:ascii="Arial" w:hAnsi="Arial"/>
            <w:sz w:val="20"/>
            <w:szCs w:val="20"/>
            <w:u w:val="single"/>
          </w:rPr>
          <w:t>3.4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</w:t>
        </w:r>
      </w:hyperlink>
      <w:r>
        <w:rPr>
          <w:rFonts w:cs="Arial" w:ascii="Arial" w:hAnsi="Arial"/>
          <w:sz w:val="20"/>
          <w:szCs w:val="20"/>
        </w:rPr>
        <w:t xml:space="preserve"> следует проводить по методике </w:t>
      </w:r>
      <w:hyperlink w:anchor="sub_52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п.5.2.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512"/>
      <w:bookmarkStart w:id="103" w:name="sub_512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4" w:name="sub_520"/>
      <w:bookmarkEnd w:id="104"/>
      <w:r>
        <w:rPr>
          <w:rFonts w:cs="Arial" w:ascii="Arial" w:hAnsi="Arial"/>
          <w:b/>
          <w:bCs/>
          <w:sz w:val="20"/>
          <w:szCs w:val="20"/>
        </w:rPr>
        <w:t>5.2. Методика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5" w:name="sub_520"/>
      <w:bookmarkStart w:id="106" w:name="sub_520"/>
      <w:bookmarkEnd w:id="10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7" w:name="sub_521"/>
      <w:bookmarkEnd w:id="107"/>
      <w:r>
        <w:rPr>
          <w:rFonts w:cs="Arial" w:ascii="Arial" w:hAnsi="Arial"/>
          <w:sz w:val="20"/>
          <w:szCs w:val="20"/>
        </w:rPr>
        <w:t xml:space="preserve">5.2.1. Объем и условия проведения испытаний на соответствие требованиям, указанным в </w:t>
      </w:r>
      <w:hyperlink w:anchor="sub_31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 xml:space="preserve"> (за исключением </w:t>
      </w:r>
      <w:hyperlink w:anchor="sub_316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п.3.1.6.3</w:t>
        </w:r>
      </w:hyperlink>
      <w:r>
        <w:rPr>
          <w:rFonts w:cs="Arial" w:ascii="Arial" w:hAnsi="Arial"/>
          <w:sz w:val="20"/>
          <w:szCs w:val="20"/>
        </w:rPr>
        <w:t xml:space="preserve">), представлены в таблице. Испытания по </w:t>
      </w:r>
      <w:hyperlink w:anchor="sub_316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3.1.6.3</w:t>
        </w:r>
      </w:hyperlink>
      <w:r>
        <w:rPr>
          <w:rFonts w:cs="Arial" w:ascii="Arial" w:hAnsi="Arial"/>
          <w:sz w:val="20"/>
          <w:szCs w:val="20"/>
        </w:rPr>
        <w:t xml:space="preserve"> следует проводить по методике, указанной изготовителем ИПТ.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521"/>
      <w:bookmarkStart w:id="109" w:name="sub_521"/>
      <w:bookmarkEnd w:id="10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┌───┬─────────────┬───────────────┬──────────────┬──────────────────────┐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 Напряжение  │  Напряжение   │ Ток нагрузки │    Контролируемые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п/п│электрической│ аккумулятора  │     I_н      │      параметры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сети U_с   │   U_а, ток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зарядного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I_з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наличии)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│Номинальное  │U_а           -│Номинальный   │Выходное   напряжение,│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номинальное,   │              │пульсации,  оптическая│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I_з           -│              │индикация,       время│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номинальный или│              │готовности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5202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│Номинальное  │U_а           -│Минимальный   │Выходное   напряжение,│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5202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номинальное;   │              │пульсации,  оптическая│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I_з           -│              │индикация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номинальный или│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5203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│110%         │U_а           -│Максимальный  │Выходное   напряжение,│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5203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│минимальное;   │              │пульсации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I_з           -│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максимальный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5204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│85%          │U_а           -│Максимальный  │Выходное   напряжение,│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5204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│минимальное;   │              │пульсации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I_з           -│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максимальный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5205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│Отключено    │U_а           -│Максимальный  │Выходное напряжение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5205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минимальное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│85%          │U_а     =     0│Максимальный  │Выходное напряжение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│(короткое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замыкание  цепи│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заряда)        │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 │110%         │Обрыв      цепи│Минимальный   │Выходное напряжение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│заряда         │или        10%│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│85%          │Аккумулятор    │Максимальный  │Выходное   напряжение,│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│отключен       │              │пульсации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 │110%         │Аккумулятор    │Максимальный  │Выходное   напряжение,│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│отключен       │              │пульсации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│110%         │U_а           -│Минимальный   │Выходное напряжение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│максимальное   │или        10%│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├───┼─────────────┼───────────────┼──────────────┼──────────────────────┤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│Номинальное  │U_а           -│Минимальный   │Оптическая индикация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минимальное    │или        10%│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номинального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└───┴─────────────┴───────────────┴──────────────┴──────────────────────┘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Испытания по </w:t>
      </w:r>
      <w:hyperlink w:anchor="sub_318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пп.3.1.8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19">
        <w:r>
          <w:rPr>
            <w:rStyle w:val="Style15"/>
            <w:rFonts w:cs="Arial" w:ascii="Arial" w:hAnsi="Arial"/>
            <w:sz w:val="20"/>
            <w:szCs w:val="20"/>
            <w:u w:val="single"/>
          </w:rPr>
          <w:t>3.1.9</w:t>
        </w:r>
      </w:hyperlink>
      <w:r>
        <w:rPr>
          <w:rFonts w:cs="Arial" w:ascii="Arial" w:hAnsi="Arial"/>
          <w:sz w:val="20"/>
          <w:szCs w:val="20"/>
        </w:rPr>
        <w:t xml:space="preserve"> следует проводить при сочетаниях токов и напряжений согласно </w:t>
      </w:r>
      <w:hyperlink w:anchor="sub_5202">
        <w:r>
          <w:rPr>
            <w:rStyle w:val="Style15"/>
            <w:rFonts w:cs="Arial" w:ascii="Arial" w:hAnsi="Arial"/>
            <w:sz w:val="20"/>
            <w:szCs w:val="20"/>
            <w:u w:val="single"/>
          </w:rPr>
          <w:t>строкам 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03">
        <w:r>
          <w:rPr>
            <w:rStyle w:val="Style15"/>
            <w:rFonts w:cs="Arial" w:ascii="Arial" w:hAnsi="Arial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04">
        <w:r>
          <w:rPr>
            <w:rStyle w:val="Style15"/>
            <w:rFonts w:cs="Arial" w:ascii="Arial" w:hAnsi="Arial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205">
        <w:r>
          <w:rPr>
            <w:rStyle w:val="Style15"/>
            <w:rFonts w:cs="Arial" w:ascii="Arial" w:hAnsi="Arial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 таблицы.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Продолжительность испытаний при сочетаниях токов и напряжений, указанных в </w:t>
      </w:r>
      <w:hyperlink w:anchor="sub_5203">
        <w:r>
          <w:rPr>
            <w:rStyle w:val="Style15"/>
            <w:rFonts w:cs="Arial" w:ascii="Arial" w:hAnsi="Arial"/>
            <w:sz w:val="20"/>
            <w:szCs w:val="20"/>
            <w:u w:val="single"/>
          </w:rPr>
          <w:t>строках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204">
        <w:r>
          <w:rPr>
            <w:rStyle w:val="Style15"/>
            <w:rFonts w:cs="Arial" w:ascii="Arial" w:hAnsi="Arial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таблицы, должна быть не менее 4 ч, других испытаний - прямо не регламентируется. Параметры короткого замыкания или превышения максимального значения выходного тока и контролируемые параметры и условия, при которых ИПТ считается выдержавшим испытания, должны быть указаны в технической документации на ИПТ.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ИПТ считается выдержавшим испытания на соответствие требованиям </w:t>
      </w:r>
      <w:hyperlink w:anchor="sub_31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</w:t>
        </w:r>
      </w:hyperlink>
      <w:r>
        <w:rPr>
          <w:rFonts w:cs="Arial" w:ascii="Arial" w:hAnsi="Arial"/>
          <w:sz w:val="20"/>
          <w:szCs w:val="20"/>
        </w:rPr>
        <w:t xml:space="preserve"> при указанных в таблице сочетаниях напряжений и токов, если: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значение постоянного выходного напряжения соответствует требованиям </w:t>
      </w:r>
      <w:hyperlink w:anchor="sub_31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п.3.1.2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пульсации ИПТ соответствуют требованиям </w:t>
      </w:r>
      <w:hyperlink w:anchor="sub_31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п.3.1.3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оптическая индикация соответствует режиму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18" w:name="sub_522"/>
      <w:bookmarkEnd w:id="118"/>
      <w:r>
        <w:rPr>
          <w:rFonts w:cs="Arial" w:ascii="Arial" w:hAnsi="Arial"/>
          <w:sz w:val="20"/>
          <w:szCs w:val="20"/>
        </w:rPr>
        <w:t>5.2.2. Испытания на стойкость к воздействию синусоидальной вибрации (</w:t>
      </w:r>
      <w:hyperlink w:anchor="sub_331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п.3.3.1</w:t>
        </w:r>
      </w:hyperlink>
      <w:r>
        <w:rPr>
          <w:rFonts w:cs="Arial" w:ascii="Arial" w:hAnsi="Arial"/>
          <w:sz w:val="20"/>
          <w:szCs w:val="20"/>
        </w:rPr>
        <w:t>) ледует проводить по методике ГОСТ 28203.</w:t>
      </w:r>
    </w:p>
    <w:p>
      <w:pPr>
        <w:pStyle w:val="Normal"/>
        <w:autoSpaceDE w:val="false"/>
        <w:ind w:firstLine="720"/>
        <w:jc w:val="both"/>
        <w:rPr/>
      </w:pPr>
      <w:bookmarkStart w:id="119" w:name="sub_522"/>
      <w:bookmarkStart w:id="120" w:name="sub_523"/>
      <w:bookmarkEnd w:id="119"/>
      <w:bookmarkEnd w:id="120"/>
      <w:r>
        <w:rPr>
          <w:rFonts w:cs="Arial" w:ascii="Arial" w:hAnsi="Arial"/>
          <w:sz w:val="20"/>
          <w:szCs w:val="20"/>
        </w:rPr>
        <w:t>5.2.3. Испытания на прочность к удару (</w:t>
      </w:r>
      <w:hyperlink w:anchor="sub_33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3.3.2</w:t>
        </w:r>
      </w:hyperlink>
      <w:r>
        <w:rPr>
          <w:rFonts w:cs="Arial" w:ascii="Arial" w:hAnsi="Arial"/>
          <w:sz w:val="20"/>
          <w:szCs w:val="20"/>
        </w:rPr>
        <w:t>) следует проводить по методике ГОСТ 28213.</w:t>
      </w:r>
    </w:p>
    <w:p>
      <w:pPr>
        <w:pStyle w:val="Normal"/>
        <w:autoSpaceDE w:val="false"/>
        <w:ind w:firstLine="720"/>
        <w:jc w:val="both"/>
        <w:rPr/>
      </w:pPr>
      <w:bookmarkStart w:id="121" w:name="sub_523"/>
      <w:bookmarkStart w:id="122" w:name="sub_524"/>
      <w:bookmarkEnd w:id="121"/>
      <w:bookmarkEnd w:id="122"/>
      <w:r>
        <w:rPr>
          <w:rFonts w:cs="Arial" w:ascii="Arial" w:hAnsi="Arial"/>
          <w:sz w:val="20"/>
          <w:szCs w:val="20"/>
        </w:rPr>
        <w:t>5.2.4. Испытания на стойкость к воздействию повышенной температуры (</w:t>
      </w:r>
      <w:hyperlink w:anchor="sub_33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п.3.3.3</w:t>
        </w:r>
      </w:hyperlink>
      <w:r>
        <w:rPr>
          <w:rFonts w:cs="Arial" w:ascii="Arial" w:hAnsi="Arial"/>
          <w:sz w:val="20"/>
          <w:szCs w:val="20"/>
        </w:rPr>
        <w:t>) следует проводить по методике ГОСТ 28200.</w:t>
      </w:r>
    </w:p>
    <w:p>
      <w:pPr>
        <w:pStyle w:val="Normal"/>
        <w:autoSpaceDE w:val="false"/>
        <w:ind w:firstLine="720"/>
        <w:jc w:val="both"/>
        <w:rPr/>
      </w:pPr>
      <w:bookmarkStart w:id="123" w:name="sub_524"/>
      <w:bookmarkStart w:id="124" w:name="sub_525"/>
      <w:bookmarkEnd w:id="123"/>
      <w:bookmarkEnd w:id="124"/>
      <w:r>
        <w:rPr>
          <w:rFonts w:cs="Arial" w:ascii="Arial" w:hAnsi="Arial"/>
          <w:sz w:val="20"/>
          <w:szCs w:val="20"/>
        </w:rPr>
        <w:t>5.2.5. Испытания на стойкость к воздействию пониженной температуры (</w:t>
      </w:r>
      <w:hyperlink w:anchor="sub_33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п.3.3.4</w:t>
        </w:r>
      </w:hyperlink>
      <w:r>
        <w:rPr>
          <w:rFonts w:cs="Arial" w:ascii="Arial" w:hAnsi="Arial"/>
          <w:sz w:val="20"/>
          <w:szCs w:val="20"/>
        </w:rPr>
        <w:t>) следует проводить по методике ГОСТ 28199.</w:t>
      </w:r>
    </w:p>
    <w:p>
      <w:pPr>
        <w:pStyle w:val="Normal"/>
        <w:autoSpaceDE w:val="false"/>
        <w:ind w:firstLine="720"/>
        <w:jc w:val="both"/>
        <w:rPr/>
      </w:pPr>
      <w:bookmarkStart w:id="125" w:name="sub_525"/>
      <w:bookmarkStart w:id="126" w:name="sub_526"/>
      <w:bookmarkEnd w:id="125"/>
      <w:bookmarkEnd w:id="126"/>
      <w:r>
        <w:rPr>
          <w:rFonts w:cs="Arial" w:ascii="Arial" w:hAnsi="Arial"/>
          <w:sz w:val="20"/>
          <w:szCs w:val="20"/>
        </w:rPr>
        <w:t>5.2.6. Испытания на стойкость к воздействию влажного тепла (</w:t>
      </w:r>
      <w:hyperlink w:anchor="sub_33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п.3.3.5</w:t>
        </w:r>
      </w:hyperlink>
      <w:r>
        <w:rPr>
          <w:rFonts w:cs="Arial" w:ascii="Arial" w:hAnsi="Arial"/>
          <w:sz w:val="20"/>
          <w:szCs w:val="20"/>
        </w:rPr>
        <w:t>) следует проводить по методике ГОСТ 28201. При сертификационных испытаниях допускается выдерживать образец в течение двух суток.</w:t>
      </w:r>
    </w:p>
    <w:p>
      <w:pPr>
        <w:pStyle w:val="Normal"/>
        <w:autoSpaceDE w:val="false"/>
        <w:ind w:firstLine="720"/>
        <w:jc w:val="both"/>
        <w:rPr/>
      </w:pPr>
      <w:bookmarkStart w:id="127" w:name="sub_526"/>
      <w:bookmarkEnd w:id="127"/>
      <w:r>
        <w:rPr>
          <w:rFonts w:cs="Arial" w:ascii="Arial" w:hAnsi="Arial"/>
          <w:sz w:val="20"/>
          <w:szCs w:val="20"/>
        </w:rPr>
        <w:t xml:space="preserve">ИПТ считается выдержавшим испытания по </w:t>
      </w:r>
      <w:hyperlink w:anchor="sub_522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пп.5.2.2-5.2.6</w:t>
        </w:r>
      </w:hyperlink>
      <w:r>
        <w:rPr>
          <w:rFonts w:cs="Arial" w:ascii="Arial" w:hAnsi="Arial"/>
          <w:sz w:val="20"/>
          <w:szCs w:val="20"/>
        </w:rPr>
        <w:t>, если: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значение постоянного выходного напряжения соответствует требованиям </w:t>
      </w:r>
      <w:hyperlink w:anchor="sub_31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п.3.1.2</w:t>
        </w:r>
      </w:hyperlink>
      <w:r>
        <w:rPr>
          <w:rFonts w:cs="Arial" w:ascii="Arial" w:hAnsi="Arial"/>
          <w:sz w:val="20"/>
          <w:szCs w:val="20"/>
        </w:rPr>
        <w:t xml:space="preserve"> при номинальном значении выходного тока; пульсации ИПТ соответствуют требованиям </w:t>
      </w:r>
      <w:hyperlink w:anchor="sub_31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п.3.1.3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оптическая индикация соответствует режиму работы.</w:t>
      </w:r>
    </w:p>
    <w:p>
      <w:pPr>
        <w:pStyle w:val="Normal"/>
        <w:autoSpaceDE w:val="false"/>
        <w:ind w:firstLine="720"/>
        <w:jc w:val="both"/>
        <w:rPr/>
      </w:pPr>
      <w:bookmarkStart w:id="128" w:name="sub_527"/>
      <w:bookmarkEnd w:id="128"/>
      <w:r>
        <w:rPr>
          <w:rFonts w:cs="Arial" w:ascii="Arial" w:hAnsi="Arial"/>
          <w:sz w:val="20"/>
          <w:szCs w:val="20"/>
        </w:rPr>
        <w:t>5.2.7. Испытания на электромагнитную совместимость (</w:t>
      </w:r>
      <w:hyperlink w:anchor="sub_340">
        <w:r>
          <w:rPr>
            <w:rStyle w:val="Style15"/>
            <w:rFonts w:cs="Arial" w:ascii="Arial" w:hAnsi="Arial"/>
            <w:sz w:val="20"/>
            <w:szCs w:val="20"/>
            <w:u w:val="single"/>
          </w:rPr>
          <w:t>п.3.4</w:t>
        </w:r>
      </w:hyperlink>
      <w:r>
        <w:rPr>
          <w:rFonts w:cs="Arial" w:ascii="Arial" w:hAnsi="Arial"/>
          <w:sz w:val="20"/>
          <w:szCs w:val="20"/>
        </w:rPr>
        <w:t>) следует проводить по методике НПБ 57-97 и ГОСТ Р 50009.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527"/>
      <w:bookmarkStart w:id="130" w:name="sub_528"/>
      <w:bookmarkEnd w:id="129"/>
      <w:bookmarkEnd w:id="130"/>
      <w:r>
        <w:rPr>
          <w:rFonts w:cs="Arial" w:ascii="Arial" w:hAnsi="Arial"/>
          <w:sz w:val="20"/>
          <w:szCs w:val="20"/>
        </w:rPr>
        <w:t>5.2.8. Испытания ИПТ на соответствие требованиям безопасности следует проводить по методике ГОСТ 12.2.006.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528"/>
      <w:bookmarkStart w:id="132" w:name="sub_528"/>
      <w:bookmarkEnd w:id="1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3" w:name="sub_600"/>
      <w:bookmarkEnd w:id="133"/>
      <w:r>
        <w:rPr>
          <w:rFonts w:cs="Arial" w:ascii="Arial" w:hAnsi="Arial"/>
          <w:b/>
          <w:bCs/>
          <w:sz w:val="20"/>
          <w:szCs w:val="20"/>
        </w:rPr>
        <w:t>6.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4" w:name="sub_600"/>
      <w:bookmarkStart w:id="135" w:name="sub_600"/>
      <w:bookmarkEnd w:id="13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использованы ссылки на следующие документы: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8.568-97 Аттестация испытательного оборудования. Основные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12.2.003-91 ССБТ. Оборудование производственное. Общие требования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12.2.006-89 Безопасность аппаратуры электронной сетевой и сходных с ней устройств, предназначенных для бытового и аналогичного общего применения. Общие требования и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12.2.007.0-75 ССБТ. Изделия электротехнические. Общие требования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28199-89 Основные методы испытаний на воздействие внешних факторов. Часть 2. Испытания. Испытание А: Холод.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28200-89 Основные методы испытаний на воздействие внешних факторов. Часть 2. Испытания. Испытание В: Сухое тепло.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28201-89 Основные методы испытаний на воздействие внешних факторов. Часть 2. Испытания. Испытание Са: Влажное тепло, постоянный режим.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28203-89 Основные методы испытаний на воздействие внешних факторов. Часть 2. Испытания. Испытание Fc и руководство: Вибрация (синусоидальная).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28213-89 Основные методы испытаний на воздействие внешних факторов. Часть 2. Испытания. Испытание Еа и руководство: Одиночный удар.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50009-92 Совместимость технических средств охранной, пожарной и охранно-пожарной сигнализации электромагнитная. Общие технические требования.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Р 51179-98 (МЭК 870-2-1-95) Устройства и системы телемеханики.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Правила устройства электроустановок (ПУЭ).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НПБ 57-97 Приборы и аппаратура автоматических установок пожаротушения и пожарной сигнализации. Помехоустойчивость и помехоэмиссия. Общие технические требования. Методы испытаний.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2007-01-29T11:23:00Z</dcterms:created>
  <dc:creator>Виктор</dc:creator>
  <dc:description/>
  <dc:language>ru-RU</dc:language>
  <cp:lastModifiedBy>Виктор</cp:lastModifiedBy>
  <dcterms:modified xsi:type="dcterms:W3CDTF">2007-01-29T11:35:00Z</dcterms:modified>
  <cp:revision>3</cp:revision>
  <dc:subject/>
  <dc:title/>
</cp:coreProperties>
</file>