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</w:t>
        <w:br/>
        <w:t>НПБ 103-95</w:t>
        <w:br/>
        <w:t>"Торговые павильоны и киоски. Противопожарные требования"</w:t>
        <w:br/>
        <w:t>(утв. Главным государственным инспектором РФ по пожарному надзору,</w:t>
        <w:br/>
        <w:t>введены в действие приказом ГУГПС МВД РФ от 31 января 1995 г. N 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марта 1995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Вводятся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Размещение киосков и павильонов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Приложение.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нормы устанавливают требования пожарной безопасности при устройстве и размещении торговых павильонов и киосков на территории Российской Федерации и являются обязательными для исполнения всеми организациями независимо от форм собственности, вида деятельности и ведомственной принадлежности.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не распространяются на торговые киоски и лотки, размещаемые внутри зданий и сооружений.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проектировании </w:t>
      </w:r>
      <w:hyperlink w:anchor="sub_222">
        <w:r>
          <w:rPr>
            <w:rStyle w:val="Style16"/>
            <w:rFonts w:cs="Arial" w:ascii="Arial" w:hAnsi="Arial"/>
            <w:sz w:val="20"/>
            <w:szCs w:val="20"/>
            <w:u w:val="single"/>
          </w:rPr>
          <w:t>павильонов</w:t>
        </w:r>
      </w:hyperlink>
      <w:r>
        <w:rPr>
          <w:rFonts w:cs="Arial" w:ascii="Arial" w:hAnsi="Arial"/>
          <w:sz w:val="20"/>
          <w:szCs w:val="20"/>
        </w:rPr>
        <w:t>, помимо настоящих норм, необходимо руководствоваться СНиП 2.01.02-85*, СНиП 2.08.02-89*, СНиП 2.07.01-89* и другими нормативными документами, утвержденными в установленном порядке, применительно к зданиям для предприятий торговли.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1.1. Степень огнестойкости торговых </w:t>
      </w:r>
      <w:hyperlink w:anchor="sub_111">
        <w:r>
          <w:rPr>
            <w:rStyle w:val="Style16"/>
            <w:rFonts w:cs="Arial" w:ascii="Arial" w:hAnsi="Arial"/>
            <w:sz w:val="20"/>
            <w:szCs w:val="20"/>
            <w:u w:val="single"/>
          </w:rPr>
          <w:t>киосков</w:t>
        </w:r>
      </w:hyperlink>
      <w:r>
        <w:rPr>
          <w:rFonts w:cs="Arial" w:ascii="Arial" w:hAnsi="Arial"/>
          <w:sz w:val="20"/>
          <w:szCs w:val="20"/>
        </w:rPr>
        <w:t xml:space="preserve"> и одноэтажных павильонов площадью 20 м2 и менее не регламентируется.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Степень огнестойкости, допустимое число этажей и площадь этажа (пожарного отсека) торговых павильонов большей площади следует определять по действующим строительным нормам и правилам применительно к зданиям для предприятий торговли.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Павильоны и киоски, предназначенные для торговли горючими жидкостями или газами, следует выполнять I, II, IIIa степеней огнестойкости, как правило, отдельно стоящими или в группе с киосками, торгующими аналогичными товарами.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Внутренние запоры, устанавливаемые на дверях и используемые в период нахождения в сооружении людей, должны быть легкооткрываемыми.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Отопление киосков, устанавливаемых в населенных пунктах, следует устраивать электрическое (с применением масляных радиаторов, греющих панелей), паровое или водяное.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киосках, устанавливаемых вне населенных пунктов, допускается устройство печного отопления.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1.5. Электрооборудование </w:t>
      </w:r>
      <w:hyperlink w:anchor="sub_111">
        <w:r>
          <w:rPr>
            <w:rStyle w:val="Style16"/>
            <w:rFonts w:cs="Arial" w:ascii="Arial" w:hAnsi="Arial"/>
            <w:sz w:val="20"/>
            <w:szCs w:val="20"/>
            <w:u w:val="single"/>
          </w:rPr>
          <w:t>киосков</w:t>
        </w:r>
      </w:hyperlink>
      <w:r>
        <w:rPr>
          <w:rFonts w:cs="Arial" w:ascii="Arial" w:hAnsi="Arial"/>
          <w:sz w:val="20"/>
          <w:szCs w:val="20"/>
        </w:rPr>
        <w:t xml:space="preserve"> должно соответствовать требованиям </w:t>
      </w:r>
      <w:hyperlink w:anchor="sub_1">
        <w:r>
          <w:rPr>
            <w:rStyle w:val="Style16"/>
            <w:rFonts w:cs="Arial" w:ascii="Arial" w:hAnsi="Arial"/>
            <w:sz w:val="20"/>
            <w:szCs w:val="20"/>
            <w:u w:val="single"/>
          </w:rPr>
          <w:t>ПУЭ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Электросветильники следует использовать с защитными колпаками (с лампами накаливания) или бесстартерные (с люминесцентными лампами).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обесточивания электрической сети </w:t>
      </w:r>
      <w:hyperlink w:anchor="sub_222">
        <w:r>
          <w:rPr>
            <w:rStyle w:val="Style16"/>
            <w:rFonts w:cs="Arial" w:ascii="Arial" w:hAnsi="Arial"/>
            <w:sz w:val="20"/>
            <w:szCs w:val="20"/>
            <w:u w:val="single"/>
          </w:rPr>
          <w:t>павильона</w:t>
        </w:r>
      </w:hyperlink>
      <w:r>
        <w:rPr>
          <w:rFonts w:cs="Arial" w:ascii="Arial" w:hAnsi="Arial"/>
          <w:sz w:val="20"/>
          <w:szCs w:val="20"/>
        </w:rPr>
        <w:t xml:space="preserve"> или киоска и группы сооружений должно быть установлено на несгораемом основании отключающее устройство.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1.6. Киоски следует оборудовать автоматической пожарной сигнализацией с выводом звукового сигнала на фасад сооружения или непосредственно в защищаемое помещение (автономные пожарные извещатели).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В каждом киоске должно быть не менее двух огнетушителей.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sz w:val="20"/>
          <w:szCs w:val="20"/>
        </w:rPr>
        <w:t>2. Размещение киосков и павильонов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Места размещения павильонов и косков подлежат согласованию в порядке, установленном местными органами власти.</w:t>
      </w:r>
    </w:p>
    <w:p>
      <w:pPr>
        <w:pStyle w:val="Normal"/>
        <w:autoSpaceDE w:val="false"/>
        <w:ind w:firstLine="720"/>
        <w:jc w:val="both"/>
        <w:rPr/>
      </w:pPr>
      <w:bookmarkStart w:id="6" w:name="sub_22"/>
      <w:bookmarkEnd w:id="6"/>
      <w:r>
        <w:rPr>
          <w:rFonts w:cs="Arial" w:ascii="Arial" w:hAnsi="Arial"/>
          <w:sz w:val="20"/>
          <w:szCs w:val="20"/>
        </w:rPr>
        <w:t xml:space="preserve">2.2. На отведенной территории допускается установка </w:t>
      </w:r>
      <w:hyperlink w:anchor="sub_111">
        <w:r>
          <w:rPr>
            <w:rStyle w:val="Style16"/>
            <w:rFonts w:cs="Arial" w:ascii="Arial" w:hAnsi="Arial"/>
            <w:sz w:val="20"/>
            <w:szCs w:val="20"/>
            <w:u w:val="single"/>
          </w:rPr>
          <w:t>киосков</w:t>
        </w:r>
      </w:hyperlink>
      <w:r>
        <w:rPr>
          <w:rFonts w:cs="Arial" w:ascii="Arial" w:hAnsi="Arial"/>
          <w:sz w:val="20"/>
          <w:szCs w:val="20"/>
        </w:rPr>
        <w:t xml:space="preserve">, а также одноэтажных </w:t>
      </w:r>
      <w:hyperlink w:anchor="sub_222">
        <w:r>
          <w:rPr>
            <w:rStyle w:val="Style16"/>
            <w:rFonts w:cs="Arial" w:ascii="Arial" w:hAnsi="Arial"/>
            <w:sz w:val="20"/>
            <w:szCs w:val="20"/>
            <w:u w:val="single"/>
          </w:rPr>
          <w:t>павильонов</w:t>
        </w:r>
      </w:hyperlink>
      <w:r>
        <w:rPr>
          <w:rFonts w:cs="Arial" w:ascii="Arial" w:hAnsi="Arial"/>
          <w:sz w:val="20"/>
          <w:szCs w:val="20"/>
        </w:rPr>
        <w:t xml:space="preserve"> площадью 20 м2 и менее группами. В одной группе может размещаться не более 10 сооружений I, II, III, IlIa степеней огнестойкости или 6 - IIIб, IV, IVa, V степеней огнестойкости. Расстояния между ними в группе не нормируются.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2"/>
      <w:bookmarkEnd w:id="7"/>
      <w:r>
        <w:rPr>
          <w:rFonts w:cs="Arial" w:ascii="Arial" w:hAnsi="Arial"/>
          <w:sz w:val="20"/>
          <w:szCs w:val="20"/>
        </w:rPr>
        <w:t>2.3. Расстояние между группами, указанными в п.2.2. настоящих норм, между павильонами площадью более 20 м2, а также между павильонами и киосками, предназначенными для продажи горючих жидкостей и газов (независимо от их площади), следует принимать в соответствии с таблицей.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Степень огнестойкости   │  Расстояние, м, при степени огнестойкости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в группе    │                  киосков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├───────────────┬────────────────────────────┤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I, II, III   │   IlIa, IIIб, IV, IVa, V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I, II, III                │       6       │             8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IIIa, IIIб, IV, IVа, V    │       8       │            10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└──────────────────────────┴───────────────┴────────────────────────────┘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наличии в группе киосков и павильонов различных степеней огнестойкости расстояние от группы до соседних зданий принимается по сооружению, имеющему наиболее низкую степень огнестойкости.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2.4. Расстояния от отдельно стоящих </w:t>
      </w:r>
      <w:hyperlink w:anchor="sub_111">
        <w:r>
          <w:rPr>
            <w:rStyle w:val="Style16"/>
            <w:rFonts w:cs="Arial" w:ascii="Arial" w:hAnsi="Arial"/>
            <w:sz w:val="20"/>
            <w:szCs w:val="20"/>
            <w:u w:val="single"/>
          </w:rPr>
          <w:t>киосков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222">
        <w:r>
          <w:rPr>
            <w:rStyle w:val="Style16"/>
            <w:rFonts w:cs="Arial" w:ascii="Arial" w:hAnsi="Arial"/>
            <w:sz w:val="20"/>
            <w:szCs w:val="20"/>
            <w:u w:val="single"/>
          </w:rPr>
          <w:t>павильонов</w:t>
        </w:r>
      </w:hyperlink>
      <w:r>
        <w:rPr>
          <w:rFonts w:cs="Arial" w:ascii="Arial" w:hAnsi="Arial"/>
          <w:sz w:val="20"/>
          <w:szCs w:val="20"/>
        </w:rPr>
        <w:t xml:space="preserve">) и групп сооружений, указанных в </w:t>
      </w:r>
      <w:hyperlink w:anchor="sub_22">
        <w:r>
          <w:rPr>
            <w:rStyle w:val="Style16"/>
            <w:rFonts w:cs="Arial" w:ascii="Arial" w:hAnsi="Arial"/>
            <w:sz w:val="20"/>
            <w:szCs w:val="20"/>
            <w:u w:val="single"/>
          </w:rPr>
          <w:t>п.2.2</w:t>
        </w:r>
      </w:hyperlink>
      <w:r>
        <w:rPr>
          <w:rFonts w:cs="Arial" w:ascii="Arial" w:hAnsi="Arial"/>
          <w:sz w:val="20"/>
          <w:szCs w:val="20"/>
        </w:rPr>
        <w:t>, до жилых, общественных, вспомогательных зданий промышленных предприятий и до производственных зданий, а также между торговыми павильонами площадью более 20 м2 принимаются в соответствии с нормами по планировке и застройке городских и сельских поселений.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Места сбора сгораемых отходов следует размещать на расстоянии не менее 15 м от киосков и павильонов.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Помещения для хранения упаковочных материалов и инвентаря следует предусматривать площадью не более 5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" w:name="sub_1000"/>
      <w:bookmarkEnd w:id="8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" w:name="sub_1000"/>
      <w:bookmarkEnd w:id="9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" w:name="sub_111"/>
      <w:bookmarkEnd w:id="10"/>
      <w:r>
        <w:rPr>
          <w:rFonts w:cs="Arial" w:ascii="Arial" w:hAnsi="Arial"/>
          <w:b/>
          <w:bCs/>
          <w:sz w:val="20"/>
          <w:szCs w:val="20"/>
        </w:rPr>
        <w:t>Киоск</w:t>
      </w:r>
      <w:r>
        <w:rPr>
          <w:rFonts w:cs="Arial" w:ascii="Arial" w:hAnsi="Arial"/>
          <w:sz w:val="20"/>
          <w:szCs w:val="20"/>
        </w:rPr>
        <w:t xml:space="preserve"> - одноэтажное сооружение общей площадью до 20 м2, предназначенное для оптовой или розничной торговли, осуществляемой без доступа покупателей внутрь сооружения.</w:t>
      </w:r>
    </w:p>
    <w:p>
      <w:pPr>
        <w:pStyle w:val="Normal"/>
        <w:autoSpaceDE w:val="false"/>
        <w:ind w:firstLine="720"/>
        <w:jc w:val="both"/>
        <w:rPr/>
      </w:pPr>
      <w:bookmarkStart w:id="11" w:name="sub_111"/>
      <w:bookmarkStart w:id="12" w:name="sub_222"/>
      <w:bookmarkEnd w:id="11"/>
      <w:bookmarkEnd w:id="12"/>
      <w:r>
        <w:rPr>
          <w:rFonts w:cs="Arial" w:ascii="Arial" w:hAnsi="Arial"/>
          <w:b/>
          <w:bCs/>
          <w:sz w:val="20"/>
          <w:szCs w:val="20"/>
        </w:rPr>
        <w:t>Павильон</w:t>
      </w:r>
      <w:r>
        <w:rPr>
          <w:rFonts w:cs="Arial" w:ascii="Arial" w:hAnsi="Arial"/>
          <w:sz w:val="20"/>
          <w:szCs w:val="20"/>
        </w:rPr>
        <w:t xml:space="preserve"> - сооружение, предназначенное для оптовой или розничной торговли, с обслуживанием покупателей внутри помещения.</w:t>
      </w:r>
    </w:p>
    <w:p>
      <w:pPr>
        <w:pStyle w:val="Normal"/>
        <w:rPr>
          <w:rFonts w:ascii="Arial" w:hAnsi="Arial" w:cs="Arial"/>
          <w:sz w:val="20"/>
          <w:szCs w:val="20"/>
        </w:rPr>
      </w:pPr>
      <w:bookmarkStart w:id="13" w:name="sub_222"/>
      <w:bookmarkStart w:id="14" w:name="sub_222"/>
      <w:bookmarkEnd w:id="14"/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Оглавление"/>
    <w:basedOn w:val="Style22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2007-01-29T14:14:00Z</dcterms:created>
  <dc:creator>Виктор</dc:creator>
  <dc:description/>
  <dc:language>ru-RU</dc:language>
  <cp:lastModifiedBy>Виктор</cp:lastModifiedBy>
  <dcterms:modified xsi:type="dcterms:W3CDTF">2007-01-29T14:14:00Z</dcterms:modified>
  <cp:revision>2</cp:revision>
  <dc:subject/>
  <dc:title/>
</cp:coreProperties>
</file>