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Указание Госгортехнадзора РФ от 30 сентября 2002 г. N У-68</w:t>
        <w:br/>
        <w:t>"О подготовке к внедрению АИС ПБ на объектах пилотного проекта"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целью подготовки к внедрению АИС ПБ на объектах пилотного проекта, предлагаю: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Начальникам Управления Приокского округа (П.М.Батуков) и Центрального промышленного округа (И.Л.Можаев):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11"/>
      <w:bookmarkEnd w:id="1"/>
      <w:bookmarkEnd w:id="2"/>
      <w:r>
        <w:rPr>
          <w:rFonts w:cs="Arial" w:ascii="Arial" w:hAnsi="Arial"/>
          <w:sz w:val="20"/>
          <w:szCs w:val="20"/>
        </w:rPr>
        <w:t>1.1. До 20.10.2002 г. выполнить работы, перечисленные в "Рекомендациях по подготовке территориальных органов Госгортехнадзора России к внедрению АИС ПБ"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прилагается</w:t>
        </w:r>
      </w:hyperlink>
      <w:r>
        <w:rPr>
          <w:rFonts w:cs="Arial" w:ascii="Arial" w:hAnsi="Arial"/>
          <w:sz w:val="20"/>
          <w:szCs w:val="20"/>
        </w:rPr>
        <w:t>) и представить информацию о выполненных работах в Отдел информатизации;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Start w:id="4" w:name="sub_12"/>
      <w:bookmarkEnd w:id="3"/>
      <w:bookmarkEnd w:id="4"/>
      <w:r>
        <w:rPr>
          <w:rFonts w:cs="Arial" w:ascii="Arial" w:hAnsi="Arial"/>
          <w:sz w:val="20"/>
          <w:szCs w:val="20"/>
        </w:rPr>
        <w:t>1.2. Обеспечить эффективную защиту от несанкционированного доступа посторонних лиц в помещения, где будет размещаться серверное оборудование локальных вычислительных сетей, а также принять меры, обеспечивающие сохранность компьютерного оборудования и электронных носителей информации.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Start w:id="6" w:name="sub_2"/>
      <w:bookmarkEnd w:id="5"/>
      <w:bookmarkEnd w:id="6"/>
      <w:r>
        <w:rPr>
          <w:rFonts w:cs="Arial" w:ascii="Arial" w:hAnsi="Arial"/>
          <w:sz w:val="20"/>
          <w:szCs w:val="20"/>
        </w:rPr>
        <w:t>2. Начальнику Отдела информатизации (Д.И.Божко), ГУП "НТЦ "Промышленная безопасность" (В.И.Сидоров) и АНО "ИАЦ "Промышленная безопасность" (А.А.Михайлов) (по согласованию) обеспечить консультирование специалистов указанных территориальных органов по возникающим вопросам.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2"/>
      <w:bookmarkStart w:id="8" w:name="sub_2"/>
      <w:bookmarkEnd w:id="8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2"/>
        <w:gridCol w:w="5130"/>
      </w:tblGrid>
      <w:tr>
        <w:trPr/>
        <w:tc>
          <w:tcPr>
            <w:tcW w:w="5292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5130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92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30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Б.А.Красных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" w:name="sub_1000"/>
      <w:bookmarkEnd w:id="9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1000"/>
      <w:bookmarkEnd w:id="10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указанию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30 сентября 2002 г. N У-68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Рекомендации по подготовке территориальных органов Госгортехнадзора России к внедрению АИС ПБ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Пример   оформления   исходных   данных   территориальными    органами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Госгортехнадзора России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1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Таблица 1. Объекты автоматизации Управление N-ского округа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1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Таблица 2. Общие сведения об объектах автоматизации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1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Таблица 3. Характеристики ЛВС и требования к  ней  (общие  для  всех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объектов автоматизации)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1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Таблица 4. Существующее оборудование и кабельные сети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15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Таблица 5. Сведения  о  провайдерах  услуг  Интернет,   с   которыми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заключены договора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16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Таблица 6. Сводная таблица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подготовки территориальных органов Госгортехнадзора России к поставке аппаратных и программных средств (АС и СПО) следует выполнить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подготовить помещения и рабочие места к установке АС, включая установку розеток электропитания и заземления в соответствии с техническим заданием на АИС ПБ (ТЗ);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 счет собственных средств заключить договоры с местными провайдерами на услуги Интернет для территориального управления и удаленных отделов, в соответствии с техническими требованиями ТЗ;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всех объектов АИС ПБ осуществить передачу тестового электронного письма в адрес АНО "ИАЦ "Промышленная безопасность" (e-mail: iac@gosnadzor.ru);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назначить сотрудников, ответственных за обеспечение внедрения АИС ПБ в Управлениях и удаленных отделах;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подготовить исходные данные для проектирования локальной вычислительной сети в помещениях управлений территориальных органов и удаленных отделах. Подготовленные исходные данные оформить в соответствии с прилагаемым ниже примером (стр.3 - 7);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исходные данные на бумажных и электронных носителях направить в Отдел информатизации до 20.10.02.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100"/>
      <w:bookmarkEnd w:id="11"/>
      <w:r>
        <w:rPr>
          <w:rFonts w:cs="Arial" w:ascii="Arial" w:hAnsi="Arial"/>
          <w:b/>
          <w:bCs/>
          <w:sz w:val="20"/>
          <w:szCs w:val="20"/>
        </w:rPr>
        <w:t>Пример оформления исходных данных территориальными органами 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100"/>
      <w:bookmarkStart w:id="13" w:name="sub_11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" w:name="sub_1110"/>
      <w:bookmarkEnd w:id="14"/>
      <w:r>
        <w:rPr>
          <w:rFonts w:cs="Arial" w:ascii="Arial" w:hAnsi="Arial"/>
          <w:b/>
          <w:bCs/>
          <w:sz w:val="20"/>
          <w:szCs w:val="20"/>
        </w:rPr>
        <w:t>Таблица 1. Объекты автоматизации Управление N-ского округа</w:t>
      </w:r>
      <w:hyperlink w:anchor="sub_1111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" w:name="sub_1110"/>
      <w:bookmarkStart w:id="16" w:name="sub_1110"/>
      <w:bookmarkEnd w:id="1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 автоматизации  │Уровень иерархии в  │Ответственные за внедрение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АИС ПБ              │и эксплуатацию АИС ПБ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N-ского    │Территориальный     │Иванов Иван Иванович,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округа,               │                    │главный инженер,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394038, г.Энск        │                    │тел.22-33-44,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ул.Конструкторов, д.82│                    │факс (0732) 33-22-55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М-ский областной отдел│Местный             │Степанов Степан Степанович,│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N-ского    │                    │заместитель начальника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округа,               │                    │Управления,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г.Эмск, пл.К.Маркса,  │                    │тел.(0733) 20-30-40,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4а                    │                    │факс 23-33-44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111"/>
      <w:bookmarkEnd w:id="17"/>
      <w:r>
        <w:rPr>
          <w:rFonts w:cs="Arial" w:ascii="Arial" w:hAnsi="Arial"/>
          <w:sz w:val="20"/>
          <w:szCs w:val="20"/>
        </w:rPr>
        <w:t>* В примере приведены условные данные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111"/>
      <w:bookmarkStart w:id="19" w:name="sub_1111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" w:name="sub_1120"/>
      <w:bookmarkEnd w:id="20"/>
      <w:r>
        <w:rPr>
          <w:rFonts w:cs="Arial" w:ascii="Arial" w:hAnsi="Arial"/>
          <w:b/>
          <w:bCs/>
          <w:sz w:val="20"/>
          <w:szCs w:val="20"/>
        </w:rPr>
        <w:t>Таблица 2. Общие сведения об объектах автоматизации Управление N-ского округа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1" w:name="sub_1120"/>
      <w:bookmarkStart w:id="22" w:name="sub_1120"/>
      <w:bookmarkEnd w:id="2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зданий, в      │2 этаж шестиэтажного здания План этажа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которых располагаются     │приведен на </w:t>
      </w:r>
      <w:hyperlink w:anchor="sub_116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рис.1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Высота потолков указана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 места и их        │на плане.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ЛВС объекта на  │В здании имеется ЛВС на сети ОС Novell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момент проектирования     │Netware 4.11 с архитектурой клиент-сервер,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точками подключения (розетками) на всех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этажах - всего 12 точек. Паспорт ЛВС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прилагается. Имеется парк разнородной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вычислительной техники от 286 до Р2-400,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около половины используемых ПК не подключены│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существующей ЛВС. Контур заземления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в соответствии с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ТЗ имеется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Возможные места установки │Место установки коммуникационного центра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коммуникационных центров  │(КЦ) - он же серверная - отмечено на </w:t>
      </w:r>
      <w:hyperlink w:anchor="sub_116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рис.1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знаком "КЦ".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Взаимное расположение     │Рабочие места распределены по этажу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площадей и        │равномерно. Примерное расположение рабочих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расстояния между ними     │мест показано на </w:t>
      </w:r>
      <w:hyperlink w:anchor="sub_116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рис.1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План этажа здания с       │Приведен на </w:t>
      </w:r>
      <w:hyperlink w:anchor="sub_116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рис.1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размерами или в масштабе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Планы размещения рабочих  │Планируется создание ЛВС на 25 рабочих мест.│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станций, исходя из        │Должны быть предусмотрены резервные розетки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максимально возможно      │с учетом возможного увеличения количества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плотного размещения       │рабочих мест.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мест, с указанием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рабочего места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2. Л-ский областной отдел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Заполняется по форме П.1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3. Т-вский областной отдел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Заполняется по форме П.1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" w:name="sub_1130"/>
      <w:bookmarkEnd w:id="23"/>
      <w:r>
        <w:rPr>
          <w:rFonts w:cs="Arial" w:ascii="Arial" w:hAnsi="Arial"/>
          <w:b/>
          <w:bCs/>
          <w:sz w:val="20"/>
          <w:szCs w:val="20"/>
        </w:rPr>
        <w:t>Таблица 3. Характеристики ЛВС и требования к ней (общие для всех объектов автоматизации)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4" w:name="sub_1130"/>
      <w:bookmarkStart w:id="25" w:name="sub_1130"/>
      <w:bookmarkEnd w:id="2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ЛВС    │                 Требования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серверов, их   │В соответствии со спецификацией к ТЗ на АИС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сетевые интерфейсы,       │ПБ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применяемые операционные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(ОС)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Существующие и            │Используются протоколы: IPX/SPX, NetBeui,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предполагаемые к          │TCP/IP. Предполагается к использованию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использованию протоколы   │протокол TCP/IP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ЛВС        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Разграничение доступа и   │Обеспечение возможности разделения АРМ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защита информации         │пользователей на домены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Категорирование пассивной │в соответствии с ТЗ на АИС ПБ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ЛВС  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по пропускной  │10 Мбит/с для рабочих станций и 100 Мбит/с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способности сети для групп│для подключения серверов.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мест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к сетевым      │Предполагается установка сетевых локальных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устройствам ввода-вывода  │принтеров в соответствии со спецификацией,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предусмотренной ТЗ, </w:t>
      </w:r>
      <w:hyperlink w:anchor="sub_116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рис.1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" w:name="sub_1140"/>
      <w:bookmarkEnd w:id="26"/>
      <w:r>
        <w:rPr>
          <w:rFonts w:cs="Arial" w:ascii="Arial" w:hAnsi="Arial"/>
          <w:b/>
          <w:bCs/>
          <w:sz w:val="20"/>
          <w:szCs w:val="20"/>
        </w:rPr>
        <w:t>Таблица 4. Существующее оборудование и кабельные сети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" w:name="sub_1140"/>
      <w:bookmarkStart w:id="28" w:name="sub_1140"/>
      <w:bookmarkEnd w:id="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Существующие и предполагаемые к        │Возможны модернизация 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прокладке по заключенным договорам в   │использование существующей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исполнения проекта участки      │кабельной системы для целей АИС│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кабельной сети ЛВС, предполагаемые к   │ПБ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сохранению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Существующие и предполагаемые к        │Возможны модернизация 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прокладке по заключенным договорам в   │использование существующего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исполнения проекта сетевое и    │сетевого и коммуникационного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коммуникационное оборудование,         │оборудования для целей АИС ПБ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предполагаемые к сохранению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9" w:name="sub_1150"/>
      <w:bookmarkEnd w:id="29"/>
      <w:r>
        <w:rPr>
          <w:rFonts w:cs="Arial" w:ascii="Arial" w:hAnsi="Arial"/>
          <w:b/>
          <w:bCs/>
          <w:sz w:val="20"/>
          <w:szCs w:val="20"/>
        </w:rPr>
        <w:t>Таблица 5. Сведения о провайдерах услуг Интернет, с которыми заключены договора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0" w:name="sub_1150"/>
      <w:bookmarkStart w:id="31" w:name="sub_1150"/>
      <w:bookmarkEnd w:id="3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Подразделение, │Название фирмы-оператора    │Телефон     │Примечание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местонахождение│            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│ЗАО ПК                      │(0732)      │договор N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N-ского округа │"Информсвязь-Черноземье"    │53-35-53    │от 2.9.98 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394000, г.Воронеж,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пр.Революции, 35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М-ский         │Липецкий филиал ОАО         │(0742)      │договор N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областной отдел│"Липецкэлектросвязь",       │72-66-56    │от 20.8.99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│398000, г.Липецк,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N-ского округа │ул.Терешковой, 32/3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2" w:name="sub_1160"/>
      <w:bookmarkEnd w:id="32"/>
      <w:r>
        <w:rPr>
          <w:rFonts w:cs="Arial" w:ascii="Arial" w:hAnsi="Arial"/>
          <w:b/>
          <w:bCs/>
          <w:sz w:val="20"/>
          <w:szCs w:val="20"/>
        </w:rPr>
        <w:t>Таблица 6 Сводная таблица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3" w:name="sub_1160"/>
      <w:bookmarkStart w:id="34" w:name="sub_1160"/>
      <w:bookmarkEnd w:id="3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Подразделение,            │Имеющиеся     │Дополнитель- │Дополнительные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местонахождение           │компьютеры (не│ные          │принтеры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          │компьютеры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PENTIUM-II)   │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N-ского округа │      13      │      7      │ 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М-ский областной отдел    │      5       │      2 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N-ского округа │              │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Начальник управления N-ского округа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5" w:name="sub_1161"/>
      <w:bookmarkEnd w:id="35"/>
      <w:r>
        <w:rPr>
          <w:rFonts w:cs="Arial" w:ascii="Arial" w:hAnsi="Arial"/>
          <w:b/>
          <w:bCs/>
          <w:sz w:val="20"/>
          <w:szCs w:val="20"/>
        </w:rPr>
        <w:t>Рис. 1. План этажа управления N-ского округа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6" w:name="sub_1161"/>
      <w:bookmarkEnd w:id="36"/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4917440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"План этажа управления N-ского округа*"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2007-01-31T18:50:00Z</dcterms:created>
  <dc:creator>Виктор</dc:creator>
  <dc:description/>
  <dc:language>ru-RU</dc:language>
  <cp:lastModifiedBy>Виктор</cp:lastModifiedBy>
  <dcterms:modified xsi:type="dcterms:W3CDTF">2007-01-31T18:50:00Z</dcterms:modified>
  <cp:revision>2</cp:revision>
  <dc:subject/>
  <dc:title/>
</cp:coreProperties>
</file>