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РФ ГОСТ Р 52133-2003</w:t>
        <w:br/>
        <w:t>"Камины для жилых и общественных зданий. Общие технические условия"</w:t>
        <w:br/>
        <w:t>(принят постановлением Госстроя РФ от 2 июня 2003 г. N 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Fireplaces for residential and public buildings.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Классификация,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металлические детали каминов, изготовленные в заводских условиях и устанавливаемые в жилых и общественных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топлива в каминах используют древесное топливо (дрова), древесные отходы и торф в свободном или уплотненном состоянии. Не допускается применять в качестве топлива каменный уголь.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климатического исполнения - УХЛ 4 категории 4.2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2.601-95 ЕСКД. Эксплуатационные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8.207-76 ГСИ. Прямые измерения с многократными наблюдениями. Методы обработки результатов наблюдений.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 Надежность в технике. Методы контроля показателей надежности и планы контрольных испытаний на надежность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 Лента холоднокатаная из низкоуглеродистой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1412-85 Чугун с пластинчатым графитом для отливок.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5632-72 Стали высоколегированные и сплавы коррозионно-стойкие, жаростойкие и жаропрочные.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6009-74 Лента стальная горячекатаная.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8828-89 Бумага-основа и бумага двухслойная водонепроницаемая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9817- 95 Аппараты бытовые, работающие на твердом топливе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12082-82 Обрешетки дощатые для грузов массой до 500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Упаковка.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26358-84 Отливки из чугуна.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26663-85 Пакеты транспортные. Формирование с применением средств пакетирования.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2.04.05-91* Отопление, вентиляция и кондиционирование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sz w:val="20"/>
          <w:szCs w:val="20"/>
        </w:rPr>
        <w:t>Зольник</w:t>
      </w:r>
      <w:r>
        <w:rPr>
          <w:rFonts w:cs="Arial" w:ascii="Arial" w:hAnsi="Arial"/>
          <w:sz w:val="20"/>
          <w:szCs w:val="20"/>
        </w:rPr>
        <w:t xml:space="preserve"> - часть топки, расположенная под колосниковой решеткой, предназначен для сбора золы. Через зольник может также осуществляться подвод воздуха в топку.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Камин</w:t>
      </w:r>
      <w:r>
        <w:rPr>
          <w:rFonts w:cs="Arial" w:ascii="Arial" w:hAnsi="Arial"/>
          <w:sz w:val="20"/>
          <w:szCs w:val="20"/>
        </w:rPr>
        <w:t xml:space="preserve"> - очаг с топкой в виде ниши и прямым дымоходом.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Колосниковая решетка</w:t>
      </w:r>
      <w:r>
        <w:rPr>
          <w:rFonts w:cs="Arial" w:ascii="Arial" w:hAnsi="Arial"/>
          <w:sz w:val="20"/>
          <w:szCs w:val="20"/>
        </w:rPr>
        <w:t xml:space="preserve"> - элемент топки, предназначенный для поддержания слоя твердого горящего топлива, пропуска золы и подвода воздуха в зону горения.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Отверстие топочное</w:t>
      </w:r>
      <w:r>
        <w:rPr>
          <w:rFonts w:cs="Arial" w:ascii="Arial" w:hAnsi="Arial"/>
          <w:sz w:val="20"/>
          <w:szCs w:val="20"/>
        </w:rPr>
        <w:t xml:space="preserve"> - отверстие на лицевой стороне камина, предназначенное для загрузки топлива, а также управления процессом горения.</w:t>
      </w:r>
    </w:p>
    <w:p>
      <w:pPr>
        <w:pStyle w:val="Normal"/>
        <w:autoSpaceDE w:val="false"/>
        <w:ind w:firstLine="720"/>
        <w:jc w:val="both"/>
        <w:rPr/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Топка</w:t>
      </w:r>
      <w:r>
        <w:rPr>
          <w:rFonts w:cs="Arial" w:ascii="Arial" w:hAnsi="Arial"/>
          <w:sz w:val="20"/>
          <w:szCs w:val="20"/>
        </w:rPr>
        <w:t xml:space="preserve"> - часть камина, предназначенная для сжигания топлива, частичного охлаждения продуктов сгорания и выделения золы.</w:t>
      </w:r>
    </w:p>
    <w:p>
      <w:pPr>
        <w:pStyle w:val="Normal"/>
        <w:autoSpaceDE w:val="false"/>
        <w:ind w:firstLine="720"/>
        <w:jc w:val="both"/>
        <w:rPr/>
      </w:pPr>
      <w:bookmarkStart w:id="18" w:name="sub_305"/>
      <w:bookmarkStart w:id="19" w:name="sub_306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Шибер</w:t>
      </w:r>
      <w:r>
        <w:rPr>
          <w:rFonts w:cs="Arial" w:ascii="Arial" w:hAnsi="Arial"/>
          <w:sz w:val="20"/>
          <w:szCs w:val="20"/>
        </w:rPr>
        <w:t xml:space="preserve"> - устройство в воздуховоде или дымоходе, предназначенное для количественного регулирования потока воздуха или дыма.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06"/>
      <w:bookmarkStart w:id="21" w:name="sub_30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sz w:val="20"/>
          <w:szCs w:val="20"/>
        </w:rPr>
        <w:t>4 Классификация,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401"/>
      <w:bookmarkEnd w:id="25"/>
      <w:r>
        <w:rPr>
          <w:rFonts w:cs="Arial" w:ascii="Arial" w:hAnsi="Arial"/>
          <w:sz w:val="20"/>
          <w:szCs w:val="20"/>
        </w:rPr>
        <w:t xml:space="preserve">4.1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Камины</w:t>
        </w:r>
      </w:hyperlink>
      <w:r>
        <w:rPr>
          <w:rFonts w:cs="Arial" w:ascii="Arial" w:hAnsi="Arial"/>
          <w:sz w:val="20"/>
          <w:szCs w:val="20"/>
        </w:rPr>
        <w:t xml:space="preserve"> классифицируют: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1"/>
      <w:bookmarkStart w:id="27" w:name="sub_4011"/>
      <w:bookmarkEnd w:id="26"/>
      <w:bookmarkEnd w:id="27"/>
      <w:r>
        <w:rPr>
          <w:rFonts w:cs="Arial" w:ascii="Arial" w:hAnsi="Arial"/>
          <w:sz w:val="20"/>
          <w:szCs w:val="20"/>
        </w:rPr>
        <w:t>4.1.1 По способу передачи тепла:</w:t>
      </w:r>
    </w:p>
    <w:p>
      <w:pPr>
        <w:pStyle w:val="Normal"/>
        <w:autoSpaceDE w:val="false"/>
        <w:ind w:firstLine="720"/>
        <w:jc w:val="both"/>
        <w:rPr/>
      </w:pPr>
      <w:bookmarkStart w:id="28" w:name="sub_4011"/>
      <w:bookmarkStart w:id="29" w:name="sub_40111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класс 1</w:t>
      </w:r>
      <w:r>
        <w:rPr>
          <w:rFonts w:cs="Arial" w:ascii="Arial" w:hAnsi="Arial"/>
          <w:sz w:val="20"/>
          <w:szCs w:val="20"/>
        </w:rPr>
        <w:t xml:space="preserve"> - с тепловой мощностью, затрачиваемой на передачу тепла излучением;</w:t>
      </w:r>
    </w:p>
    <w:p>
      <w:pPr>
        <w:pStyle w:val="Normal"/>
        <w:autoSpaceDE w:val="false"/>
        <w:ind w:firstLine="720"/>
        <w:jc w:val="both"/>
        <w:rPr/>
      </w:pPr>
      <w:bookmarkStart w:id="30" w:name="sub_40111"/>
      <w:bookmarkStart w:id="31" w:name="sub_40112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класс 2</w:t>
      </w:r>
      <w:r>
        <w:rPr>
          <w:rFonts w:cs="Arial" w:ascii="Arial" w:hAnsi="Arial"/>
          <w:sz w:val="20"/>
          <w:szCs w:val="20"/>
        </w:rPr>
        <w:t xml:space="preserve"> - с тепловой мощностью, затрачиваемой на передачу тепла излучением и конвекцией;</w:t>
      </w:r>
    </w:p>
    <w:p>
      <w:pPr>
        <w:pStyle w:val="Normal"/>
        <w:autoSpaceDE w:val="false"/>
        <w:ind w:firstLine="720"/>
        <w:jc w:val="both"/>
        <w:rPr/>
      </w:pPr>
      <w:bookmarkStart w:id="32" w:name="sub_40112"/>
      <w:bookmarkStart w:id="33" w:name="sub_40113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класс 3</w:t>
      </w:r>
      <w:r>
        <w:rPr>
          <w:rFonts w:cs="Arial" w:ascii="Arial" w:hAnsi="Arial"/>
          <w:sz w:val="20"/>
          <w:szCs w:val="20"/>
        </w:rPr>
        <w:t xml:space="preserve"> - с дополнительной функцией нагрева водяного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0113"/>
      <w:bookmarkStart w:id="35" w:name="sub_4012"/>
      <w:bookmarkEnd w:id="34"/>
      <w:bookmarkEnd w:id="35"/>
      <w:r>
        <w:rPr>
          <w:rFonts w:cs="Arial" w:ascii="Arial" w:hAnsi="Arial"/>
          <w:sz w:val="20"/>
          <w:szCs w:val="20"/>
        </w:rPr>
        <w:t>4.1.2 По типу конструкции камина:</w:t>
      </w:r>
    </w:p>
    <w:p>
      <w:pPr>
        <w:pStyle w:val="Normal"/>
        <w:autoSpaceDE w:val="false"/>
        <w:ind w:firstLine="720"/>
        <w:jc w:val="both"/>
        <w:rPr/>
      </w:pPr>
      <w:bookmarkStart w:id="36" w:name="sub_4012"/>
      <w:bookmarkEnd w:id="36"/>
      <w:r>
        <w:rPr>
          <w:rFonts w:cs="Arial" w:ascii="Arial" w:hAnsi="Arial"/>
          <w:sz w:val="20"/>
          <w:szCs w:val="20"/>
        </w:rPr>
        <w:t xml:space="preserve">встраиваемые в кирпичную (каменную) кладку, неполной заводской готовности - </w:t>
      </w:r>
      <w:r>
        <w:rPr>
          <w:rFonts w:cs="Arial" w:ascii="Arial" w:hAnsi="Arial"/>
          <w:b/>
          <w:bCs/>
          <w:sz w:val="20"/>
          <w:szCs w:val="20"/>
        </w:rPr>
        <w:t>Н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отдельно стоящие, полной заводской готовности - </w:t>
      </w:r>
      <w:r>
        <w:rPr>
          <w:rFonts w:cs="Arial" w:ascii="Arial" w:hAnsi="Arial"/>
          <w:b/>
          <w:bCs/>
          <w:sz w:val="20"/>
          <w:szCs w:val="20"/>
        </w:rPr>
        <w:t>П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7" w:name="sub_4013"/>
      <w:bookmarkEnd w:id="37"/>
      <w:r>
        <w:rPr>
          <w:rFonts w:cs="Arial" w:ascii="Arial" w:hAnsi="Arial"/>
          <w:sz w:val="20"/>
          <w:szCs w:val="20"/>
        </w:rPr>
        <w:t xml:space="preserve">4.1.3 По объему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топки</w:t>
        </w:r>
      </w:hyperlink>
      <w:r>
        <w:rPr>
          <w:rFonts w:cs="Arial" w:ascii="Arial" w:hAnsi="Arial"/>
          <w:sz w:val="20"/>
          <w:szCs w:val="20"/>
        </w:rPr>
        <w:t>, 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013"/>
      <w:bookmarkEnd w:id="38"/>
      <w:r>
        <w:rPr>
          <w:rFonts w:cs="Arial" w:ascii="Arial" w:hAnsi="Arial"/>
          <w:sz w:val="20"/>
          <w:szCs w:val="20"/>
        </w:rPr>
        <w:t>объем топки до 0,01 м3 - 1, до 0,02 м3 - 2,..., до 0,1 м3 - 10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02"/>
      <w:bookmarkEnd w:id="39"/>
      <w:r>
        <w:rPr>
          <w:rFonts w:cs="Arial" w:ascii="Arial" w:hAnsi="Arial"/>
          <w:sz w:val="20"/>
          <w:szCs w:val="20"/>
        </w:rPr>
        <w:t>4.2 Размеры топочного отверстия камина (ширина и глубина) должны быть не менее 300 х 300 мм. Высота топочного отверстия камина должна составлять 0,65 - 0,85 его ширины. Площадь живого сечения дымоотводящего патрубка - в пределах 0,07 - 0,12 площади топочного отверстия.</w:t>
      </w:r>
    </w:p>
    <w:p>
      <w:pPr>
        <w:pStyle w:val="Normal"/>
        <w:autoSpaceDE w:val="false"/>
        <w:ind w:firstLine="720"/>
        <w:jc w:val="both"/>
        <w:rPr/>
      </w:pPr>
      <w:bookmarkStart w:id="40" w:name="sub_402"/>
      <w:bookmarkStart w:id="41" w:name="sub_403"/>
      <w:bookmarkEnd w:id="40"/>
      <w:bookmarkEnd w:id="41"/>
      <w:r>
        <w:rPr>
          <w:rFonts w:cs="Arial" w:ascii="Arial" w:hAnsi="Arial"/>
          <w:sz w:val="20"/>
          <w:szCs w:val="20"/>
        </w:rPr>
        <w:t xml:space="preserve">4.3 Условное обозначение камина состоит из буквенного обозначения способа передачи тепла камином (по </w:t>
      </w:r>
      <w:hyperlink w:anchor="sub_40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</w:t>
        </w:r>
      </w:hyperlink>
      <w:r>
        <w:rPr>
          <w:rFonts w:cs="Arial" w:ascii="Arial" w:hAnsi="Arial"/>
          <w:sz w:val="20"/>
          <w:szCs w:val="20"/>
        </w:rPr>
        <w:t xml:space="preserve">), типа конструкции камина (по </w:t>
      </w:r>
      <w:hyperlink w:anchor="sub_4012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4.1.2</w:t>
        </w:r>
      </w:hyperlink>
      <w:r>
        <w:rPr>
          <w:rFonts w:cs="Arial" w:ascii="Arial" w:hAnsi="Arial"/>
          <w:sz w:val="20"/>
          <w:szCs w:val="20"/>
        </w:rPr>
        <w:t xml:space="preserve">), объема топки (по </w:t>
      </w:r>
      <w:hyperlink w:anchor="sub_4013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4.1.3</w:t>
        </w:r>
      </w:hyperlink>
      <w:r>
        <w:rPr>
          <w:rFonts w:cs="Arial" w:ascii="Arial" w:hAnsi="Arial"/>
          <w:sz w:val="20"/>
          <w:szCs w:val="20"/>
        </w:rPr>
        <w:t>) и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42" w:name="sub_403"/>
      <w:bookmarkStart w:id="43" w:name="sub_404"/>
      <w:bookmarkEnd w:id="42"/>
      <w:bookmarkEnd w:id="43"/>
      <w:r>
        <w:rPr>
          <w:rFonts w:cs="Arial" w:ascii="Arial" w:hAnsi="Arial"/>
          <w:sz w:val="20"/>
          <w:szCs w:val="20"/>
        </w:rPr>
        <w:t>4.4 Пример условного обозначения камина (</w:t>
      </w:r>
      <w:r>
        <w:rPr>
          <w:rFonts w:cs="Arial" w:ascii="Arial" w:hAnsi="Arial"/>
          <w:b/>
          <w:bCs/>
          <w:sz w:val="20"/>
          <w:szCs w:val="20"/>
        </w:rPr>
        <w:t>К</w:t>
      </w:r>
      <w:r>
        <w:rPr>
          <w:rFonts w:cs="Arial" w:ascii="Arial" w:hAnsi="Arial"/>
          <w:sz w:val="20"/>
          <w:szCs w:val="20"/>
        </w:rPr>
        <w:t>) с функцией нагрева водяного теплоносителя (</w:t>
      </w:r>
      <w:r>
        <w:rPr>
          <w:rFonts w:cs="Arial" w:ascii="Arial" w:hAnsi="Arial"/>
          <w:b/>
          <w:bCs/>
          <w:sz w:val="20"/>
          <w:szCs w:val="20"/>
        </w:rPr>
        <w:t>3</w:t>
      </w:r>
      <w:r>
        <w:rPr>
          <w:rFonts w:cs="Arial" w:ascii="Arial" w:hAnsi="Arial"/>
          <w:sz w:val="20"/>
          <w:szCs w:val="20"/>
        </w:rPr>
        <w:t>), отдельно стоящего (</w:t>
      </w:r>
      <w:r>
        <w:rPr>
          <w:rFonts w:cs="Arial" w:ascii="Arial" w:hAnsi="Arial"/>
          <w:b/>
          <w:bCs/>
          <w:sz w:val="20"/>
          <w:szCs w:val="20"/>
        </w:rPr>
        <w:t>П</w:t>
      </w:r>
      <w:r>
        <w:rPr>
          <w:rFonts w:cs="Arial" w:ascii="Arial" w:hAnsi="Arial"/>
          <w:sz w:val="20"/>
          <w:szCs w:val="20"/>
        </w:rPr>
        <w:t>), с объемом топки до 0,05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404"/>
      <w:bookmarkStart w:id="45" w:name="sub_404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К3 - П - 5 - ГОСТ Р 52133-2003.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500"/>
      <w:bookmarkEnd w:id="46"/>
      <w:r>
        <w:rPr>
          <w:rFonts w:cs="Arial" w:ascii="Arial" w:hAnsi="Arial"/>
          <w:b/>
          <w:bCs/>
          <w:sz w:val="20"/>
          <w:szCs w:val="20"/>
        </w:rPr>
        <w:t>5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500"/>
      <w:bookmarkStart w:id="48" w:name="sub_500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 Показатели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 Требования к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501"/>
      <w:bookmarkEnd w:id="49"/>
      <w:r>
        <w:rPr>
          <w:rFonts w:cs="Arial" w:ascii="Arial" w:hAnsi="Arial"/>
          <w:b/>
          <w:bCs/>
          <w:sz w:val="20"/>
          <w:szCs w:val="20"/>
        </w:rPr>
        <w:t>5.1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501"/>
      <w:bookmarkStart w:id="51" w:name="sub_501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2" w:name="sub_5011"/>
      <w:bookmarkEnd w:id="52"/>
      <w:r>
        <w:rPr>
          <w:rFonts w:cs="Arial" w:ascii="Arial" w:hAnsi="Arial"/>
          <w:sz w:val="20"/>
          <w:szCs w:val="20"/>
        </w:rPr>
        <w:t xml:space="preserve">5.1.1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Камины</w:t>
        </w:r>
      </w:hyperlink>
      <w:r>
        <w:rPr>
          <w:rFonts w:cs="Arial" w:ascii="Arial" w:hAnsi="Arial"/>
          <w:sz w:val="20"/>
          <w:szCs w:val="20"/>
        </w:rPr>
        <w:t xml:space="preserve"> следует изготавливать в соответствии с требованиями настоящего стандарта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011"/>
      <w:bookmarkStart w:id="54" w:name="sub_5012"/>
      <w:bookmarkEnd w:id="53"/>
      <w:bookmarkEnd w:id="54"/>
      <w:r>
        <w:rPr>
          <w:rFonts w:cs="Arial" w:ascii="Arial" w:hAnsi="Arial"/>
          <w:sz w:val="20"/>
          <w:szCs w:val="20"/>
        </w:rPr>
        <w:t>5.1.2 Температура наружных поверхностей ручек управления камина в точках возможного касания при эксплуатации не должна превышать температуру помещения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012"/>
      <w:bookmarkEnd w:id="55"/>
      <w:r>
        <w:rPr>
          <w:rFonts w:cs="Arial" w:ascii="Arial" w:hAnsi="Arial"/>
          <w:sz w:val="20"/>
          <w:szCs w:val="20"/>
        </w:rPr>
        <w:t>- металлических - 35°С;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керамических - 45°С;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пластмассовых - 50°С.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013"/>
      <w:bookmarkEnd w:id="56"/>
      <w:r>
        <w:rPr>
          <w:rFonts w:cs="Arial" w:ascii="Arial" w:hAnsi="Arial"/>
          <w:sz w:val="20"/>
          <w:szCs w:val="20"/>
        </w:rPr>
        <w:t>5.1.3 Расчетное значение предельной температуры нагрева наружных поверхностей камина не должно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013"/>
      <w:bookmarkEnd w:id="57"/>
      <w:r>
        <w:rPr>
          <w:rFonts w:cs="Arial" w:ascii="Arial" w:hAnsi="Arial"/>
          <w:sz w:val="20"/>
          <w:szCs w:val="20"/>
        </w:rPr>
        <w:t>- вертикальных и наклонных стенок - 75°С;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горизонтальных поверхностей - 45°С;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 под камином - 45°С.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 отдельных участках вертикальных стенок площадью не более 15% их общей площади температура 90°С.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014"/>
      <w:bookmarkEnd w:id="58"/>
      <w:r>
        <w:rPr>
          <w:rFonts w:cs="Arial" w:ascii="Arial" w:hAnsi="Arial"/>
          <w:sz w:val="20"/>
          <w:szCs w:val="20"/>
        </w:rPr>
        <w:t>5.1.4 Условный коэффициент полезного действия (КПД) должен быть не менее указанного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014"/>
      <w:bookmarkStart w:id="60" w:name="sub_5014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"/>
      <w:bookmarkEnd w:id="6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"/>
      <w:bookmarkStart w:id="63" w:name="sub_1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камина по способу передачи теплоты  │     КПД, %, не менее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Для </w:t>
      </w:r>
      <w:hyperlink w:anchor="sub_40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класса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"    </w:t>
      </w:r>
      <w:hyperlink w:anchor="sub_40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"    </w:t>
      </w:r>
      <w:hyperlink w:anchor="sub_40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55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4" w:name="sub_5015"/>
      <w:bookmarkEnd w:id="64"/>
      <w:r>
        <w:rPr>
          <w:rFonts w:cs="Arial" w:ascii="Arial" w:hAnsi="Arial"/>
          <w:sz w:val="20"/>
          <w:szCs w:val="20"/>
        </w:rPr>
        <w:t xml:space="preserve">5.1.5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</w:t>
        </w:r>
      </w:hyperlink>
      <w:r>
        <w:rPr>
          <w:rFonts w:cs="Arial" w:ascii="Arial" w:hAnsi="Arial"/>
          <w:sz w:val="20"/>
          <w:szCs w:val="20"/>
        </w:rPr>
        <w:t xml:space="preserve"> должен обеспечивать сгорание топлива, загруженного в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топку</w:t>
        </w:r>
      </w:hyperlink>
      <w:r>
        <w:rPr>
          <w:rFonts w:cs="Arial" w:ascii="Arial" w:hAnsi="Arial"/>
          <w:sz w:val="20"/>
          <w:szCs w:val="20"/>
        </w:rPr>
        <w:t xml:space="preserve"> от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колосниковой решетки</w:t>
        </w:r>
      </w:hyperlink>
      <w:r>
        <w:rPr>
          <w:rFonts w:cs="Arial" w:ascii="Arial" w:hAnsi="Arial"/>
          <w:sz w:val="20"/>
          <w:szCs w:val="20"/>
        </w:rPr>
        <w:t xml:space="preserve"> до верхнего края, при работе на дровах в течение не менее 6 ч - для каминов с закрытым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топочным отверстием</w:t>
        </w:r>
      </w:hyperlink>
      <w:r>
        <w:rPr>
          <w:rFonts w:cs="Arial" w:ascii="Arial" w:hAnsi="Arial"/>
          <w:sz w:val="20"/>
          <w:szCs w:val="20"/>
        </w:rPr>
        <w:t xml:space="preserve">. При этом среднее значение условного КПД за указанное время не должно быть менее 70% значений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015"/>
      <w:bookmarkStart w:id="66" w:name="sub_5016"/>
      <w:bookmarkEnd w:id="65"/>
      <w:bookmarkEnd w:id="66"/>
      <w:r>
        <w:rPr>
          <w:rFonts w:cs="Arial" w:ascii="Arial" w:hAnsi="Arial"/>
          <w:sz w:val="20"/>
          <w:szCs w:val="20"/>
        </w:rPr>
        <w:t>5.1.6 Встроенный водяной теплообменник (при его наличии) должен быть прочным и герметичным при испытательном давлении 1,5 рабочего, но не менее 0,4 МПа.</w:t>
      </w:r>
    </w:p>
    <w:p>
      <w:pPr>
        <w:pStyle w:val="Normal"/>
        <w:autoSpaceDE w:val="false"/>
        <w:ind w:firstLine="720"/>
        <w:jc w:val="both"/>
        <w:rPr/>
      </w:pPr>
      <w:bookmarkStart w:id="67" w:name="sub_5016"/>
      <w:bookmarkStart w:id="68" w:name="sub_5017"/>
      <w:bookmarkEnd w:id="67"/>
      <w:bookmarkEnd w:id="68"/>
      <w:r>
        <w:rPr>
          <w:rFonts w:cs="Arial" w:ascii="Arial" w:hAnsi="Arial"/>
          <w:sz w:val="20"/>
          <w:szCs w:val="20"/>
        </w:rPr>
        <w:t xml:space="preserve">5.1.7 Конструкция дымоходов каминов </w:t>
      </w:r>
      <w:hyperlink w:anchor="sub_40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классов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должна быть герметичной класса П по СНиП 2.04.05 и исключать дымление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017"/>
      <w:bookmarkStart w:id="70" w:name="sub_5018"/>
      <w:bookmarkEnd w:id="69"/>
      <w:bookmarkEnd w:id="70"/>
      <w:r>
        <w:rPr>
          <w:rFonts w:cs="Arial" w:ascii="Arial" w:hAnsi="Arial"/>
          <w:sz w:val="20"/>
          <w:szCs w:val="20"/>
        </w:rPr>
        <w:t>5.1.8 Суммарная площадь отверстий колосниковой решетки должна составлять не менее чем 25% площади колосниковой решетки. Размеры пазов (отверстий) колосниковой решетки должны быть не более 20 х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018"/>
      <w:bookmarkStart w:id="72" w:name="sub_5019"/>
      <w:bookmarkEnd w:id="71"/>
      <w:bookmarkEnd w:id="72"/>
      <w:r>
        <w:rPr>
          <w:rFonts w:cs="Arial" w:ascii="Arial" w:hAnsi="Arial"/>
          <w:sz w:val="20"/>
          <w:szCs w:val="20"/>
        </w:rPr>
        <w:t>5.1.9 Конструкция камина должна обеспечивать свободный доступ для чистки топки от зольных и сажистых отложений.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019"/>
      <w:bookmarkStart w:id="74" w:name="sub_50110"/>
      <w:bookmarkEnd w:id="73"/>
      <w:bookmarkEnd w:id="74"/>
      <w:r>
        <w:rPr>
          <w:rFonts w:cs="Arial" w:ascii="Arial" w:hAnsi="Arial"/>
          <w:sz w:val="20"/>
          <w:szCs w:val="20"/>
        </w:rPr>
        <w:t>5.1.10 Дверцы камина, кроме декоративных, в закрытом положении должны плотно прилегать к сопрягаемой поверхности по всему периметру и иметь зазор &lt;=1 мм. Дверцы должны иметь устройство, исключающее возможность их самопроизвольного открытия.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0110"/>
      <w:bookmarkStart w:id="76" w:name="sub_50111"/>
      <w:bookmarkEnd w:id="75"/>
      <w:bookmarkEnd w:id="76"/>
      <w:r>
        <w:rPr>
          <w:rFonts w:cs="Arial" w:ascii="Arial" w:hAnsi="Arial"/>
          <w:sz w:val="20"/>
          <w:szCs w:val="20"/>
        </w:rPr>
        <w:t>5.1.11 Дверцы камина должны открываться не менее чем на 110°.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0111"/>
      <w:bookmarkStart w:id="78" w:name="sub_50112"/>
      <w:bookmarkEnd w:id="77"/>
      <w:bookmarkEnd w:id="78"/>
      <w:r>
        <w:rPr>
          <w:rFonts w:cs="Arial" w:ascii="Arial" w:hAnsi="Arial"/>
          <w:sz w:val="20"/>
          <w:szCs w:val="20"/>
        </w:rPr>
        <w:t>5.1.12 Водяной теплообменник должен иметь термометр или указатель температуры. Не допускается применять ртутные термометры.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0112"/>
      <w:bookmarkStart w:id="80" w:name="sub_50113"/>
      <w:bookmarkEnd w:id="79"/>
      <w:bookmarkEnd w:id="80"/>
      <w:r>
        <w:rPr>
          <w:rFonts w:cs="Arial" w:ascii="Arial" w:hAnsi="Arial"/>
          <w:sz w:val="20"/>
          <w:szCs w:val="20"/>
        </w:rPr>
        <w:t>5.1.13 Камины должны иметь регулирующее устройство подачи воздуха в топку.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0113"/>
      <w:bookmarkStart w:id="82" w:name="sub_50113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0114"/>
      <w:bookmarkEnd w:id="83"/>
      <w:r>
        <w:rPr>
          <w:rFonts w:cs="Arial" w:ascii="Arial" w:hAnsi="Arial"/>
          <w:sz w:val="20"/>
          <w:szCs w:val="20"/>
        </w:rPr>
        <w:t>5.1.14 Содержание оксида углерода в сухих неразбавленных продуктах сгорания должно быть не более 4,0 объемных процента.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50114"/>
      <w:bookmarkStart w:id="85" w:name="sub_50114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502"/>
      <w:bookmarkEnd w:id="86"/>
      <w:r>
        <w:rPr>
          <w:rFonts w:cs="Arial" w:ascii="Arial" w:hAnsi="Arial"/>
          <w:b/>
          <w:bCs/>
          <w:sz w:val="20"/>
          <w:szCs w:val="20"/>
        </w:rPr>
        <w:t>5.2 Показатели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502"/>
      <w:bookmarkStart w:id="88" w:name="sub_502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9" w:name="sub_5021"/>
      <w:bookmarkEnd w:id="89"/>
      <w:r>
        <w:rPr>
          <w:rFonts w:cs="Arial" w:ascii="Arial" w:hAnsi="Arial"/>
          <w:sz w:val="20"/>
          <w:szCs w:val="20"/>
        </w:rPr>
        <w:t xml:space="preserve">5.2.1 Средняя наработка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камина</w:t>
        </w:r>
      </w:hyperlink>
      <w:r>
        <w:rPr>
          <w:rFonts w:cs="Arial" w:ascii="Arial" w:hAnsi="Arial"/>
          <w:sz w:val="20"/>
          <w:szCs w:val="20"/>
        </w:rPr>
        <w:t xml:space="preserve"> на отказ - не менее 2500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021"/>
      <w:bookmarkEnd w:id="90"/>
      <w:r>
        <w:rPr>
          <w:rFonts w:cs="Arial" w:ascii="Arial" w:hAnsi="Arial"/>
          <w:sz w:val="20"/>
          <w:szCs w:val="20"/>
        </w:rPr>
        <w:t>Критерии отказа: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трещина стекла дверцы;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прогар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колосниковой решетки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Критерий предельного состояния: разгерметизация теплообменника.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022"/>
      <w:bookmarkEnd w:id="91"/>
      <w:r>
        <w:rPr>
          <w:rFonts w:cs="Arial" w:ascii="Arial" w:hAnsi="Arial"/>
          <w:sz w:val="20"/>
          <w:szCs w:val="20"/>
        </w:rPr>
        <w:t>5.2.2 Камин в упаковке должен выдерживать транспортную тряску при средней перегрузке 2,4 g и частоте 120 ударов в минуту.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022"/>
      <w:bookmarkStart w:id="93" w:name="sub_5022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503"/>
      <w:bookmarkEnd w:id="94"/>
      <w:r>
        <w:rPr>
          <w:rFonts w:cs="Arial" w:ascii="Arial" w:hAnsi="Arial"/>
          <w:b/>
          <w:bCs/>
          <w:sz w:val="20"/>
          <w:szCs w:val="20"/>
        </w:rPr>
        <w:t>5.3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503"/>
      <w:bookmarkStart w:id="96" w:name="sub_503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31"/>
      <w:bookmarkEnd w:id="97"/>
      <w:r>
        <w:rPr>
          <w:rFonts w:cs="Arial" w:ascii="Arial" w:hAnsi="Arial"/>
          <w:sz w:val="20"/>
          <w:szCs w:val="20"/>
        </w:rPr>
        <w:t>5.3.1 Детали камина, подверженные непосредственному действию огня, должны изготавливаться из серого чугуна любых марок по ГОСТ 1412. Для каминов неполной заводской готовности следует применять огнеупорные отделочные материалы в соответствии с инструкцией предприятия-изготовителя.</w:t>
      </w:r>
    </w:p>
    <w:p>
      <w:pPr>
        <w:pStyle w:val="Normal"/>
        <w:autoSpaceDE w:val="false"/>
        <w:ind w:firstLine="720"/>
        <w:jc w:val="both"/>
        <w:rPr/>
      </w:pPr>
      <w:bookmarkStart w:id="98" w:name="sub_5031"/>
      <w:bookmarkEnd w:id="98"/>
      <w:r>
        <w:rPr>
          <w:rFonts w:cs="Arial" w:ascii="Arial" w:hAnsi="Arial"/>
          <w:sz w:val="20"/>
          <w:szCs w:val="20"/>
        </w:rPr>
        <w:t xml:space="preserve">Допускается изготавливать детали каминов, кроме боковых, верхней и задней стенок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топки</w:t>
        </w:r>
      </w:hyperlink>
      <w:r>
        <w:rPr>
          <w:rFonts w:cs="Arial" w:ascii="Arial" w:hAnsi="Arial"/>
          <w:sz w:val="20"/>
          <w:szCs w:val="20"/>
        </w:rPr>
        <w:t>, а также колосниковой решетки из сталей любых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032"/>
      <w:bookmarkEnd w:id="99"/>
      <w:r>
        <w:rPr>
          <w:rFonts w:cs="Arial" w:ascii="Arial" w:hAnsi="Arial"/>
          <w:sz w:val="20"/>
          <w:szCs w:val="20"/>
        </w:rPr>
        <w:t>5.3.2 Технические требования к отливкам из серого чугуна - по ГОСТ 26358.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032"/>
      <w:bookmarkStart w:id="101" w:name="sub_5033"/>
      <w:bookmarkEnd w:id="100"/>
      <w:bookmarkEnd w:id="101"/>
      <w:r>
        <w:rPr>
          <w:rFonts w:cs="Arial" w:ascii="Arial" w:hAnsi="Arial"/>
          <w:sz w:val="20"/>
          <w:szCs w:val="20"/>
        </w:rPr>
        <w:t>5.3.3 Стекла дверец, обращенные в топку, должны быть термостойкими.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033"/>
      <w:bookmarkStart w:id="103" w:name="sub_5034"/>
      <w:bookmarkEnd w:id="102"/>
      <w:bookmarkEnd w:id="103"/>
      <w:r>
        <w:rPr>
          <w:rFonts w:cs="Arial" w:ascii="Arial" w:hAnsi="Arial"/>
          <w:sz w:val="20"/>
          <w:szCs w:val="20"/>
        </w:rPr>
        <w:t>5.3.4 Водяной теплообменник изготавливают из коррозионно-стойкой стали по ГОСТ 5632.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034"/>
      <w:bookmarkStart w:id="105" w:name="sub_5035"/>
      <w:bookmarkEnd w:id="104"/>
      <w:bookmarkEnd w:id="105"/>
      <w:r>
        <w:rPr>
          <w:rFonts w:cs="Arial" w:ascii="Arial" w:hAnsi="Arial"/>
          <w:sz w:val="20"/>
          <w:szCs w:val="20"/>
        </w:rPr>
        <w:t>5.3.5 Наружные поверхности деталей из материалов, подвергающихся коррозии и претерпевающих длительные температурные воздействия, должны иметь защитные термостойкие покрытия от коррозии.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035"/>
      <w:bookmarkStart w:id="107" w:name="sub_5035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504"/>
      <w:bookmarkEnd w:id="108"/>
      <w:r>
        <w:rPr>
          <w:rFonts w:cs="Arial" w:ascii="Arial" w:hAnsi="Arial"/>
          <w:b/>
          <w:bCs/>
          <w:sz w:val="20"/>
          <w:szCs w:val="20"/>
        </w:rPr>
        <w:t>5.4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504"/>
      <w:bookmarkStart w:id="110" w:name="sub_504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1" w:name="sub_5041"/>
      <w:bookmarkEnd w:id="111"/>
      <w:r>
        <w:rPr>
          <w:rFonts w:cs="Arial" w:ascii="Arial" w:hAnsi="Arial"/>
          <w:sz w:val="20"/>
          <w:szCs w:val="20"/>
        </w:rPr>
        <w:t xml:space="preserve">5.4.1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</w:t>
        </w:r>
      </w:hyperlink>
      <w:r>
        <w:rPr>
          <w:rFonts w:cs="Arial" w:ascii="Arial" w:hAnsi="Arial"/>
          <w:sz w:val="20"/>
          <w:szCs w:val="20"/>
        </w:rPr>
        <w:t xml:space="preserve"> комплектуется согласно документации изготовителя. В комплект поставки камина могут входить: совок, кочерга, ящик для сбора золы, щипцы.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041"/>
      <w:bookmarkStart w:id="113" w:name="sub_5042"/>
      <w:bookmarkEnd w:id="112"/>
      <w:bookmarkEnd w:id="113"/>
      <w:r>
        <w:rPr>
          <w:rFonts w:cs="Arial" w:ascii="Arial" w:hAnsi="Arial"/>
          <w:sz w:val="20"/>
          <w:szCs w:val="20"/>
        </w:rPr>
        <w:t>5.4.2 К камину должно прикладываться руководство по эксплуатации согласно ГОСТ 2.601.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042"/>
      <w:bookmarkStart w:id="115" w:name="sub_5042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6" w:name="sub_505"/>
      <w:bookmarkEnd w:id="116"/>
      <w:r>
        <w:rPr>
          <w:rFonts w:cs="Arial" w:ascii="Arial" w:hAnsi="Arial"/>
          <w:b/>
          <w:bCs/>
          <w:sz w:val="20"/>
          <w:szCs w:val="20"/>
        </w:rPr>
        <w:t>5.5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7" w:name="sub_505"/>
      <w:bookmarkStart w:id="118" w:name="sub_505"/>
      <w:bookmarkEnd w:id="1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051"/>
      <w:bookmarkEnd w:id="119"/>
      <w:r>
        <w:rPr>
          <w:rFonts w:cs="Arial" w:ascii="Arial" w:hAnsi="Arial"/>
          <w:sz w:val="20"/>
          <w:szCs w:val="20"/>
        </w:rPr>
        <w:t>5.5.1 На деталях камина на видном месте должна быть размещена информация,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051"/>
      <w:bookmarkEnd w:id="120"/>
      <w:r>
        <w:rPr>
          <w:rFonts w:cs="Arial" w:ascii="Arial" w:hAnsi="Arial"/>
          <w:sz w:val="20"/>
          <w:szCs w:val="20"/>
        </w:rPr>
        <w:t>товарный знак или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камина;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по системе нумерации предприятия-изготовителя (при наличии таковой);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и месяц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052"/>
      <w:bookmarkEnd w:id="121"/>
      <w:r>
        <w:rPr>
          <w:rFonts w:cs="Arial" w:ascii="Arial" w:hAnsi="Arial"/>
          <w:sz w:val="20"/>
          <w:szCs w:val="20"/>
        </w:rPr>
        <w:t>5.5.2 Транспортная маркировка груза -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052"/>
      <w:bookmarkStart w:id="123" w:name="sub_5052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4" w:name="sub_506"/>
      <w:bookmarkEnd w:id="124"/>
      <w:r>
        <w:rPr>
          <w:rFonts w:cs="Arial" w:ascii="Arial" w:hAnsi="Arial"/>
          <w:b/>
          <w:bCs/>
          <w:sz w:val="20"/>
          <w:szCs w:val="20"/>
        </w:rPr>
        <w:t>5.6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5" w:name="sub_506"/>
      <w:bookmarkStart w:id="126" w:name="sub_506"/>
      <w:bookmarkEnd w:id="1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061"/>
      <w:bookmarkEnd w:id="127"/>
      <w:r>
        <w:rPr>
          <w:rFonts w:cs="Arial" w:ascii="Arial" w:hAnsi="Arial"/>
          <w:sz w:val="20"/>
          <w:szCs w:val="20"/>
        </w:rPr>
        <w:t>5.6.1 Каждый камин или элемент камина должен быть обернут бумагой по ГОСТ 8828 или другим материалом, обеспечивающим сохранность, и упакован в обрешетку по ГОСТ 12082 или другую тару.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061"/>
      <w:bookmarkEnd w:id="128"/>
      <w:r>
        <w:rPr>
          <w:rFonts w:cs="Arial" w:ascii="Arial" w:hAnsi="Arial"/>
          <w:sz w:val="20"/>
          <w:szCs w:val="20"/>
        </w:rPr>
        <w:t>При отправке деталей каминов в районы Крайнего Севера и труднодоступные районы транспортная упаковка и тара должны соответствовать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062"/>
      <w:bookmarkEnd w:id="129"/>
      <w:r>
        <w:rPr>
          <w:rFonts w:cs="Arial" w:ascii="Arial" w:hAnsi="Arial"/>
          <w:sz w:val="20"/>
          <w:szCs w:val="20"/>
        </w:rPr>
        <w:t>5.6.2 Паспорт камина и руководство по эксплуатации должны быть вложены в водонепроницаемый пакет.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062"/>
      <w:bookmarkStart w:id="131" w:name="sub_5062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2" w:name="sub_600"/>
      <w:bookmarkEnd w:id="132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3" w:name="sub_600"/>
      <w:bookmarkStart w:id="134" w:name="sub_600"/>
      <w:bookmarkEnd w:id="1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5" w:name="sub_601"/>
      <w:bookmarkEnd w:id="135"/>
      <w:r>
        <w:rPr>
          <w:rFonts w:cs="Arial" w:ascii="Arial" w:hAnsi="Arial"/>
          <w:sz w:val="20"/>
          <w:szCs w:val="20"/>
        </w:rPr>
        <w:t xml:space="preserve">6.1 Для проверки соответствия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каминов</w:t>
        </w:r>
      </w:hyperlink>
      <w:r>
        <w:rPr>
          <w:rFonts w:cs="Arial" w:ascii="Arial" w:hAnsi="Arial"/>
          <w:sz w:val="20"/>
          <w:szCs w:val="20"/>
        </w:rPr>
        <w:t xml:space="preserve"> требованиям настоящего стандарта следует проводить следующие виды испытаний: приемосдаточные; периодические; типовые.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01"/>
      <w:bookmarkStart w:id="137" w:name="sub_602"/>
      <w:bookmarkEnd w:id="136"/>
      <w:bookmarkEnd w:id="137"/>
      <w:r>
        <w:rPr>
          <w:rFonts w:cs="Arial" w:ascii="Arial" w:hAnsi="Arial"/>
          <w:sz w:val="20"/>
          <w:szCs w:val="20"/>
        </w:rPr>
        <w:t>6.2 Приемосдаточным испытаниям подвергают:</w:t>
      </w:r>
    </w:p>
    <w:p>
      <w:pPr>
        <w:pStyle w:val="Normal"/>
        <w:autoSpaceDE w:val="false"/>
        <w:ind w:firstLine="720"/>
        <w:jc w:val="both"/>
        <w:rPr/>
      </w:pPr>
      <w:bookmarkStart w:id="138" w:name="sub_602"/>
      <w:bookmarkEnd w:id="138"/>
      <w:r>
        <w:rPr>
          <w:rFonts w:cs="Arial" w:ascii="Arial" w:hAnsi="Arial"/>
          <w:sz w:val="20"/>
          <w:szCs w:val="20"/>
        </w:rPr>
        <w:t xml:space="preserve">каждый камин - на соответствие требованиям </w:t>
      </w:r>
      <w:hyperlink w:anchor="sub_5016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5.1.12</w:t>
        </w:r>
      </w:hyperlink>
      <w:r>
        <w:rPr>
          <w:rFonts w:cs="Arial" w:ascii="Arial" w:hAnsi="Arial"/>
          <w:sz w:val="20"/>
          <w:szCs w:val="20"/>
        </w:rPr>
        <w:t xml:space="preserve"> (в части наличия термометра), </w:t>
      </w:r>
      <w:hyperlink w:anchor="sub_5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35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5% сменной выработки, но не менее трех каминов - на соответствие требованиям </w:t>
      </w:r>
      <w:hyperlink w:anchor="sub_50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3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34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35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9" w:name="sub_603"/>
      <w:bookmarkEnd w:id="139"/>
      <w:r>
        <w:rPr>
          <w:rFonts w:cs="Arial" w:ascii="Arial" w:hAnsi="Arial"/>
          <w:sz w:val="20"/>
          <w:szCs w:val="20"/>
        </w:rPr>
        <w:t xml:space="preserve">6.3 Периодические испытания проводят не реже одного раза в три года не менее чем на трех каминах из числа прошедших приемосдаточные испытания на соответствие всем требованиям настоящего стандарта, кроме </w:t>
      </w:r>
      <w:hyperlink w:anchor="sub_50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0" w:name="sub_603"/>
      <w:bookmarkEnd w:id="140"/>
      <w:r>
        <w:rPr>
          <w:rFonts w:cs="Arial" w:ascii="Arial" w:hAnsi="Arial"/>
          <w:sz w:val="20"/>
          <w:szCs w:val="20"/>
        </w:rPr>
        <w:t xml:space="preserve">Испытания на соответствие </w:t>
      </w:r>
      <w:hyperlink w:anchor="sub_50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проводят не реже одного раза в пять лет не менее чем на трех каминах. Камин устанавливают на испытания первый раз - в год начала серийного производства из числа прошедших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04"/>
      <w:bookmarkEnd w:id="141"/>
      <w:r>
        <w:rPr>
          <w:rFonts w:cs="Arial" w:ascii="Arial" w:hAnsi="Arial"/>
          <w:sz w:val="20"/>
          <w:szCs w:val="20"/>
        </w:rPr>
        <w:t>6.4 Типовые испытания проводят с целью оценки целесообразности вносимых изменений в конструкцию. Типовым испытаниям подвергают камины на соответствие тем требованиям настоящего стандарта, на которые могли повлиять внесенные изменения.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604"/>
      <w:bookmarkStart w:id="143" w:name="sub_604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4" w:name="sub_700"/>
      <w:bookmarkEnd w:id="144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5" w:name="sub_700"/>
      <w:bookmarkStart w:id="146" w:name="sub_700"/>
      <w:bookmarkEnd w:id="1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7.1 Средства испытаний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7.2 Подготовка к проведению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7.3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7.4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7.5 Допустимая погрешность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7" w:name="sub_701"/>
      <w:bookmarkEnd w:id="147"/>
      <w:r>
        <w:rPr>
          <w:rFonts w:cs="Arial" w:ascii="Arial" w:hAnsi="Arial"/>
          <w:b/>
          <w:bCs/>
          <w:sz w:val="20"/>
          <w:szCs w:val="20"/>
        </w:rPr>
        <w:t>7.1 Средства испытаний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8" w:name="sub_701"/>
      <w:bookmarkStart w:id="149" w:name="sub_701"/>
      <w:bookmarkEnd w:id="1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011"/>
      <w:bookmarkEnd w:id="150"/>
      <w:r>
        <w:rPr>
          <w:rFonts w:cs="Arial" w:ascii="Arial" w:hAnsi="Arial"/>
          <w:sz w:val="20"/>
          <w:szCs w:val="20"/>
        </w:rPr>
        <w:t>7.1.1 При проведении испытаний должны быть использованы следующие средства контроля: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011"/>
      <w:bookmarkEnd w:id="151"/>
      <w:r>
        <w:rPr>
          <w:rFonts w:cs="Arial" w:ascii="Arial" w:hAnsi="Arial"/>
          <w:sz w:val="20"/>
          <w:szCs w:val="20"/>
        </w:rPr>
        <w:t>- термометр с погрешностью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+-0,1°С - для измерения температуры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+-0,5°С - для измерения температуры воздуха в помещении;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+-1,0°С - для измерения температуры продуктов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психрометр аспирационный с погрешностью измерения +-4% для измерения относительной влажности воздуха в помещение;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анемометр с диапазоном измерения от 0,1 до 5,0 м/с для измерения скорости движения воздуха в помещении с погрешностью измерения +-4%;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газоанализатор с основной приведенной погрешностью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+-2% - для измерения содержания диоксида углерода (СО2);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+-10% - для измерения содержания оксида углерода (СО);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 класса точности 2 для измерения продолжительности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микроманометр водяной от 1,0 до 50 Па класса точности 1 для определения разрежения в дымоходе;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преобразователь термоэлектрический с погрешностью измерения +-3°С с вторичным прибором с погрешностью преобразования +-0,5% нормируемого значения для измерения температуры поверхности ручек управления, наружных поверхностей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камина</w:t>
        </w:r>
      </w:hyperlink>
      <w:r>
        <w:rPr>
          <w:rFonts w:cs="Arial" w:ascii="Arial" w:hAnsi="Arial"/>
          <w:sz w:val="20"/>
          <w:szCs w:val="20"/>
        </w:rPr>
        <w:t>,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калориметр сжигания жидкостной типа В-ОВ МА с пределом допускаемой погрешности +-1% для измерения теплоты сгорания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манометр класса точности 1,5 с верхним пределом измерения 0,6 МПа при испытании водяного теплообменника на прочность и герметичность;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весы с пределом измерения до 10 кг с погрешностью измерений +-10 г для измерения массы растопочного материала, топлива и нагретой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весы с погрешностью +-0,002 г для измерения массы влаги в топливе;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труба теплоизолированная для измерения СО;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стенд для проверки на герметичность;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измерения для контроля линейных размеров (линейка, штангенциркуль), обеспечивающие необходимую точность.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средства измерения, обеспечивающие указанную точность.</w:t>
      </w:r>
    </w:p>
    <w:p>
      <w:pPr>
        <w:pStyle w:val="Normal"/>
        <w:autoSpaceDE w:val="false"/>
        <w:ind w:firstLine="720"/>
        <w:jc w:val="both"/>
        <w:rPr/>
      </w:pPr>
      <w:bookmarkStart w:id="152" w:name="sub_7012"/>
      <w:bookmarkEnd w:id="152"/>
      <w:r>
        <w:rPr>
          <w:rFonts w:cs="Arial" w:ascii="Arial" w:hAnsi="Arial"/>
          <w:sz w:val="20"/>
          <w:szCs w:val="20"/>
        </w:rPr>
        <w:t>7.1.2 Определение условного коэффициента полезного действия (</w:t>
      </w:r>
      <w:hyperlink w:anchor="sub_50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5.1.4</w:t>
        </w:r>
      </w:hyperlink>
      <w:r>
        <w:rPr>
          <w:rFonts w:cs="Arial" w:ascii="Arial" w:hAnsi="Arial"/>
          <w:sz w:val="20"/>
          <w:szCs w:val="20"/>
        </w:rPr>
        <w:t>) следует проводить по ГОСТ 9817.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7012"/>
      <w:bookmarkStart w:id="154" w:name="sub_701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5" w:name="sub_702"/>
      <w:bookmarkEnd w:id="155"/>
      <w:r>
        <w:rPr>
          <w:rFonts w:cs="Arial" w:ascii="Arial" w:hAnsi="Arial"/>
          <w:b/>
          <w:bCs/>
          <w:sz w:val="20"/>
          <w:szCs w:val="20"/>
        </w:rPr>
        <w:t>7.2 Подготовка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6" w:name="sub_702"/>
      <w:bookmarkStart w:id="157" w:name="sub_702"/>
      <w:bookmarkEnd w:id="1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021"/>
      <w:bookmarkEnd w:id="158"/>
      <w:r>
        <w:rPr>
          <w:rFonts w:cs="Arial" w:ascii="Arial" w:hAnsi="Arial"/>
          <w:sz w:val="20"/>
          <w:szCs w:val="20"/>
        </w:rPr>
        <w:t>7.2.1 Испытания следует проводить при следующих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021"/>
      <w:bookmarkEnd w:id="159"/>
      <w:r>
        <w:rPr>
          <w:rFonts w:cs="Arial" w:ascii="Arial" w:hAnsi="Arial"/>
          <w:sz w:val="20"/>
          <w:szCs w:val="20"/>
        </w:rPr>
        <w:t>- температура воздуха в помещении - (20 +- 5)°С;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относительная влажность воздуха в помещении - (60 +- 15)%;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подвижность воздуха в помещении - 0,2 - 0,5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022"/>
      <w:bookmarkEnd w:id="160"/>
      <w:r>
        <w:rPr>
          <w:rFonts w:cs="Arial" w:ascii="Arial" w:hAnsi="Arial"/>
          <w:sz w:val="20"/>
          <w:szCs w:val="20"/>
        </w:rPr>
        <w:t>7.2.2 При проверке камина в режиме отопления следует подать в теплообменник воду, подогретую до температуры (55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022"/>
      <w:bookmarkEnd w:id="161"/>
      <w:r>
        <w:rPr>
          <w:rFonts w:cs="Arial" w:ascii="Arial" w:hAnsi="Arial"/>
          <w:sz w:val="20"/>
          <w:szCs w:val="20"/>
        </w:rPr>
        <w:t>При проверке камина в режиме горячего водоснабжения следует подать холодную воду в теплообменник из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необходимый для испытаний расход воды G_р, проходящей через теплообменник, кг/ч,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= ─────────────,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с Дельта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номинальная тепловая мощность теплообменника, кВт;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- удельная теплоемкость воды, кДж/ (кг х 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расчетная разность температур  горячей  и  холодной воды: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 до 25°С - в  режиме  отопления;  от 35 до 40°С -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режиме горячего водоснабжения.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испытаний расход воды и разрежение в дымоходе должны быть постоянными.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Открыть регулятор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необходимое для испытаний количество топлива В_р, кг,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тау 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k ─────────────────,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x эта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расчетная продолжительность рабочего цикла,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k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коэффициент запаса, принимаемый равным 1,1 - 1,3;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Q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низшая теплота сгорания топлива, кДж/кг;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заданный коэффициент полезного действия аппарата,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следует проводить на дровах со следующими характеристиками: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сечение - не более 70 х 70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низшая теплота сгорания Q(р)_n = (10200 +- 1530) кДж/кг;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влажность - не более 35%.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Загрузить на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колосниковую решетку</w:t>
        </w:r>
      </w:hyperlink>
      <w:r>
        <w:rPr>
          <w:rFonts w:cs="Arial" w:ascii="Arial" w:hAnsi="Arial"/>
          <w:sz w:val="20"/>
          <w:szCs w:val="20"/>
        </w:rPr>
        <w:t xml:space="preserve"> растопочный материал - дрова, 30% которых мелко нарубленные. Размер дров должен соответствовать размерам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топки</w:t>
        </w:r>
      </w:hyperlink>
      <w:r>
        <w:rPr>
          <w:rFonts w:cs="Arial" w:ascii="Arial" w:hAnsi="Arial"/>
          <w:sz w:val="20"/>
          <w:szCs w:val="20"/>
        </w:rPr>
        <w:t xml:space="preserve"> и обеспечивать их продольную и поперечную укладку.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2" w:name="sub_703"/>
      <w:bookmarkEnd w:id="162"/>
      <w:r>
        <w:rPr>
          <w:rFonts w:cs="Arial" w:ascii="Arial" w:hAnsi="Arial"/>
          <w:b/>
          <w:bCs/>
          <w:sz w:val="20"/>
          <w:szCs w:val="20"/>
        </w:rPr>
        <w:t>7.3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3" w:name="sub_703"/>
      <w:bookmarkStart w:id="164" w:name="sub_703"/>
      <w:bookmarkEnd w:id="1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031"/>
      <w:bookmarkEnd w:id="165"/>
      <w:r>
        <w:rPr>
          <w:rFonts w:cs="Arial" w:ascii="Arial" w:hAnsi="Arial"/>
          <w:sz w:val="20"/>
          <w:szCs w:val="20"/>
        </w:rPr>
        <w:t>7.3.1 После воспламенения растопочного материала и частичного его обугливания загрузить в топку первую порцию древесного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031"/>
      <w:bookmarkEnd w:id="166"/>
      <w:r>
        <w:rPr>
          <w:rFonts w:cs="Arial" w:ascii="Arial" w:hAnsi="Arial"/>
          <w:sz w:val="20"/>
          <w:szCs w:val="20"/>
        </w:rPr>
        <w:t>Последующие дозагрузки производить по всей площади горения, не допуская погасания языков пламени над слоем древесного топлива. Массу каждой следующей порции топлива следует выбирать в зависимости от конструкции и объема топки. Каждую последующую дозагрузку топливом следует проводить после падения температуры продуктов сгорания не более чем на 10°С без дополнительной регулировки подачи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рабочего цикла: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функция отопления - не менее 8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функция горячего водоснабжения - не менее 3 ч.</w:t>
      </w:r>
    </w:p>
    <w:p>
      <w:pPr>
        <w:pStyle w:val="Normal"/>
        <w:autoSpaceDE w:val="false"/>
        <w:ind w:firstLine="720"/>
        <w:jc w:val="both"/>
        <w:rPr/>
      </w:pPr>
      <w:bookmarkStart w:id="167" w:name="sub_7032"/>
      <w:bookmarkEnd w:id="167"/>
      <w:r>
        <w:rPr>
          <w:rFonts w:cs="Arial" w:ascii="Arial" w:hAnsi="Arial"/>
          <w:sz w:val="20"/>
          <w:szCs w:val="20"/>
        </w:rPr>
        <w:t>7.3.2 Продолжительность рабочего цикла (</w:t>
      </w:r>
      <w:hyperlink w:anchor="sub_5015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5.1.5</w:t>
        </w:r>
      </w:hyperlink>
      <w:r>
        <w:rPr>
          <w:rFonts w:cs="Arial" w:ascii="Arial" w:hAnsi="Arial"/>
          <w:sz w:val="20"/>
          <w:szCs w:val="20"/>
        </w:rPr>
        <w:t xml:space="preserve">) следует определять от момента воспламенения растопочного материала до момента, характеризуемого содержанием диоксида углерода в продуктах сгорания, равным 4% объемных. В этот момент испытания следует прекратить, произвести выгрузку очагового остатка из камеры сгорания и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зольника</w:t>
        </w:r>
      </w:hyperlink>
      <w:r>
        <w:rPr>
          <w:rFonts w:cs="Arial" w:ascii="Arial" w:hAnsi="Arial"/>
          <w:sz w:val="20"/>
          <w:szCs w:val="20"/>
        </w:rPr>
        <w:t xml:space="preserve"> для проведения анализа проб. Очаговый остаток после охлаждения разделить на годное и непригодное для сжигания топливо. Непригодное для сжигания топливо (золу) следует взвесить, измельчить и отобрать пробу. Годное для сжигания топливо следует взвесить для определения полноты сгорания.</w:t>
      </w:r>
    </w:p>
    <w:p>
      <w:pPr>
        <w:pStyle w:val="Normal"/>
        <w:autoSpaceDE w:val="false"/>
        <w:ind w:firstLine="720"/>
        <w:jc w:val="both"/>
        <w:rPr/>
      </w:pPr>
      <w:bookmarkStart w:id="168" w:name="sub_7032"/>
      <w:bookmarkStart w:id="169" w:name="sub_7033"/>
      <w:bookmarkEnd w:id="168"/>
      <w:bookmarkEnd w:id="169"/>
      <w:r>
        <w:rPr>
          <w:rFonts w:cs="Arial" w:ascii="Arial" w:hAnsi="Arial"/>
          <w:sz w:val="20"/>
          <w:szCs w:val="20"/>
        </w:rPr>
        <w:t xml:space="preserve">7.3.3 Проверку на соответствие </w:t>
      </w:r>
      <w:hyperlink w:anchor="sub_50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(на соответствие размеров рабочим чертежам), </w:t>
      </w:r>
      <w:hyperlink w:anchor="sub_501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5.1.11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с помощью линейки и штангенциркуля.</w:t>
      </w:r>
    </w:p>
    <w:p>
      <w:pPr>
        <w:pStyle w:val="Normal"/>
        <w:autoSpaceDE w:val="false"/>
        <w:ind w:firstLine="720"/>
        <w:jc w:val="both"/>
        <w:rPr/>
      </w:pPr>
      <w:bookmarkStart w:id="170" w:name="sub_7033"/>
      <w:bookmarkStart w:id="171" w:name="sub_7034"/>
      <w:bookmarkEnd w:id="170"/>
      <w:bookmarkEnd w:id="171"/>
      <w:r>
        <w:rPr>
          <w:rFonts w:cs="Arial" w:ascii="Arial" w:hAnsi="Arial"/>
          <w:sz w:val="20"/>
          <w:szCs w:val="20"/>
        </w:rPr>
        <w:t xml:space="preserve">7.3.4 Проверку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камина</w:t>
        </w:r>
      </w:hyperlink>
      <w:r>
        <w:rPr>
          <w:rFonts w:cs="Arial" w:ascii="Arial" w:hAnsi="Arial"/>
          <w:sz w:val="20"/>
          <w:szCs w:val="20"/>
        </w:rPr>
        <w:t xml:space="preserve"> на соответствие </w:t>
      </w:r>
      <w:hyperlink w:anchor="sub_50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(на соответствие образцу-эталону); </w:t>
      </w:r>
      <w:hyperlink w:anchor="sub_5019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1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5.1.10</w:t>
        </w:r>
      </w:hyperlink>
      <w:r>
        <w:rPr>
          <w:rFonts w:cs="Arial" w:ascii="Arial" w:hAnsi="Arial"/>
          <w:sz w:val="20"/>
          <w:szCs w:val="20"/>
        </w:rPr>
        <w:t xml:space="preserve"> (в части самопроизвольного открывания дверцы); </w:t>
      </w:r>
      <w:hyperlink w:anchor="sub_501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1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>;</w:t>
      </w:r>
      <w:hyperlink w:anchor="sub_50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следует проверять визуально.</w:t>
      </w:r>
    </w:p>
    <w:p>
      <w:pPr>
        <w:pStyle w:val="Normal"/>
        <w:autoSpaceDE w:val="false"/>
        <w:ind w:firstLine="720"/>
        <w:jc w:val="both"/>
        <w:rPr/>
      </w:pPr>
      <w:bookmarkStart w:id="172" w:name="sub_7034"/>
      <w:bookmarkStart w:id="173" w:name="sub_7035"/>
      <w:bookmarkEnd w:id="172"/>
      <w:bookmarkEnd w:id="173"/>
      <w:r>
        <w:rPr>
          <w:rFonts w:cs="Arial" w:ascii="Arial" w:hAnsi="Arial"/>
          <w:sz w:val="20"/>
          <w:szCs w:val="20"/>
        </w:rPr>
        <w:t xml:space="preserve">7.3.5 Температуру поверхностей ручек управления </w:t>
      </w:r>
      <w:hyperlink w:anchor="sub_5012">
        <w:r>
          <w:rPr>
            <w:rStyle w:val="Style15"/>
            <w:rFonts w:cs="Arial" w:ascii="Arial" w:hAnsi="Arial"/>
            <w:sz w:val="20"/>
            <w:szCs w:val="20"/>
            <w:u w:val="single"/>
          </w:rPr>
          <w:t>(5.1.2</w:t>
        </w:r>
      </w:hyperlink>
      <w:r>
        <w:rPr>
          <w:rFonts w:cs="Arial" w:ascii="Arial" w:hAnsi="Arial"/>
          <w:sz w:val="20"/>
          <w:szCs w:val="20"/>
        </w:rPr>
        <w:t>), наружных поверхностей и пола под камином (</w:t>
      </w:r>
      <w:hyperlink w:anchor="sub_50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5.1.3</w:t>
        </w:r>
      </w:hyperlink>
      <w:r>
        <w:rPr>
          <w:rFonts w:cs="Arial" w:ascii="Arial" w:hAnsi="Arial"/>
          <w:sz w:val="20"/>
          <w:szCs w:val="20"/>
        </w:rPr>
        <w:t>), продуктов сгорания (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9.1</w:t>
        </w:r>
      </w:hyperlink>
      <w:r>
        <w:rPr>
          <w:rFonts w:cs="Arial" w:ascii="Arial" w:hAnsi="Arial"/>
          <w:sz w:val="20"/>
          <w:szCs w:val="20"/>
        </w:rPr>
        <w:t>) следует определять через каждые 30 мин в течение рабочего цикла. При этом термопары следует размещать в точках максимального нагрева, определяемых зондированием.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7035"/>
      <w:bookmarkEnd w:id="174"/>
      <w:r>
        <w:rPr>
          <w:rFonts w:cs="Arial" w:ascii="Arial" w:hAnsi="Arial"/>
          <w:sz w:val="20"/>
          <w:szCs w:val="20"/>
        </w:rPr>
        <w:t>Окончательным результатом при определении температуры поверхностей ручек управления, наружных поверхностей и пола под камином является максимальное значение температуры в любой из точек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Окончательным результатом при определении температуры продуктов сгорания является средняя арифметическая величина температуры в точках измерения за рабочий цикл.</w:t>
      </w:r>
    </w:p>
    <w:p>
      <w:pPr>
        <w:pStyle w:val="Normal"/>
        <w:autoSpaceDE w:val="false"/>
        <w:ind w:firstLine="720"/>
        <w:jc w:val="both"/>
        <w:rPr/>
      </w:pPr>
      <w:bookmarkStart w:id="175" w:name="sub_7036"/>
      <w:bookmarkEnd w:id="175"/>
      <w:r>
        <w:rPr>
          <w:rFonts w:cs="Arial" w:ascii="Arial" w:hAnsi="Arial"/>
          <w:sz w:val="20"/>
          <w:szCs w:val="20"/>
        </w:rPr>
        <w:t xml:space="preserve">7.3.6 Перед испытанием на соответствие </w:t>
      </w:r>
      <w:hyperlink w:anchor="sub_50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 xml:space="preserve"> камин должен быть проверен на соответствие требованиям </w:t>
      </w:r>
      <w:hyperlink w:anchor="sub_50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6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6" w:name="sub_7036"/>
      <w:bookmarkEnd w:id="176"/>
      <w:r>
        <w:rPr>
          <w:rFonts w:cs="Arial" w:ascii="Arial" w:hAnsi="Arial"/>
          <w:sz w:val="20"/>
          <w:szCs w:val="20"/>
        </w:rPr>
        <w:t>Испытание в части средней наработки на отказ (</w:t>
      </w:r>
      <w:hyperlink w:anchor="sub_50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>) проводится на номинальной условной тепловой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Номинальную условную тепловую мощность N, кВт,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Q  эта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N= ─────────────,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hyperlink w:anchor="sub_70362">
        <w:r>
          <w:rPr>
            <w:rStyle w:val="Style15"/>
            <w:rFonts w:cs="Courier New" w:ascii="Courier New" w:hAnsi="Courier New"/>
            <w:b/>
            <w:bCs/>
            <w:sz w:val="20"/>
            <w:szCs w:val="20"/>
            <w:u w:val="single"/>
            <w:lang w:val="ru-RU" w:eastAsia="ru-RU"/>
          </w:rPr>
          <w:t>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часовой расход топлива, кг/ч;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коэффициент полезного действия,%.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Часовой расход топлива В, кг/ч,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7036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─────,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7036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суммарная масса топлива, загружаемого в </w:t>
      </w:r>
      <w:hyperlink w:anchor="sub_3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топку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за рабочий цикл,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тау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продолжительность испытаний,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Через каждые 500 ч работы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</w:t>
        </w:r>
      </w:hyperlink>
      <w:r>
        <w:rPr>
          <w:rFonts w:cs="Arial" w:ascii="Arial" w:hAnsi="Arial"/>
          <w:sz w:val="20"/>
          <w:szCs w:val="20"/>
        </w:rPr>
        <w:t xml:space="preserve"> проверяют на соответствие показателям, характеризуемым критериями отказов.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до наработки 2500 ч.</w:t>
      </w:r>
    </w:p>
    <w:p>
      <w:pPr>
        <w:pStyle w:val="Normal"/>
        <w:autoSpaceDE w:val="false"/>
        <w:ind w:firstLine="720"/>
        <w:jc w:val="both"/>
        <w:rPr/>
      </w:pPr>
      <w:bookmarkStart w:id="179" w:name="sub_7037"/>
      <w:bookmarkEnd w:id="179"/>
      <w:r>
        <w:rPr>
          <w:rFonts w:cs="Arial" w:ascii="Arial" w:hAnsi="Arial"/>
          <w:sz w:val="20"/>
          <w:szCs w:val="20"/>
        </w:rPr>
        <w:t>7.3.7 Испытание на транспортную тряску (</w:t>
      </w:r>
      <w:hyperlink w:anchor="sub_50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) следует проводить на стенде в течение 30 мин при средней перегрузке 2,4 g и частоте 120 ударов в минуту. Упакованные детали каминов должны быть жестко закреплены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7037"/>
      <w:bookmarkEnd w:id="180"/>
      <w:r>
        <w:rPr>
          <w:rFonts w:cs="Arial" w:ascii="Arial" w:hAnsi="Arial"/>
          <w:sz w:val="20"/>
          <w:szCs w:val="20"/>
        </w:rPr>
        <w:t>После испытания на стенде визуально проверяют состояние упаковки. Нарушение упаковки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Камин считается выдержавшим испытание, если после тряски не будут обнаружены механические повреждения упаковки, конструкции камина, ослабление крепежа более чем на 15% длины периметра, нарушение прочности и герметичности теплообменника.</w:t>
      </w:r>
    </w:p>
    <w:p>
      <w:pPr>
        <w:pStyle w:val="Normal"/>
        <w:autoSpaceDE w:val="false"/>
        <w:ind w:firstLine="720"/>
        <w:jc w:val="both"/>
        <w:rPr/>
      </w:pPr>
      <w:bookmarkStart w:id="181" w:name="sub_7038"/>
      <w:bookmarkEnd w:id="181"/>
      <w:r>
        <w:rPr>
          <w:rFonts w:cs="Arial" w:ascii="Arial" w:hAnsi="Arial"/>
          <w:sz w:val="20"/>
          <w:szCs w:val="20"/>
        </w:rPr>
        <w:t>7.3.8 Испытания теплообменника для отопления и горячего водоснабжения на прочность и герметичность (</w:t>
      </w:r>
      <w:hyperlink w:anchor="sub_5016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5.1.6</w:t>
        </w:r>
      </w:hyperlink>
      <w:r>
        <w:rPr>
          <w:rFonts w:cs="Arial" w:ascii="Arial" w:hAnsi="Arial"/>
          <w:sz w:val="20"/>
          <w:szCs w:val="20"/>
        </w:rPr>
        <w:t>) должны проводиться давлением не менее 0,6 МПа в течение 5 мин гидравлическим (водой) или 30 с - пневматическим методом (воздухом).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7038"/>
      <w:bookmarkEnd w:id="182"/>
      <w:r>
        <w:rPr>
          <w:rFonts w:cs="Arial" w:ascii="Arial" w:hAnsi="Arial"/>
          <w:sz w:val="20"/>
          <w:szCs w:val="20"/>
        </w:rPr>
        <w:t>При испытаниях водой не допускаются течь и потение, а при испытаниях воздухом - появление пузырьков воздуха в ванне.</w:t>
      </w:r>
    </w:p>
    <w:p>
      <w:pPr>
        <w:pStyle w:val="Normal"/>
        <w:autoSpaceDE w:val="false"/>
        <w:ind w:firstLine="720"/>
        <w:jc w:val="both"/>
        <w:rPr/>
      </w:pPr>
      <w:bookmarkStart w:id="183" w:name="sub_7039"/>
      <w:bookmarkEnd w:id="183"/>
      <w:r>
        <w:rPr>
          <w:rFonts w:cs="Arial" w:ascii="Arial" w:hAnsi="Arial"/>
          <w:sz w:val="20"/>
          <w:szCs w:val="20"/>
        </w:rPr>
        <w:t>7.3.9 Проверку термической стойкости стекла дверцы (</w:t>
      </w:r>
      <w:hyperlink w:anchor="sub_503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5.3.3</w:t>
        </w:r>
      </w:hyperlink>
      <w:r>
        <w:rPr>
          <w:rFonts w:cs="Arial" w:ascii="Arial" w:hAnsi="Arial"/>
          <w:sz w:val="20"/>
          <w:szCs w:val="20"/>
        </w:rPr>
        <w:t>) следует проводить при работе камина в номинальном режиме не менее 8 ч. Появление трещин на стекле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7039"/>
      <w:bookmarkStart w:id="185" w:name="sub_7039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6" w:name="sub_70310"/>
      <w:bookmarkEnd w:id="186"/>
      <w:r>
        <w:rPr>
          <w:rFonts w:cs="Arial" w:ascii="Arial" w:hAnsi="Arial"/>
          <w:sz w:val="20"/>
          <w:szCs w:val="20"/>
        </w:rPr>
        <w:t>7.3.10 Проверку на герметичность дымохода камина (</w:t>
      </w:r>
      <w:hyperlink w:anchor="sub_5017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5.1.7</w:t>
        </w:r>
      </w:hyperlink>
      <w:r>
        <w:rPr>
          <w:rFonts w:cs="Arial" w:ascii="Arial" w:hAnsi="Arial"/>
          <w:sz w:val="20"/>
          <w:szCs w:val="20"/>
        </w:rPr>
        <w:t xml:space="preserve">) следует проводить на конструкциях каминов с закрытым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топочным отверстием</w:t>
        </w:r>
      </w:hyperlink>
      <w:r>
        <w:rPr>
          <w:rFonts w:cs="Arial" w:ascii="Arial" w:hAnsi="Arial"/>
          <w:sz w:val="20"/>
          <w:szCs w:val="20"/>
        </w:rPr>
        <w:t xml:space="preserve"> согласно схеме на рисунке 1. Перед проверкой </w:t>
      </w:r>
      <w:hyperlink w:anchor="sub_306">
        <w:r>
          <w:rPr>
            <w:rStyle w:val="Style15"/>
            <w:rFonts w:cs="Arial" w:ascii="Arial" w:hAnsi="Arial"/>
            <w:sz w:val="20"/>
            <w:szCs w:val="20"/>
            <w:u w:val="single"/>
          </w:rPr>
          <w:t>шибер</w:t>
        </w:r>
      </w:hyperlink>
      <w:r>
        <w:rPr>
          <w:rFonts w:cs="Arial" w:ascii="Arial" w:hAnsi="Arial"/>
          <w:sz w:val="20"/>
          <w:szCs w:val="20"/>
        </w:rPr>
        <w:t xml:space="preserve"> топки и дымоотводящий патрубок следует закрыть резиновыми манжетами, подсоединить камин к ваккум-насосу и установить разрежение 15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70310"/>
      <w:bookmarkEnd w:id="187"/>
      <w:r>
        <w:rPr>
          <w:rFonts w:cs="Arial" w:ascii="Arial" w:hAnsi="Arial"/>
          <w:sz w:val="20"/>
          <w:szCs w:val="20"/>
        </w:rPr>
        <w:t>Расход воздуха не должен превышать 0,4 м3/ч на 1 кВт номинальной тепловой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824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1 - Схема проверки камина на герметичность"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8" w:name="sub_70311"/>
      <w:bookmarkEnd w:id="188"/>
      <w:r>
        <w:rPr>
          <w:rFonts w:cs="Arial" w:ascii="Arial" w:hAnsi="Arial"/>
          <w:sz w:val="20"/>
          <w:szCs w:val="20"/>
        </w:rPr>
        <w:t>7.3.11 Содержание оксида углерода СО в сухих неразбавленных продуктах сгорания в объемных процентах (</w:t>
      </w:r>
      <w:hyperlink w:anchor="sub_501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5.1.14</w:t>
        </w:r>
      </w:hyperlink>
      <w:r>
        <w:rPr>
          <w:rFonts w:cs="Arial" w:ascii="Arial" w:hAnsi="Arial"/>
          <w:sz w:val="20"/>
          <w:szCs w:val="20"/>
        </w:rPr>
        <w:t>) следует определять по ГОСТ 9817.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70311"/>
      <w:bookmarkStart w:id="190" w:name="sub_70311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1" w:name="sub_704"/>
      <w:bookmarkEnd w:id="191"/>
      <w:r>
        <w:rPr>
          <w:rFonts w:cs="Arial" w:ascii="Arial" w:hAnsi="Arial"/>
          <w:b/>
          <w:bCs/>
          <w:sz w:val="20"/>
          <w:szCs w:val="20"/>
        </w:rPr>
        <w:t>7.4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2" w:name="sub_704"/>
      <w:bookmarkStart w:id="193" w:name="sub_704"/>
      <w:bookmarkEnd w:id="1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7041"/>
      <w:bookmarkEnd w:id="194"/>
      <w:r>
        <w:rPr>
          <w:rFonts w:cs="Arial" w:ascii="Arial" w:hAnsi="Arial"/>
          <w:sz w:val="20"/>
          <w:szCs w:val="20"/>
        </w:rPr>
        <w:t>7.4.1 Результаты испытаний оформляют протоколом, в котором указывают:</w:t>
      </w:r>
    </w:p>
    <w:p>
      <w:pPr>
        <w:pStyle w:val="Normal"/>
        <w:autoSpaceDE w:val="false"/>
        <w:ind w:firstLine="720"/>
        <w:jc w:val="both"/>
        <w:rPr/>
      </w:pPr>
      <w:bookmarkStart w:id="195" w:name="sub_7041"/>
      <w:bookmarkEnd w:id="195"/>
      <w:r>
        <w:rPr>
          <w:rFonts w:cs="Arial" w:ascii="Arial" w:hAnsi="Arial"/>
          <w:sz w:val="20"/>
          <w:szCs w:val="20"/>
        </w:rPr>
        <w:t xml:space="preserve">- изготовителя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заводские номера камина или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представленной с камином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топлива, на котором проводились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и методы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 и нормируемые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испытаний.</w:t>
      </w:r>
    </w:p>
    <w:p>
      <w:pPr>
        <w:pStyle w:val="Normal"/>
        <w:autoSpaceDE w:val="false"/>
        <w:ind w:firstLine="720"/>
        <w:jc w:val="both"/>
        <w:rPr/>
      </w:pPr>
      <w:bookmarkStart w:id="196" w:name="sub_7042"/>
      <w:bookmarkEnd w:id="196"/>
      <w:r>
        <w:rPr>
          <w:rFonts w:cs="Arial" w:ascii="Arial" w:hAnsi="Arial"/>
          <w:sz w:val="20"/>
          <w:szCs w:val="20"/>
        </w:rPr>
        <w:t xml:space="preserve">7.4.2 Результаты испытаний по </w:t>
      </w:r>
      <w:hyperlink w:anchor="sub_50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оформляют протоколом в соответствии с ГОСТ 27.410.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7042"/>
      <w:bookmarkStart w:id="198" w:name="sub_7042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9" w:name="sub_705"/>
      <w:bookmarkEnd w:id="199"/>
      <w:r>
        <w:rPr>
          <w:rFonts w:cs="Arial" w:ascii="Arial" w:hAnsi="Arial"/>
          <w:b/>
          <w:bCs/>
          <w:sz w:val="20"/>
          <w:szCs w:val="20"/>
        </w:rPr>
        <w:t>7.5 Допустимая погрешность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0" w:name="sub_705"/>
      <w:bookmarkStart w:id="201" w:name="sub_705"/>
      <w:bookmarkEnd w:id="2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2" w:name="sub_7051"/>
      <w:bookmarkEnd w:id="202"/>
      <w:r>
        <w:rPr>
          <w:rFonts w:cs="Arial" w:ascii="Arial" w:hAnsi="Arial"/>
          <w:sz w:val="20"/>
          <w:szCs w:val="20"/>
        </w:rPr>
        <w:t xml:space="preserve">7.5.1 Испытания по </w:t>
      </w:r>
      <w:hyperlink w:anchor="sub_7039">
        <w:r>
          <w:rPr>
            <w:rStyle w:val="Style15"/>
            <w:rFonts w:cs="Arial" w:ascii="Arial" w:hAnsi="Arial"/>
            <w:sz w:val="20"/>
            <w:szCs w:val="20"/>
            <w:u w:val="single"/>
          </w:rPr>
          <w:t>7.3.9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70310">
        <w:r>
          <w:rPr>
            <w:rStyle w:val="Style15"/>
            <w:rFonts w:cs="Arial" w:ascii="Arial" w:hAnsi="Arial"/>
            <w:sz w:val="20"/>
            <w:szCs w:val="20"/>
            <w:u w:val="single"/>
          </w:rPr>
          <w:t>7.3.10</w:t>
        </w:r>
      </w:hyperlink>
      <w:r>
        <w:rPr>
          <w:rFonts w:cs="Arial" w:ascii="Arial" w:hAnsi="Arial"/>
          <w:sz w:val="20"/>
          <w:szCs w:val="20"/>
        </w:rPr>
        <w:t xml:space="preserve"> должны проводиться не менее трех раз; за окончательный результат испытания принимают среднее арифметическое значение.</w:t>
      </w:r>
    </w:p>
    <w:p>
      <w:pPr>
        <w:pStyle w:val="Normal"/>
        <w:autoSpaceDE w:val="false"/>
        <w:ind w:firstLine="720"/>
        <w:jc w:val="both"/>
        <w:rPr/>
      </w:pPr>
      <w:bookmarkStart w:id="203" w:name="sub_7051"/>
      <w:bookmarkEnd w:id="203"/>
      <w:r>
        <w:rPr>
          <w:rFonts w:cs="Arial" w:ascii="Arial" w:hAnsi="Arial"/>
          <w:sz w:val="20"/>
          <w:szCs w:val="20"/>
        </w:rPr>
        <w:t xml:space="preserve">При расхождении результатов испытаний по 7.3.9 более чем на 2%, а по </w:t>
      </w:r>
      <w:hyperlink w:anchor="sub_70310">
        <w:r>
          <w:rPr>
            <w:rStyle w:val="Style15"/>
            <w:rFonts w:cs="Arial" w:ascii="Arial" w:hAnsi="Arial"/>
            <w:sz w:val="20"/>
            <w:szCs w:val="20"/>
            <w:u w:val="single"/>
          </w:rPr>
          <w:t>7.3.10</w:t>
        </w:r>
      </w:hyperlink>
      <w:r>
        <w:rPr>
          <w:rFonts w:cs="Arial" w:ascii="Arial" w:hAnsi="Arial"/>
          <w:sz w:val="20"/>
          <w:szCs w:val="20"/>
        </w:rPr>
        <w:t xml:space="preserve"> более чем на 20% испытания следует повторить.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повторных испытаний являются окончательными.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7052"/>
      <w:bookmarkEnd w:id="204"/>
      <w:r>
        <w:rPr>
          <w:rFonts w:cs="Arial" w:ascii="Arial" w:hAnsi="Arial"/>
          <w:sz w:val="20"/>
          <w:szCs w:val="20"/>
        </w:rPr>
        <w:t>7.5.2 Метод обработки результатов наблюдений и оценка погрешности результатов - по ГОСТ 8.207.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7052"/>
      <w:bookmarkStart w:id="206" w:name="sub_7052"/>
      <w:bookmarkEnd w:id="2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7" w:name="sub_800"/>
      <w:bookmarkEnd w:id="207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8" w:name="sub_800"/>
      <w:bookmarkStart w:id="209" w:name="sub_800"/>
      <w:bookmarkEnd w:id="2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801"/>
      <w:bookmarkEnd w:id="210"/>
      <w:r>
        <w:rPr>
          <w:rFonts w:cs="Arial" w:ascii="Arial" w:hAnsi="Arial"/>
          <w:sz w:val="20"/>
          <w:szCs w:val="20"/>
        </w:rPr>
        <w:t>8.1 Упакованные детали каминов перевозят любым видом транспорта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/>
      </w:pPr>
      <w:bookmarkStart w:id="211" w:name="sub_801"/>
      <w:bookmarkStart w:id="212" w:name="sub_802"/>
      <w:bookmarkEnd w:id="211"/>
      <w:bookmarkEnd w:id="212"/>
      <w:r>
        <w:rPr>
          <w:rFonts w:cs="Arial" w:ascii="Arial" w:hAnsi="Arial"/>
          <w:sz w:val="20"/>
          <w:szCs w:val="20"/>
        </w:rPr>
        <w:t xml:space="preserve">8.2 При транспортировании железнодорожным транспортом размещение и крепление упакованных деталей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каминов</w:t>
        </w:r>
      </w:hyperlink>
      <w:r>
        <w:rPr>
          <w:rFonts w:cs="Arial" w:ascii="Arial" w:hAnsi="Arial"/>
          <w:sz w:val="20"/>
          <w:szCs w:val="20"/>
        </w:rPr>
        <w:t xml:space="preserve"> должно осуществляться согласно "Техническим условиям погрузки и крепления грузов", утвержденным Министерством путей сообщения. Допускается упакованные детали каминов формировать в пакеты по ГОСТ 26663. Параметры и размеры пакетов - по ГОСТ 24597. Детали каминов, сформированные в пакеты, устанавливаются на плоские поддоны по ГОСТ 9078 грузоподъемностью не более 1 т, скрепляются по ГОСТ 21650 стальной лентой по одному из следующих стандартов: ГОСТ 3560, ГОСТ 6009, ГОСТ 503.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802"/>
      <w:bookmarkStart w:id="214" w:name="sub_803"/>
      <w:bookmarkEnd w:id="213"/>
      <w:bookmarkEnd w:id="214"/>
      <w:r>
        <w:rPr>
          <w:rFonts w:cs="Arial" w:ascii="Arial" w:hAnsi="Arial"/>
          <w:sz w:val="20"/>
          <w:szCs w:val="20"/>
        </w:rPr>
        <w:t>8.3 Перевозка деталей каминов по суше - по условиям хранения 5 по ГОСТ 15150, при морских перевозках в трюмах - по условиям хранения 3 по ГОСТ 15150; на самолетах - по условиям хранения 8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803"/>
      <w:bookmarkStart w:id="216" w:name="sub_804"/>
      <w:bookmarkEnd w:id="215"/>
      <w:bookmarkEnd w:id="216"/>
      <w:r>
        <w:rPr>
          <w:rFonts w:cs="Arial" w:ascii="Arial" w:hAnsi="Arial"/>
          <w:sz w:val="20"/>
          <w:szCs w:val="20"/>
        </w:rPr>
        <w:t>8.4 Упакованные детали каминов хранят по условиям хранения 2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804"/>
      <w:bookmarkStart w:id="218" w:name="sub_804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9" w:name="sub_900"/>
      <w:bookmarkEnd w:id="219"/>
      <w:r>
        <w:rPr>
          <w:rFonts w:cs="Arial" w:ascii="Arial" w:hAnsi="Arial"/>
          <w:b/>
          <w:bCs/>
          <w:sz w:val="20"/>
          <w:szCs w:val="20"/>
        </w:rPr>
        <w:t>9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0" w:name="sub_900"/>
      <w:bookmarkStart w:id="221" w:name="sub_900"/>
      <w:bookmarkEnd w:id="2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901"/>
      <w:bookmarkEnd w:id="222"/>
      <w:r>
        <w:rPr>
          <w:rFonts w:cs="Arial" w:ascii="Arial" w:hAnsi="Arial"/>
          <w:sz w:val="20"/>
          <w:szCs w:val="20"/>
        </w:rPr>
        <w:t>9.1 Внутренние конструкции камина должны выдерживать температуру продуктов сгорания не менее 400°С.</w:t>
      </w:r>
    </w:p>
    <w:p>
      <w:pPr>
        <w:pStyle w:val="Normal"/>
        <w:autoSpaceDE w:val="false"/>
        <w:ind w:firstLine="720"/>
        <w:jc w:val="both"/>
        <w:rPr/>
      </w:pPr>
      <w:bookmarkStart w:id="223" w:name="sub_901"/>
      <w:bookmarkStart w:id="224" w:name="sub_902"/>
      <w:bookmarkEnd w:id="223"/>
      <w:bookmarkEnd w:id="224"/>
      <w:r>
        <w:rPr>
          <w:rFonts w:cs="Arial" w:ascii="Arial" w:hAnsi="Arial"/>
          <w:sz w:val="20"/>
          <w:szCs w:val="20"/>
        </w:rPr>
        <w:t xml:space="preserve">9.2 </w:t>
      </w:r>
      <w:hyperlink w:anchor="sub_306">
        <w:r>
          <w:rPr>
            <w:rStyle w:val="Style15"/>
            <w:rFonts w:cs="Arial" w:ascii="Arial" w:hAnsi="Arial"/>
            <w:sz w:val="20"/>
            <w:szCs w:val="20"/>
            <w:u w:val="single"/>
          </w:rPr>
          <w:t>Шибер</w:t>
        </w:r>
      </w:hyperlink>
      <w:r>
        <w:rPr>
          <w:rFonts w:cs="Arial" w:ascii="Arial" w:hAnsi="Arial"/>
          <w:sz w:val="20"/>
          <w:szCs w:val="20"/>
        </w:rPr>
        <w:t xml:space="preserve"> (при его наличии) в закрытом положении не должен закрывать более 85% сечения дымоотводящего патрубка.</w:t>
      </w:r>
    </w:p>
    <w:p>
      <w:pPr>
        <w:pStyle w:val="Normal"/>
        <w:autoSpaceDE w:val="false"/>
        <w:ind w:firstLine="720"/>
        <w:jc w:val="both"/>
        <w:rPr/>
      </w:pPr>
      <w:bookmarkStart w:id="225" w:name="sub_902"/>
      <w:bookmarkStart w:id="226" w:name="sub_903"/>
      <w:bookmarkEnd w:id="225"/>
      <w:bookmarkEnd w:id="226"/>
      <w:r>
        <w:rPr>
          <w:rFonts w:cs="Arial" w:ascii="Arial" w:hAnsi="Arial"/>
          <w:sz w:val="20"/>
          <w:szCs w:val="20"/>
        </w:rPr>
        <w:t xml:space="preserve">9.3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Зольник</w:t>
        </w:r>
      </w:hyperlink>
      <w:r>
        <w:rPr>
          <w:rFonts w:cs="Arial" w:ascii="Arial" w:hAnsi="Arial"/>
          <w:sz w:val="20"/>
          <w:szCs w:val="20"/>
        </w:rPr>
        <w:t xml:space="preserve"> камина должен быть закрыт со всех сторон. Его конструкция должна предотвращать выпадение раскаленных частиц топлива или золы через отверстия подвода воздуха для горения.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903"/>
      <w:bookmarkStart w:id="228" w:name="sub_903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9" w:name="sub_1000"/>
      <w:bookmarkEnd w:id="229"/>
      <w:r>
        <w:rPr>
          <w:rFonts w:cs="Arial" w:ascii="Arial" w:hAnsi="Arial"/>
          <w:b/>
          <w:bCs/>
          <w:sz w:val="20"/>
          <w:szCs w:val="20"/>
        </w:rPr>
        <w:t>10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0" w:name="sub_1000"/>
      <w:bookmarkStart w:id="231" w:name="sub_1000"/>
      <w:bookmarkEnd w:id="2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2" w:name="sub_1001"/>
      <w:bookmarkEnd w:id="232"/>
      <w:r>
        <w:rPr>
          <w:rFonts w:cs="Arial" w:ascii="Arial" w:hAnsi="Arial"/>
          <w:sz w:val="20"/>
          <w:szCs w:val="20"/>
        </w:rPr>
        <w:t xml:space="preserve">10.1 Предприятие-изготовитель гарантирует соответствие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каминов</w:t>
        </w:r>
      </w:hyperlink>
      <w:r>
        <w:rPr>
          <w:rFonts w:cs="Arial" w:ascii="Arial" w:hAnsi="Arial"/>
          <w:sz w:val="20"/>
          <w:szCs w:val="20"/>
        </w:rPr>
        <w:t xml:space="preserve"> требованиям настоящего стандарта при соблюдении условий эксплуатации,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001"/>
      <w:bookmarkStart w:id="234" w:name="sub_1002"/>
      <w:bookmarkEnd w:id="233"/>
      <w:bookmarkEnd w:id="234"/>
      <w:r>
        <w:rPr>
          <w:rFonts w:cs="Arial" w:ascii="Arial" w:hAnsi="Arial"/>
          <w:sz w:val="20"/>
          <w:szCs w:val="20"/>
        </w:rPr>
        <w:t>10.2 Гарантийный срок эксплуатации каминов - 2,5 года со дня продажи, но не более 3 лет со дня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002"/>
      <w:bookmarkStart w:id="236" w:name="sub_1002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2007-04-23T08:26:00Z</dcterms:created>
  <dc:creator>VIKTOR</dc:creator>
  <dc:description/>
  <dc:language>ru-RU</dc:language>
  <cp:lastModifiedBy>VIKTOR</cp:lastModifiedBy>
  <dcterms:modified xsi:type="dcterms:W3CDTF">2007-04-23T08:26:00Z</dcterms:modified>
  <cp:revision>2</cp:revision>
  <dc:subject/>
  <dc:title/>
</cp:coreProperties>
</file>