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6713-91</w:t>
        <w:br/>
        <w:t>"Прокат низколегированный конструкционный для мостостроения. Технические условия"</w:t>
        <w:br/>
        <w:t>(утв. постановлением Комитета стандартизации и метрологии СССР от 6 сентября 1991 г. N 1430)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Low-alloyed structural rolled stock for bridge building.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1992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6713-75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толстолистовой, широкополосный (универсальный), фасонный, полосовой и сортовой прокат, предназначенный для изготовления мостовых конструкций обычного и северного исполнения.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Марки и сортамент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Прокат изготовляют из стали марок: 16Д, 15ХСНД и 10ХСНД.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Прокат из стали марок 15ХСНД и 10ХСНД в зависимости от вида термообработки изготовляется трех категорий: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категория 1 - без термообработки;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категория 2 - в нормализованном состоянии;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категория 3 - в термически улучшенном состоянии после закалки и высокого отпуска.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Фасонный прокат категорий 2 и 3 изготовляется по согласованию изготовителя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Категория в заказе указывается после наименования марки. Например: 15ХСНД-3.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таких указаний изготовляется прокат категории 1. Категория 1 в обозначении марки проката не указывается.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По форме сечения, размерам и предельным отклонениям прокат должен соответствовать требованиям ГОСТ 19903, ГОСТ 82, ГОСТ 8509, ГОСТ 8510, ГОСТ 8240, ГОСТ 8239, ГОСТ 103.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Отклонения от плоскостности должны соответствовать требованиям ГОСТ 19903 для листов высокой плоскостности (ПВ), ребровая кривизна полосы - ГОСТ 82 для класса А, кривизна уголков - ГОСТ 8509 и ГОСТ 8510 - не более 0,2% длины. По согласованию изготовителя с потребителем допускается кривизна уголков не более 0,4%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Примеры условных обозначений: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Прокат горячекатаный толстолистовой нормальной точности прокатки (Б), высокой плоскостности (ПВ), с обрезной кромкой (О), размерами 10 X 1500 X 8000 мм, из стали марки. 15ХСНД, категории 1: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Б-ПВ-О-10 х 1500 х 8000 ГОСТ 19903-74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 ──────────────────────────────────────.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15ХСНД ГОСТ 6713-91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Прокат горячекатаный толстолистовой нормальной точности прокатки (Б), высокой плоскостности (ПВ), с обрезной кромкой (О), размером 32 X 1600 X 11000 мм, из стали марки 10ХСНД, категории 3: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Б-ПВ-О-32 х 1600 х 11000 ГОСТ 19903-74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 ───────────────────────────────────────.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10ХСНД-3 ГОСТ 6713-91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Угловой равнополочный прокат обычной точности прокатки (Б), размерами 100 х 100 х 10 мм из стали 16Д: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Б-100 х 100 х 10 ГОСТ 8509-86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Уголок ───────────────────────────────.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16Д ГОСТ 6713-91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Прокат широкополосный (универсальный) обычной точности с ребровой кривизной по классу А, размерами 15X250 мм из стали марки 10ХСНД, категории 1: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А-15 х 250 ГОСТ 82-70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Полоса ───────────────────────.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10ХСНД ГОСТ 6713-91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" w:name="sub_2"/>
      <w:bookmarkEnd w:id="9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" w:name="sub_2"/>
      <w:bookmarkStart w:id="11" w:name="sub_2"/>
      <w:bookmarkEnd w:id="1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bookmarkEnd w:id="12"/>
      <w:r>
        <w:rPr>
          <w:rFonts w:cs="Arial" w:ascii="Arial" w:hAnsi="Arial"/>
          <w:sz w:val="20"/>
          <w:szCs w:val="20"/>
        </w:rPr>
        <w:t>2.1. Прокат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1"/>
      <w:bookmarkStart w:id="14" w:name="sub_22"/>
      <w:bookmarkEnd w:id="13"/>
      <w:bookmarkEnd w:id="14"/>
      <w:r>
        <w:rPr>
          <w:rFonts w:cs="Arial" w:ascii="Arial" w:hAnsi="Arial"/>
          <w:sz w:val="20"/>
          <w:szCs w:val="20"/>
        </w:rPr>
        <w:t>2.2. Характеристики</w:t>
      </w:r>
    </w:p>
    <w:p>
      <w:pPr>
        <w:pStyle w:val="Normal"/>
        <w:autoSpaceDE w:val="false"/>
        <w:ind w:firstLine="720"/>
        <w:jc w:val="both"/>
        <w:rPr/>
      </w:pPr>
      <w:bookmarkStart w:id="15" w:name="sub_22"/>
      <w:bookmarkStart w:id="16" w:name="sub_221"/>
      <w:bookmarkEnd w:id="15"/>
      <w:bookmarkEnd w:id="16"/>
      <w:r>
        <w:rPr>
          <w:rFonts w:cs="Arial" w:ascii="Arial" w:hAnsi="Arial"/>
          <w:sz w:val="20"/>
          <w:szCs w:val="20"/>
        </w:rPr>
        <w:t xml:space="preserve">2.2.1. Химический состав стали должен соответствовать нормам, приведенным в </w:t>
      </w:r>
      <w:hyperlink w:anchor="sub_223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21"/>
      <w:bookmarkStart w:id="18" w:name="sub_222"/>
      <w:bookmarkEnd w:id="17"/>
      <w:bookmarkEnd w:id="18"/>
      <w:r>
        <w:rPr>
          <w:rFonts w:cs="Arial" w:ascii="Arial" w:hAnsi="Arial"/>
          <w:sz w:val="20"/>
          <w:szCs w:val="20"/>
        </w:rPr>
        <w:t>2.2.2. Массовая доля азота в стали не должна превышать 0,008%, мышьяка - 0,08%. Допускается массовая доля азота в готовом прокате до 0,012%.</w:t>
      </w:r>
    </w:p>
    <w:p>
      <w:pPr>
        <w:pStyle w:val="Normal"/>
        <w:autoSpaceDE w:val="false"/>
        <w:ind w:firstLine="720"/>
        <w:jc w:val="both"/>
        <w:rPr/>
      </w:pPr>
      <w:bookmarkStart w:id="19" w:name="sub_222"/>
      <w:bookmarkStart w:id="20" w:name="sub_223"/>
      <w:bookmarkEnd w:id="19"/>
      <w:bookmarkEnd w:id="20"/>
      <w:r>
        <w:rPr>
          <w:rFonts w:cs="Arial" w:ascii="Arial" w:hAnsi="Arial"/>
          <w:sz w:val="20"/>
          <w:szCs w:val="20"/>
        </w:rPr>
        <w:t xml:space="preserve">2.2.3. В готовом прокате при условии обеспечения механических свойств и выполнения других требований настоящего стандарта допускаются отклонения по массовой доле элементов от норм, приведенных в табл. 1. Допускаемые предельные отклонения приведены в </w:t>
      </w:r>
      <w:hyperlink w:anchor="sub_223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23"/>
      <w:bookmarkStart w:id="22" w:name="sub_223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" w:name="sub_2231"/>
      <w:bookmarkEnd w:id="23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2231"/>
      <w:bookmarkStart w:id="25" w:name="sub_2231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                            Массовая доля элементов, %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├──────────┬──────────┬──────────┬──────────┬──────────┬───────────┬─────────┬──────────┤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  │ Кремний  │ Марганец │   Хром   │  Никель  │   Медь    │ Фосфор  │   Сера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│          │          │          │          │           ├─────────┴──────────┤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        │          │          │          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─┼──────────┼──────────┼──────────┼───────────┼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16Д    │0,10-0,18 │0,12-0,25 │0,40-0,70 │ До 0,30  │ До 0,30  │ 0,20-0,35 │  0,035  │  0,040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│          │          │          │          │ 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15ХСНД  │0,12-0,18 │0,40-0,70 │0,40-0,70 │0,60-0,90 │0,30-0,60 │ 0,20-0,40 │  0,035  │  0,035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│          │          │          │          │ 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10ХСНД  │ До 0,12  │0,80-1,10 │0,50-0,80 │0,60-0,90 │0,50-0,80 │ 0,40-0,60 │  0,035  │  0,035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┴──────────┴──────────┴──────────┴──────────┴───────────┴─────────┴──────────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 стали, раскисленной алюминием, остаточное содержание кислоторастворимого алюминия должно быть не менее 0,02%. Допускается применение других раскислителей, при этом должно быть обеспечено выполнение всех требований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Анализ проката из стали марки 16Д на хром и никель и всех марок на мышьяк и азот проводится по требованию потребителя.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 прокате мостовых конструкций северного исполнения массовая доля серы не должна быть более 0,030%, фосфора - не более 0,025%; требование устанавливается в заказе.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изготовителя с потребителем допускается изготовление стали электрошлакового переплава; при этом в обозначении марки стали добавляется через тире буква Ш.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 готовом прокате стали марки 15ХСНД категории 3 массовая доля углерода должна быть не более 0,18%. Нижнее значение массовой доли углерода в стали марки 15ХСНД категории 3 не является браковочным признаком, если механические свойства удовлетворительные.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 прокате из стали марки 10ХСНД категории 3 массовая доля кремния должна быть 0,70-1,00%.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 прокате из стали марки 16Д при массовой доли углерода 0,10-0,12% допускается повышение массовой доли марганца до 0,80%.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" w:name="sub_2232"/>
      <w:bookmarkEnd w:id="26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2232"/>
      <w:bookmarkStart w:id="28" w:name="sub_2232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элемента│            Предельные отклонения, %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проката из стали  │ для проката из сталей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1Д        │    остальных марок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              │        +-0,02          │         +-0,02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Кремний              │         +0,03          │         +-0,05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-0,02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Марганец             │         +0,05          │         +-0,10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-0,03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                 │           -            │         +-0,05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              │           -            │         +-0,05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Медь                 │        +-0,05          │         +-0,05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Сера                 │         +0,005         │          +0,005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Фосфор               │         +0,005         │          +0,005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24"/>
      <w:bookmarkEnd w:id="29"/>
      <w:r>
        <w:rPr>
          <w:rFonts w:cs="Arial" w:ascii="Arial" w:hAnsi="Arial"/>
          <w:sz w:val="20"/>
          <w:szCs w:val="20"/>
        </w:rPr>
        <w:t>2.2.4. Прокат изготовляют с гарантией свариваемости. Свариваемость сталей обеспечивается технологией изготовления и соблюдением всех требований по химическому составу и механическим свойствам.</w:t>
      </w:r>
    </w:p>
    <w:p>
      <w:pPr>
        <w:pStyle w:val="Normal"/>
        <w:autoSpaceDE w:val="false"/>
        <w:ind w:firstLine="720"/>
        <w:jc w:val="both"/>
        <w:rPr/>
      </w:pPr>
      <w:bookmarkStart w:id="30" w:name="sub_224"/>
      <w:bookmarkStart w:id="31" w:name="sub_225"/>
      <w:bookmarkEnd w:id="30"/>
      <w:bookmarkEnd w:id="31"/>
      <w:r>
        <w:rPr>
          <w:rFonts w:cs="Arial" w:ascii="Arial" w:hAnsi="Arial"/>
          <w:sz w:val="20"/>
          <w:szCs w:val="20"/>
        </w:rPr>
        <w:t xml:space="preserve">2.2.5. Механические свойства и ударная вязкость проката из стали марки 16Д должны соответствовать нормам, приведенным в </w:t>
      </w:r>
      <w:hyperlink w:anchor="sub_227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, проката из стали остальных марок - </w:t>
      </w:r>
      <w:hyperlink w:anchor="sub_227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4</w:t>
        </w:r>
      </w:hyperlink>
      <w:r>
        <w:rPr>
          <w:rFonts w:cs="Arial" w:ascii="Arial" w:hAnsi="Arial"/>
          <w:sz w:val="20"/>
          <w:szCs w:val="20"/>
        </w:rPr>
        <w:t xml:space="preserve">. Для проката толщиной, превышающей указанную в </w:t>
      </w:r>
      <w:hyperlink w:anchor="sub_227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74">
        <w:r>
          <w:rPr>
            <w:rStyle w:val="Style15"/>
            <w:rFonts w:cs="Arial" w:ascii="Arial" w:hAnsi="Arial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, нормы механических свойств устанавливаются по согласованию изготовителя с потребителем.</w:t>
      </w:r>
    </w:p>
    <w:p>
      <w:pPr>
        <w:pStyle w:val="Normal"/>
        <w:autoSpaceDE w:val="false"/>
        <w:ind w:firstLine="720"/>
        <w:jc w:val="both"/>
        <w:rPr/>
      </w:pPr>
      <w:bookmarkStart w:id="32" w:name="sub_225"/>
      <w:bookmarkEnd w:id="32"/>
      <w:r>
        <w:rPr>
          <w:rFonts w:cs="Arial" w:ascii="Arial" w:hAnsi="Arial"/>
          <w:sz w:val="20"/>
          <w:szCs w:val="20"/>
        </w:rPr>
        <w:t xml:space="preserve">По требованию потребителя испытания на ударный изгиб сталей 15ХСНД-3 и 10ХСНД-3 проводят на образцах типа II, показатели должны отвечать требованиям </w:t>
      </w:r>
      <w:hyperlink w:anchor="sub_2285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26"/>
      <w:bookmarkEnd w:id="33"/>
      <w:r>
        <w:rPr>
          <w:rFonts w:cs="Arial" w:ascii="Arial" w:hAnsi="Arial"/>
          <w:sz w:val="20"/>
          <w:szCs w:val="20"/>
        </w:rPr>
        <w:t>2.2.6. Для получения требуемых механических свойств допускается проведение нормализации или закалки с высоким отпуском при изготовлении проката категории 1 и закалки с высоким отпуском - при изготовлении проката категории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26"/>
      <w:bookmarkStart w:id="35" w:name="sub_227"/>
      <w:bookmarkEnd w:id="34"/>
      <w:bookmarkEnd w:id="35"/>
      <w:r>
        <w:rPr>
          <w:rFonts w:cs="Arial" w:ascii="Arial" w:hAnsi="Arial"/>
          <w:sz w:val="20"/>
          <w:szCs w:val="20"/>
        </w:rPr>
        <w:t>2.2.7. Прокат для мостовых конструкций северного исполнения должен испытываться на изгиб на широком образце при нормальной температуре в соответствии с требованиями ГОСТ 5521; требование указывается в заказе. В этом случае испытания на изгиб по ГОСТ 14019 не проводят.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227"/>
      <w:bookmarkStart w:id="37" w:name="sub_227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" w:name="sub_2273"/>
      <w:bookmarkEnd w:id="38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273"/>
      <w:bookmarkStart w:id="40" w:name="sub_2273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┬────────────────────────────────┬──────────────────────────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│  Толщина  │   Механические свойства при    │   Ударная вязкость KCU (а_1), Дж/см2 (кгс х   │ Испытание│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│проката, мм│           растяжении           │          м/см2), при температуре, °C          │на изгиб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├──────────┬───────────┬─────────┼──────────────────────┬────────────────────────┤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Временное │  Предел   │Относите-│   - 20 в состоянии   │+ 20 после механического│ состоянии│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сопротив- │ текучести │  льное  │       поставки       │        старения        │    до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 │ сигма_т,  │удлинение│                      │                        │параллель-│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сигма_в, │   Н/мм2   │сигма_б, │                      │                        │   ности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  │ (кгс/мм2) │    %    │                      │                        │  сторон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(кгс/мм2) │           │         │                      │   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│           │         ├─────────┬────────────┼───────────┬────────────┤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│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│ сортовой,  │ листовой  │ сортовой,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│широкополос-│  прокат   │широкополос-│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│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и    │           │   ный и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│           │  фасонный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│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│           │   прокат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├───────────┴─────────┴─────────┴────────────┴───────────┴────────────┤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┼──────────┼───────────┬─────────┬─────────┬────────────┬───────────┬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16Д  │   До 20   │ 375-610  │ 235 (24)  │   26    │34 (3,5) │  39 (4,0)  │ 34 (3,5)  │  39 (4,0)  │d = a (при│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│           │         │         │            │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(38-52)  │           │         │         │            │           │            │  20 мм)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│           │         │         │   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21-40   │ 375-510  │ 225 (23)  │   26    │34 (3,5) │  39 (4,0)  │ 34 (3,5)  │  39 (4,0)  │ d = 1,5 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│         │         │            │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(38-52)  │           │         │         │            │           │            │  толщине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│         │         │            │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│           │         │         │   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 мм)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│           │         │         │   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41-60   │ 375-510  │ 215 (22)  │   26    │34 (3,5) │  39 (4,0)  │ 34 (3,5)  │  39 (4,0)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│           │         │         │   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(38-52)  │           │         │         │   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┴──────────┴───────────┴─────────┴─────────┴────────────┴───────────┴────────────┴──────────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Условные обозначения: d - диаметр оправки, а - толщина проката.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определении ударной вязкости на образцах типа 3 по ГОСТ 9454-78 значения ударной вязкости должны быть на 10 Дж/см2 (1 кгс х м/см2) выше приведенных в </w:t>
      </w:r>
      <w:hyperlink w:anchor="sub_227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Ударная вязкость проката. толщиной менее 6 мм не определяется.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Листовой прокат толщиной 16 мм и более изготовляют в нормализованном состоянии. При условии выполнения всех требований </w:t>
      </w:r>
      <w:hyperlink w:anchor="sub_227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прокат может изготовляться без термообработки.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2274"/>
      <w:bookmarkEnd w:id="41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2274"/>
      <w:bookmarkStart w:id="43" w:name="sub_2274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┬──────────────────────────────────┬─────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Толщина  │    Механические свойства при     │Ударная вязкость KCU (а_1), Дж/см2 │Испытание на изгиб 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│ проката, │   растяжении для проката всех    │    (кгс х м/см2), для проката     │холодном состоянии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    категорий поставки        │  категорий, при температуре, °С   │параллельности сторон│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                        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проката категорий│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├──────────┬─────────────┬─────────┼──────┬──────┬──────┬──────┬───────┤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Временное │   Предел    │Относите-│  1   │  2   │  3   │1 и 2 │   3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сопротив- │  текучести  │  льное  ├──────┼──────┼──────┼──────┼───────┼──────────┬──────────┤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 │  сигма_т,   │удлинение│ -40  │ -60  │ -70  │ +20  │  -20  │    1     │   2,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сигма_в, │    Н/мм2    │сигма_б, │      │      │      ├──────┴───────┤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  │  (кгс/мм2)  │    %    │      │      │      │    после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(кгс/мм2) │             │         │      │      │      │механического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         │             │         │      │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старения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├─────────────┴─────────┴──────┴──────┴──────┴──────────────┤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  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┼──────────┼─────────────┬─────────┬──────┬──────┬──────┬──────┬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15ХСНД │   8-32   │ 490-685  │  345 (35)   │   21    │  29  │  29  │  29  │  29  │  29   │ d = 2 а  │d = 1,5 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(50-70)  │             │         │(3,0) │(3,0) │(3,0) │(3,0) │ (3,0)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33-50   │ 470-670. │  335 (34)   │   19    │  -   │  29  │  29  │  29  │  29   │ d = 2 а  │d = 1,5 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(48-68)  │             │         │      │(3,0) │(3,0) │(3,0) │ (3,0)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10ХСНД │   8-15   │ 530-685  │  390 (40)   │   19    │  39  │  29  │  29  │  29  │  29   │ d = 2 а  │d = 1,5 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(54-70)  │             │         │(4,0) │(3,0) │(3,0) │(3,0) │ (3,0)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16-32   │ 530-670  │  390 (40)   │   19    │  -   │  29  │  29  │  29  │  29   │ d = 2 а  │d = 1,5 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(54-68)  │             │         │      │(3,0) │(3,0) │(3,0) │ (3,0)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33-40   │ 510-670  │  390 (40)   │   19    │  -   │  29  │  29  │  29  │  29   │ d = 2 а  │ d = 1,5а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│          │             │         │      │      │      │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(52-68)  │             │         │      │(3,0) │(3,0) │(3,0) │ (3,0)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┴──────────┴─────────────┴─────────┴──────┴──────┴──────┴──────┴───────┴──────────┴──────────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Прокат из стали марки 10ХСНД толщиной 16 мм и более и марки 15ХСНД толщиной 33 мм и более категории 1 не изготовляется.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 определении ударной вязкости на образцах типа 3 по ГОСТ 9454-78 значения ударной вязкости должны быть на 10 Дж/см2 (1 кгс х м/см2) выше приведенных в </w:t>
      </w:r>
      <w:hyperlink w:anchor="sub_227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По требованию потребителя ударная вязкость фасонного проката из стали категории 1 марок 10ХСНД и 15ХСНД толщиной 11 мм и менее определяется при температуре минус 60°С или минус 70°С, при этом значения ударной вязкости должны соответствовать нормам </w:t>
      </w:r>
      <w:hyperlink w:anchor="sub_227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4</w:t>
        </w:r>
      </w:hyperlink>
      <w:r>
        <w:rPr>
          <w:rFonts w:cs="Arial" w:ascii="Arial" w:hAnsi="Arial"/>
          <w:sz w:val="20"/>
          <w:szCs w:val="20"/>
        </w:rPr>
        <w:t xml:space="preserve"> для испытываемых температур.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28"/>
      <w:bookmarkEnd w:id="44"/>
      <w:r>
        <w:rPr>
          <w:rFonts w:cs="Arial" w:ascii="Arial" w:hAnsi="Arial"/>
          <w:sz w:val="20"/>
          <w:szCs w:val="20"/>
        </w:rPr>
        <w:t>2.2.8. Для листов толщиной 10 мм и более проводится испытание на излом надрезанных образцов.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28"/>
      <w:bookmarkStart w:id="46" w:name="sub_228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2285"/>
      <w:bookmarkEnd w:id="47"/>
      <w:r>
        <w:rPr>
          <w:rFonts w:cs="Arial" w:ascii="Arial" w:hAnsi="Arial"/>
          <w:b/>
          <w:bCs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2285"/>
      <w:bookmarkStart w:id="49" w:name="sub_2285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  Толщина    │Работа удара KV, Дж (кгс х м), на менее при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│  проката, мм  │        температуре испытания - 40°C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15ХСНД  │     10-32     │                  29 (3,0)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33-50     │                  29 (3,0)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10ХСНД  │     10-16     │                  29 (3,0)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16-32     │                  29 (3,0)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33-40     │                  29 (3,0)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Структура проката в изломе должна быть однородной и не иметь видимых невооруженным глазом дефектов: следов усадочной раковины, рыхлости, трещин и газовых пузырей.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изломе не допускаются отдельные волосовины и мелкие расслоения длиной более 10 мм для проката толщиной до 25 мм включительно и более 15 мм проката толщиной более 25 мм. Суммарная длина волосовин и мелких расслоений не должна быть более 20 мм для проката толщиной до 25 мм включительно и более 30 мм для проката толщиной свыше 25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29"/>
      <w:bookmarkEnd w:id="50"/>
      <w:r>
        <w:rPr>
          <w:rFonts w:cs="Arial" w:ascii="Arial" w:hAnsi="Arial"/>
          <w:sz w:val="20"/>
          <w:szCs w:val="20"/>
        </w:rPr>
        <w:t>2.2.9. Для проката мостовых конструкций северного исполнения толщиной 10 мм и более излом надрезанных образцов толщиной, равной толщине листа, должен иметь волокнистое строение на площади не менее 50% для сталей марок 10ХСНД и 15ХСНД.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29"/>
      <w:bookmarkStart w:id="52" w:name="sub_2210"/>
      <w:bookmarkEnd w:id="51"/>
      <w:bookmarkEnd w:id="52"/>
      <w:r>
        <w:rPr>
          <w:rFonts w:cs="Arial" w:ascii="Arial" w:hAnsi="Arial"/>
          <w:sz w:val="20"/>
          <w:szCs w:val="20"/>
        </w:rPr>
        <w:t>2.2.10. Сплощность проката должна соответствовать классам 1, 2 ГОСТ 22727.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210"/>
      <w:bookmarkStart w:id="54" w:name="sub_2211"/>
      <w:bookmarkEnd w:id="53"/>
      <w:bookmarkEnd w:id="54"/>
      <w:r>
        <w:rPr>
          <w:rFonts w:cs="Arial" w:ascii="Arial" w:hAnsi="Arial"/>
          <w:sz w:val="20"/>
          <w:szCs w:val="20"/>
        </w:rPr>
        <w:t>2.2.11. Поверхность листового и широкополосного проката должна удовлетворять требованиям ГОСТ 14637, а фасонного, полосового и сортового - требованиям ГОСТ 535.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211"/>
      <w:bookmarkStart w:id="56" w:name="sub_2212"/>
      <w:bookmarkEnd w:id="55"/>
      <w:bookmarkEnd w:id="56"/>
      <w:r>
        <w:rPr>
          <w:rFonts w:cs="Arial" w:ascii="Arial" w:hAnsi="Arial"/>
          <w:sz w:val="20"/>
          <w:szCs w:val="20"/>
        </w:rPr>
        <w:t>2.2.12. Листы должны быть обрезаны со всех сторон. На кромках листов не должно быть надрывов, следов усадочной раковины, рыхлости и газовых пузырей.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212"/>
      <w:bookmarkEnd w:id="57"/>
      <w:r>
        <w:rPr>
          <w:rFonts w:cs="Arial" w:ascii="Arial" w:hAnsi="Arial"/>
          <w:sz w:val="20"/>
          <w:szCs w:val="20"/>
        </w:rPr>
        <w:t>По согласованию изготовителя с потребителем допускается изготовление листов без обрезки продольных кромок.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Расслоение проката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Листы, прокатанные на станках непрерывной прокатки, допускается изготовлять с необрезанными (катаными) кромками. Имеющиеся на кромках надрывы не должны превышать половины допускаемого отклонения по ширине листа, а также выводить лист за номинальный размер по ширине.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213"/>
      <w:bookmarkEnd w:id="58"/>
      <w:r>
        <w:rPr>
          <w:rFonts w:cs="Arial" w:ascii="Arial" w:hAnsi="Arial"/>
          <w:sz w:val="20"/>
          <w:szCs w:val="20"/>
        </w:rPr>
        <w:t>2.2.13. Заварка и заделка дефектов на поверхности и кромках, листов, полос и профилей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213"/>
      <w:bookmarkStart w:id="60" w:name="sub_23"/>
      <w:bookmarkEnd w:id="59"/>
      <w:bookmarkEnd w:id="60"/>
      <w:r>
        <w:rPr>
          <w:rFonts w:cs="Arial" w:ascii="Arial" w:hAnsi="Arial"/>
          <w:sz w:val="20"/>
          <w:szCs w:val="20"/>
        </w:rPr>
        <w:t>2.3. Маркировка проката - по ГОСТ 7566.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3"/>
      <w:bookmarkStart w:id="62" w:name="sub_231"/>
      <w:bookmarkEnd w:id="61"/>
      <w:bookmarkEnd w:id="62"/>
      <w:r>
        <w:rPr>
          <w:rFonts w:cs="Arial" w:ascii="Arial" w:hAnsi="Arial"/>
          <w:sz w:val="20"/>
          <w:szCs w:val="20"/>
        </w:rPr>
        <w:t>2.3.1. Транспортная маркировка - по ГОСТ 14192.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31"/>
      <w:bookmarkStart w:id="64" w:name="sub_24"/>
      <w:bookmarkEnd w:id="63"/>
      <w:bookmarkEnd w:id="64"/>
      <w:r>
        <w:rPr>
          <w:rFonts w:cs="Arial" w:ascii="Arial" w:hAnsi="Arial"/>
          <w:sz w:val="20"/>
          <w:szCs w:val="20"/>
        </w:rPr>
        <w:t>2.4. Упаковка, формирование пачек и связок проката - по ГОСТ 7566.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4"/>
      <w:bookmarkStart w:id="66" w:name="sub_241"/>
      <w:bookmarkEnd w:id="65"/>
      <w:bookmarkEnd w:id="66"/>
      <w:r>
        <w:rPr>
          <w:rFonts w:cs="Arial" w:ascii="Arial" w:hAnsi="Arial"/>
          <w:sz w:val="20"/>
          <w:szCs w:val="20"/>
        </w:rPr>
        <w:t>2.4.1. Упаковка проката для районов Крайнего Севера и приравненных к ним районов - по ГОСТ 15846.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241"/>
      <w:bookmarkStart w:id="68" w:name="sub_241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9" w:name="sub_3"/>
      <w:bookmarkEnd w:id="69"/>
      <w:r>
        <w:rPr>
          <w:rFonts w:cs="Arial" w:ascii="Arial" w:hAnsi="Arial"/>
          <w:b/>
          <w:bCs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0" w:name="sub_3"/>
      <w:bookmarkStart w:id="71" w:name="sub_3"/>
      <w:bookmarkEnd w:id="7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31"/>
      <w:bookmarkEnd w:id="72"/>
      <w:r>
        <w:rPr>
          <w:rFonts w:cs="Arial" w:ascii="Arial" w:hAnsi="Arial"/>
          <w:sz w:val="20"/>
          <w:szCs w:val="20"/>
        </w:rPr>
        <w:t>3.1. Прокат предъявляют к приемке партиями. Партия проката, изготовленного из слябов с установок непрерывной разливки стали, должна состоять из проката одной марки, одной толщины, одного режима термической обработки, а партия проката из слитков - также из одной плавки - ковша. В смежных плавках с установок непрерывной разливки при формировании партий разница в массовой доле углерода не должна превышать 0,04%, а в массовой доле марганца - 0,15% (по анализу ковшевой пробы).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1"/>
      <w:bookmarkEnd w:id="73"/>
      <w:r>
        <w:rPr>
          <w:rFonts w:cs="Arial" w:ascii="Arial" w:hAnsi="Arial"/>
          <w:sz w:val="20"/>
          <w:szCs w:val="20"/>
        </w:rPr>
        <w:t>Партию допускается комплектовать из: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профилей, отличающихся по толщине стенки или диаметру не более чем на 3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листов и полос толщиной до 10 мм включительно, отличающихся по толщине не более чем на 2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листов и полос толщиной более 10 мм, отличающихся по толщине не более чем на 4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Каждая партия сопровождается документом о качестве по ГОСТ 7566 с указанием дополнительных данных: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категории проката;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вида и режима термической обработки (если, она производилась);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изготовления слябов на установке непрерывной разливки;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результатов проверки сплошности ультразвуком (если она производилась).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проката, предназначенного для изготовления мостовых конструкций северного исполнения, масса партии не должна быть более 25 т, а для конструкции обычного исполнения из проката категории 3 - не более 75 т, в остальных случаях - не более массы плавки - ковша.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11"/>
      <w:bookmarkEnd w:id="74"/>
      <w:r>
        <w:rPr>
          <w:rFonts w:cs="Arial" w:ascii="Arial" w:hAnsi="Arial"/>
          <w:sz w:val="20"/>
          <w:szCs w:val="20"/>
        </w:rPr>
        <w:t>3.1.1. Для проверки качества проката от каждой партии отбирают два листа, две полосы или два других профиля. По требованию потребителя листовой и широкополосный прокат для мостовых конструкций северного исполнения толщиной 10 мм и более контролируют на каждом листе и полосе.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11"/>
      <w:bookmarkStart w:id="76" w:name="sub_312"/>
      <w:bookmarkEnd w:id="75"/>
      <w:bookmarkEnd w:id="76"/>
      <w:r>
        <w:rPr>
          <w:rFonts w:cs="Arial" w:ascii="Arial" w:hAnsi="Arial"/>
          <w:sz w:val="20"/>
          <w:szCs w:val="20"/>
        </w:rPr>
        <w:t>3.1.2. Проверку сплошности толстолистового проката для мостовых конструкций северного исполнения проводят на каждом листе, толстолистового и широкополосного проката для мостовых конструкций обычного исполнения - по согласованию изготовителя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312"/>
      <w:bookmarkStart w:id="78" w:name="sub_313"/>
      <w:bookmarkEnd w:id="77"/>
      <w:bookmarkEnd w:id="78"/>
      <w:r>
        <w:rPr>
          <w:rFonts w:cs="Arial" w:ascii="Arial" w:hAnsi="Arial"/>
          <w:sz w:val="20"/>
          <w:szCs w:val="20"/>
        </w:rPr>
        <w:t>3.1.3. При получении неудовлетворительных результатов испытаний хотя бы по одному из показателей повторные испытания проводят на выборке, отобранной по ГОСТ 7566.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313"/>
      <w:bookmarkEnd w:id="79"/>
      <w:r>
        <w:rPr>
          <w:rFonts w:cs="Arial" w:ascii="Arial" w:hAnsi="Arial"/>
          <w:sz w:val="20"/>
          <w:szCs w:val="20"/>
        </w:rPr>
        <w:t>Результаты повторных испытаний распространяются на всю партию.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0" w:name="sub_4"/>
      <w:bookmarkEnd w:id="80"/>
      <w:r>
        <w:rPr>
          <w:rFonts w:cs="Arial" w:ascii="Arial" w:hAnsi="Arial"/>
          <w:b/>
          <w:bCs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1" w:name="sub_4"/>
      <w:bookmarkStart w:id="82" w:name="sub_4"/>
      <w:bookmarkEnd w:id="8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41"/>
      <w:bookmarkEnd w:id="83"/>
      <w:r>
        <w:rPr>
          <w:rFonts w:cs="Arial" w:ascii="Arial" w:hAnsi="Arial"/>
          <w:sz w:val="20"/>
          <w:szCs w:val="20"/>
        </w:rPr>
        <w:t>4.1. Для химического анализа пробы отбирают в соответствии с требованиями ГОСТ 7565.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1"/>
      <w:bookmarkEnd w:id="84"/>
      <w:r>
        <w:rPr>
          <w:rFonts w:cs="Arial" w:ascii="Arial" w:hAnsi="Arial"/>
          <w:sz w:val="20"/>
          <w:szCs w:val="20"/>
        </w:rPr>
        <w:t>Химический анализ проводят по ГОСТ 12359, ГОСТ 18895, ГОСТ 22536.0 - ГОСТ 22536.12, ГОСТ 27809, ГОСТ 28473. Допускается применение других методов, обеспечивающих необходимую точность анализа.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возникновении разногласий применяют стандартные методы, указанные в настоящем стандарте.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2"/>
      <w:bookmarkEnd w:id="85"/>
      <w:r>
        <w:rPr>
          <w:rFonts w:cs="Arial" w:ascii="Arial" w:hAnsi="Arial"/>
          <w:sz w:val="20"/>
          <w:szCs w:val="20"/>
        </w:rPr>
        <w:t>4.2. Отбор проб для механических и технологических испытаний (на растяжение, ударную вязкость и изгиб) проводят по ГОСТ 7564.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2"/>
      <w:bookmarkStart w:id="87" w:name="sub_43"/>
      <w:bookmarkEnd w:id="86"/>
      <w:bookmarkEnd w:id="87"/>
      <w:r>
        <w:rPr>
          <w:rFonts w:cs="Arial" w:ascii="Arial" w:hAnsi="Arial"/>
          <w:sz w:val="20"/>
          <w:szCs w:val="20"/>
        </w:rPr>
        <w:t>4.3. Для определения ударной вязкости отбирают по два образца от каждого из двух листов, полос и других профилей в состоянии поставки и после механического старения и три образца типа II от одного листа каждой плавки.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3"/>
      <w:bookmarkEnd w:id="88"/>
      <w:r>
        <w:rPr>
          <w:rFonts w:cs="Arial" w:ascii="Arial" w:hAnsi="Arial"/>
          <w:sz w:val="20"/>
          <w:szCs w:val="20"/>
        </w:rPr>
        <w:t>Образцы для испытания листового проката, кроме образцов на ударный изгиб типа II, вырезают поперек направления прокатки, а образцы из широкополосного (универсального), полосового, фасонного, сортового проката и на ударный изгиб типа II вырезают вдоль направления прокатки.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испытания на растяжение и изгиб - два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испытания на излом и для определения волокнистости излома - один образец.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отсутствие расслоения проверяют все листы, полосы и профили. Допускается у потребителя отсутствие расслоения контролировать после порезки, сварки, правки и других технологических операций.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4"/>
      <w:bookmarkEnd w:id="89"/>
      <w:r>
        <w:rPr>
          <w:rFonts w:cs="Arial" w:ascii="Arial" w:hAnsi="Arial"/>
          <w:sz w:val="20"/>
          <w:szCs w:val="20"/>
        </w:rPr>
        <w:t>4.4. Качество поверхности проката контролируют визуально.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4"/>
      <w:bookmarkEnd w:id="90"/>
      <w:r>
        <w:rPr>
          <w:rFonts w:cs="Arial" w:ascii="Arial" w:hAnsi="Arial"/>
          <w:sz w:val="20"/>
          <w:szCs w:val="20"/>
        </w:rPr>
        <w:t>Прокат на отсутствие расслоений контролируют осмотром кромок и торцов без применения увеличительных приборов. Допускается также использование прибора типа ИГТ-10НК или других подобного класса. При визуальном обнаружении расслоения качество проката дополнительно проверяют снятием стружки. При этом раздвоение стружки служит признаком несплошности металла.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5"/>
      <w:bookmarkEnd w:id="91"/>
      <w:r>
        <w:rPr>
          <w:rFonts w:cs="Arial" w:ascii="Arial" w:hAnsi="Arial"/>
          <w:sz w:val="20"/>
          <w:szCs w:val="20"/>
        </w:rPr>
        <w:t>4.5. Отбор широких образцов для испытания на изгиб проводят по ГОСТ 5521.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5"/>
      <w:bookmarkStart w:id="93" w:name="sub_46"/>
      <w:bookmarkEnd w:id="92"/>
      <w:bookmarkEnd w:id="93"/>
      <w:r>
        <w:rPr>
          <w:rFonts w:cs="Arial" w:ascii="Arial" w:hAnsi="Arial"/>
          <w:sz w:val="20"/>
          <w:szCs w:val="20"/>
        </w:rPr>
        <w:t>4.6. Испытание на растяжение проводят по ГОСТ 1497.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6"/>
      <w:bookmarkStart w:id="95" w:name="sub_47"/>
      <w:bookmarkEnd w:id="94"/>
      <w:bookmarkEnd w:id="95"/>
      <w:r>
        <w:rPr>
          <w:rFonts w:cs="Arial" w:ascii="Arial" w:hAnsi="Arial"/>
          <w:sz w:val="20"/>
          <w:szCs w:val="20"/>
        </w:rPr>
        <w:t>4.7. Испытание на ударный изгиб проводят по ГОСТ 9454. Для проката толщиной от 5 до 10 мм испытание проводится на образцах типа 3, для проката толщиной 10 мм и более - типа I и II.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7"/>
      <w:bookmarkEnd w:id="96"/>
      <w:r>
        <w:rPr>
          <w:rFonts w:cs="Arial" w:ascii="Arial" w:hAnsi="Arial"/>
          <w:sz w:val="20"/>
          <w:szCs w:val="20"/>
        </w:rPr>
        <w:t>Для образцов из проката толщиной 5 и 10 мм допускается две необработанные поверхности; допускается испытание образцов этих толщин из проката с минусовым допуском.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8"/>
      <w:bookmarkEnd w:id="97"/>
      <w:r>
        <w:rPr>
          <w:rFonts w:cs="Arial" w:ascii="Arial" w:hAnsi="Arial"/>
          <w:sz w:val="20"/>
          <w:szCs w:val="20"/>
        </w:rPr>
        <w:t>4.8. Определение ударной вязкости после механического старения проводят по ГОСТ 7268. Для термоулучшенного проката допускается предварительное деформирование сжатием.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8"/>
      <w:bookmarkStart w:id="99" w:name="sub_49"/>
      <w:bookmarkEnd w:id="98"/>
      <w:bookmarkEnd w:id="99"/>
      <w:r>
        <w:rPr>
          <w:rFonts w:cs="Arial" w:ascii="Arial" w:hAnsi="Arial"/>
          <w:sz w:val="20"/>
          <w:szCs w:val="20"/>
        </w:rPr>
        <w:t>4.9. Испытание на изгиб проводят в соответствии с требованиями ГОСТ 14019 и ГОСТ 5521.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9"/>
      <w:bookmarkStart w:id="101" w:name="sub_410"/>
      <w:bookmarkEnd w:id="100"/>
      <w:bookmarkEnd w:id="101"/>
      <w:r>
        <w:rPr>
          <w:rFonts w:cs="Arial" w:ascii="Arial" w:hAnsi="Arial"/>
          <w:sz w:val="20"/>
          <w:szCs w:val="20"/>
        </w:rPr>
        <w:t>4.10. Образец на излом для проката из стали марок 15ХСНД, 10ХСНД и 16Д вырезают поперек направления прокатки из середины листа. Надрез выполняют механическим способом. Образец ломается статическим приложением нагрузки. Допускается излом на копре.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10"/>
      <w:bookmarkStart w:id="103" w:name="sub_411"/>
      <w:bookmarkEnd w:id="102"/>
      <w:bookmarkEnd w:id="103"/>
      <w:r>
        <w:rPr>
          <w:rFonts w:cs="Arial" w:ascii="Arial" w:hAnsi="Arial"/>
          <w:sz w:val="20"/>
          <w:szCs w:val="20"/>
        </w:rPr>
        <w:t>4.11. Определение структуры в изломе и площади излома с волокнистым строением для стали марок 15ХСНД, 10ХСНД и 16Д проводят по ГОСТ 5521.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11"/>
      <w:bookmarkStart w:id="105" w:name="sub_412"/>
      <w:bookmarkEnd w:id="104"/>
      <w:bookmarkEnd w:id="105"/>
      <w:r>
        <w:rPr>
          <w:rFonts w:cs="Arial" w:ascii="Arial" w:hAnsi="Arial"/>
          <w:sz w:val="20"/>
          <w:szCs w:val="20"/>
        </w:rPr>
        <w:t>4.12. Сплошность толстолистового проката проверяют ультразвуковым контролем по ГОСТ 22727.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412"/>
      <w:bookmarkStart w:id="107" w:name="sub_412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8" w:name="sub_5"/>
      <w:bookmarkEnd w:id="108"/>
      <w:r>
        <w:rPr>
          <w:rFonts w:cs="Arial" w:ascii="Arial" w:hAnsi="Arial"/>
          <w:b/>
          <w:bCs/>
          <w:sz w:val="20"/>
          <w:szCs w:val="20"/>
        </w:rPr>
        <w:t>5.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9" w:name="sub_5"/>
      <w:bookmarkStart w:id="110" w:name="sub_5"/>
      <w:bookmarkEnd w:id="11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51"/>
      <w:bookmarkEnd w:id="111"/>
      <w:r>
        <w:rPr>
          <w:rFonts w:cs="Arial" w:ascii="Arial" w:hAnsi="Arial"/>
          <w:sz w:val="20"/>
          <w:szCs w:val="20"/>
        </w:rPr>
        <w:t>5.1. Транспортирование и хранение - по ГОСТ 7566 с дополнениями.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51"/>
      <w:bookmarkStart w:id="113" w:name="sub_52"/>
      <w:bookmarkEnd w:id="112"/>
      <w:bookmarkEnd w:id="113"/>
      <w:r>
        <w:rPr>
          <w:rFonts w:cs="Arial" w:ascii="Arial" w:hAnsi="Arial"/>
          <w:sz w:val="20"/>
          <w:szCs w:val="20"/>
        </w:rPr>
        <w:t>5.2. Прокат транспортируют железнодорожным транспортом на открытом подвижном составе в соответствии с правилами перевозки грузов, действующими на транспорте данного вида. Вид отправки - повагонная.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2"/>
      <w:bookmarkEnd w:id="114"/>
      <w:r>
        <w:rPr>
          <w:rFonts w:cs="Arial" w:ascii="Arial" w:hAnsi="Arial"/>
          <w:sz w:val="20"/>
          <w:szCs w:val="20"/>
        </w:rPr>
        <w:t>Погрузка, крепление и размещение проката должны осуществляться в соответствии с техническими условиями погрузки и крепления грузов, утвержденными Министерством путей сообщения и ГОСТ 22235.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2007-03-29T08:44:00Z</dcterms:created>
  <dc:creator>VIKTOR</dc:creator>
  <dc:description/>
  <dc:language>ru-RU</dc:language>
  <cp:lastModifiedBy>VIKTOR</cp:lastModifiedBy>
  <dcterms:modified xsi:type="dcterms:W3CDTF">2007-03-29T08:44:00Z</dcterms:modified>
  <cp:revision>2</cp:revision>
  <dc:subject/>
  <dc:title/>
</cp:coreProperties>
</file>