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661"/>
      <w:bookmarkEnd w:id="0"/>
      <w:r>
        <w:rPr>
          <w:rFonts w:cs="Arial" w:ascii="Arial" w:hAnsi="Arial"/>
          <w:b/>
          <w:bCs/>
          <w:sz w:val="20"/>
          <w:szCs w:val="20"/>
        </w:rPr>
        <w:t>Государственный стандарт СССР ГОСТ 4609-49</w:t>
        <w:br/>
        <w:t>"Оборудование сливо-наливное для горючих и легковоспламеняющихся</w:t>
        <w:br/>
        <w:t>жидкостей. Стояк сливо-наливной одиночный с ручным насосом"</w:t>
        <w:br/>
        <w:t>(утв. Всесоюзным комитетом стандартов 12 января 1949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661"/>
      <w:bookmarkStart w:id="2" w:name="sub_661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sz w:val="20"/>
          <w:szCs w:val="20"/>
          <w:lang w:val="en-US"/>
        </w:rPr>
        <w:t>Filling-draining equipment for flammablehighly inflammable fluids.filling-draining standpipe with hand manual pump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мая 1949 г.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 впервые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6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Технические условия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6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Методы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одиночные сливо-наливные стояки, служащие для ручного, механизированного или самотечного слива горючих и легковоспламеняющихся жидкостей из вагонов-цистерн с помощью ручного насоса, а также для налива в вагоны-цистерны перекачивающими средствами базы или склада горючего.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устанавливает внешние строительные и монтажные размеры стояков.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На складах горючих и легковоспламеняющихся жидкостей с емкостью хранения продукта до 300 т, а также на складах Министерства обороны СССР допускается применение сливо-наливных стояков других типов.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" w:name="sub_100"/>
      <w:bookmarkEnd w:id="3"/>
      <w:r>
        <w:rPr>
          <w:rFonts w:cs="Arial" w:ascii="Arial" w:hAnsi="Arial"/>
          <w:b/>
          <w:bCs/>
          <w:sz w:val="20"/>
          <w:szCs w:val="20"/>
        </w:rPr>
        <w:t>1. Технические условия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" w:name="sub_100"/>
      <w:bookmarkStart w:id="5" w:name="sub_100"/>
      <w:bookmarkEnd w:id="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"/>
      <w:bookmarkEnd w:id="6"/>
      <w:r>
        <w:rPr>
          <w:rFonts w:cs="Arial" w:ascii="Arial" w:hAnsi="Arial"/>
          <w:sz w:val="20"/>
          <w:szCs w:val="20"/>
        </w:rPr>
        <w:t>1. В зависимости от величины условного прохода D_y различают следующие марки стояков: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" w:name="sub_1"/>
      <w:bookmarkStart w:id="8" w:name="sub_1"/>
      <w:bookmarkEnd w:id="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С80    - при D_y  80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С100      "  D_y 100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2"/>
      <w:bookmarkEnd w:id="9"/>
      <w:r>
        <w:rPr>
          <w:rFonts w:cs="Arial" w:ascii="Arial" w:hAnsi="Arial"/>
          <w:sz w:val="20"/>
          <w:szCs w:val="20"/>
        </w:rPr>
        <w:t>2. При выборе диаметра стояков рекомендуется руководствоваться следующими основными соображениями: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2"/>
      <w:bookmarkStart w:id="11" w:name="sub_21"/>
      <w:bookmarkEnd w:id="10"/>
      <w:bookmarkEnd w:id="11"/>
      <w:r>
        <w:rPr>
          <w:rFonts w:cs="Arial" w:ascii="Arial" w:hAnsi="Arial"/>
          <w:sz w:val="20"/>
          <w:szCs w:val="20"/>
        </w:rPr>
        <w:t>а) стояки с D_y 80 мм рекомендуется применять при отсутствии обеспеченного самотечного слива, когда слив от начала до конца производится ручным насосом или когда ручной насос служит только для зарядки сифона, а дальнейшая откачка про изводится центробежным насосом с низкой всасывающей способностью (2-3 м);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21"/>
      <w:bookmarkStart w:id="13" w:name="sub_22"/>
      <w:bookmarkEnd w:id="12"/>
      <w:bookmarkEnd w:id="13"/>
      <w:r>
        <w:rPr>
          <w:rFonts w:cs="Arial" w:ascii="Arial" w:hAnsi="Arial"/>
          <w:sz w:val="20"/>
          <w:szCs w:val="20"/>
        </w:rPr>
        <w:t>б) стояки с D_y 100 мм рекомендуется применять во всех остальных случаях, когда слив надежно обеспечивается самотеком или производится при помощи поршневых насосов или иных, гарантирующих надежное всасывание.</w:t>
      </w:r>
    </w:p>
    <w:p>
      <w:pPr>
        <w:pStyle w:val="Normal"/>
        <w:autoSpaceDE w:val="false"/>
        <w:ind w:firstLine="720"/>
        <w:jc w:val="both"/>
        <w:rPr/>
      </w:pPr>
      <w:bookmarkStart w:id="14" w:name="sub_22"/>
      <w:bookmarkStart w:id="15" w:name="sub_3"/>
      <w:bookmarkEnd w:id="14"/>
      <w:bookmarkEnd w:id="15"/>
      <w:r>
        <w:rPr>
          <w:rFonts w:cs="Arial" w:ascii="Arial" w:hAnsi="Arial"/>
          <w:sz w:val="20"/>
          <w:szCs w:val="20"/>
        </w:rPr>
        <w:t xml:space="preserve">3. Конструкция и размеры стояка должны соответствовать указанным в таблице и на </w:t>
      </w:r>
      <w:hyperlink w:anchor="sub_111">
        <w:r>
          <w:rPr>
            <w:rStyle w:val="Style16"/>
            <w:rFonts w:cs="Arial" w:ascii="Arial" w:hAnsi="Arial"/>
            <w:sz w:val="20"/>
            <w:szCs w:val="20"/>
            <w:u w:val="single"/>
          </w:rPr>
          <w:t>чертеже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3"/>
      <w:bookmarkStart w:id="17" w:name="sub_3"/>
      <w:bookmarkEnd w:id="1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" w:name="sub_333"/>
      <w:bookmarkEnd w:id="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┌────────────────┬─────────────────┬──────────────────┬─────────────────┐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333"/>
      <w:bookmarkEnd w:id="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стояков  │        D        │       D_y        │        А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С80       │     89X4-5      │        80        │       150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С100      │     108Х4-5     │       100        │       160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└────────────────┴─────────────────┴──────────────────┴─────────────────┘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31"/>
      <w:bookmarkEnd w:id="20"/>
      <w:r>
        <w:rPr>
          <w:rFonts w:cs="Arial" w:ascii="Arial" w:hAnsi="Arial"/>
          <w:sz w:val="20"/>
          <w:szCs w:val="20"/>
        </w:rPr>
        <w:t>1. На складах горючих или легковоспламеняющихся жидкостей с незначительным прибытием железнодорожных цистерн под слив или налив (склады при промпредприятиях, Министерства обороны СССР и т.п.) устройство зачистного шланга не обязательно (устройство подкоса, приваренного к стояку 8 косынками, обязательно во всех случаях).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31"/>
      <w:bookmarkStart w:id="22" w:name="sub_32"/>
      <w:bookmarkEnd w:id="21"/>
      <w:bookmarkEnd w:id="22"/>
      <w:r>
        <w:rPr>
          <w:rFonts w:cs="Arial" w:ascii="Arial" w:hAnsi="Arial"/>
          <w:sz w:val="20"/>
          <w:szCs w:val="20"/>
        </w:rPr>
        <w:t>2. Заземление стояка осуществляется по проекту.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32"/>
      <w:bookmarkStart w:id="24" w:name="sub_32"/>
      <w:bookmarkEnd w:id="2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4"/>
      <w:bookmarkEnd w:id="25"/>
      <w:r>
        <w:rPr>
          <w:rFonts w:cs="Arial" w:ascii="Arial" w:hAnsi="Arial"/>
          <w:sz w:val="20"/>
          <w:szCs w:val="20"/>
        </w:rPr>
        <w:t>4. Допускаемые отклонения в размерах устанавливаются следующие: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" w:name="sub_4"/>
      <w:bookmarkEnd w:id="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а) по высоте стояка                             +- 50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"  вылету стояка                              + 20 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в) "  размеру А                                 +-  2 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г) "  всем остальным размерам                   +- 10 "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5"/>
      <w:bookmarkEnd w:id="27"/>
      <w:r>
        <w:rPr>
          <w:rFonts w:cs="Arial" w:ascii="Arial" w:hAnsi="Arial"/>
          <w:sz w:val="20"/>
          <w:szCs w:val="20"/>
        </w:rPr>
        <w:t>5. Для изготовления стояка должны применятся следующие материалы и изделия: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5"/>
      <w:bookmarkStart w:id="29" w:name="sub_51"/>
      <w:bookmarkEnd w:id="28"/>
      <w:bookmarkEnd w:id="29"/>
      <w:r>
        <w:rPr>
          <w:rFonts w:cs="Arial" w:ascii="Arial" w:hAnsi="Arial"/>
          <w:sz w:val="20"/>
          <w:szCs w:val="20"/>
        </w:rPr>
        <w:t>а) для собственно стояка, обвязки насоса и гнутых отводов - трубы стальные бесшовные по ГОСТ 8731-74 и ГОСТ 8732-78;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51"/>
      <w:bookmarkStart w:id="31" w:name="sub_52"/>
      <w:bookmarkEnd w:id="30"/>
      <w:bookmarkEnd w:id="31"/>
      <w:r>
        <w:rPr>
          <w:rFonts w:cs="Arial" w:ascii="Arial" w:hAnsi="Arial"/>
          <w:sz w:val="20"/>
          <w:szCs w:val="20"/>
        </w:rPr>
        <w:t>б) для опорных стоек стояка и насоса - сталь прокатная (швеллер N 16) по ГОСТ 8240-72 (любой марки);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52"/>
      <w:bookmarkStart w:id="33" w:name="sub_53"/>
      <w:bookmarkEnd w:id="32"/>
      <w:bookmarkEnd w:id="33"/>
      <w:r>
        <w:rPr>
          <w:rFonts w:cs="Arial" w:ascii="Arial" w:hAnsi="Arial"/>
          <w:sz w:val="20"/>
          <w:szCs w:val="20"/>
        </w:rPr>
        <w:t>в) для опор насоса - сталь прокатная (любой марки) по ГОСТ 8510-72;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53"/>
      <w:bookmarkStart w:id="35" w:name="sub_53"/>
      <w:bookmarkEnd w:id="3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6" w:name="sub_264930440"/>
      <w:bookmarkEnd w:id="36"/>
      <w:r>
        <w:rPr>
          <w:rFonts w:cs="Arial" w:ascii="Arial" w:hAnsi="Arial"/>
          <w:i/>
          <w:iCs/>
          <w:sz w:val="20"/>
          <w:szCs w:val="20"/>
        </w:rPr>
        <w:t>Взамен ГОСТ 8510-72 постановлением Госстандарта СССР от 15 октября 1986 г. N 3082 с 1 июля 1987 г. введен в действие ГОСТ 8510-86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7" w:name="sub_264930440"/>
      <w:bookmarkStart w:id="38" w:name="sub_264930440"/>
      <w:bookmarkEnd w:id="3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54"/>
      <w:bookmarkEnd w:id="39"/>
      <w:r>
        <w:rPr>
          <w:rFonts w:cs="Arial" w:ascii="Arial" w:hAnsi="Arial"/>
          <w:sz w:val="20"/>
          <w:szCs w:val="20"/>
        </w:rPr>
        <w:t>г) для хомутов, накладок, косынок, подкладок и заглушки - прокат листовой (любой марки) по ГОСТ 19903-74;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54"/>
      <w:bookmarkStart w:id="41" w:name="sub_55"/>
      <w:bookmarkEnd w:id="40"/>
      <w:bookmarkEnd w:id="41"/>
      <w:r>
        <w:rPr>
          <w:rFonts w:cs="Arial" w:ascii="Arial" w:hAnsi="Arial"/>
          <w:sz w:val="20"/>
          <w:szCs w:val="20"/>
        </w:rPr>
        <w:t>д) для ограничителя, стопора ограничителя, рукоятки для по ворота стояка - сталь круглая (любой марки) по ГОСТ 2590-71;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55"/>
      <w:bookmarkStart w:id="43" w:name="sub_55"/>
      <w:bookmarkEnd w:id="4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44" w:name="sub_264930908"/>
      <w:bookmarkEnd w:id="44"/>
      <w:r>
        <w:rPr>
          <w:rFonts w:cs="Arial" w:ascii="Arial" w:hAnsi="Arial"/>
          <w:i/>
          <w:iCs/>
          <w:sz w:val="20"/>
          <w:szCs w:val="20"/>
        </w:rPr>
        <w:t>Взамен ГОСТ 2590-71 постановлением Госстандарта СССР от 29 июня 1988 г. N 2519 с 1 января 1990 г. введен в действие ГОСТ 2590-88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45" w:name="sub_264930908"/>
      <w:bookmarkStart w:id="46" w:name="sub_264930908"/>
      <w:bookmarkEnd w:id="46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56"/>
      <w:bookmarkEnd w:id="47"/>
      <w:r>
        <w:rPr>
          <w:rFonts w:cs="Arial" w:ascii="Arial" w:hAnsi="Arial"/>
          <w:sz w:val="20"/>
          <w:szCs w:val="20"/>
        </w:rPr>
        <w:t>е) для гибких шлангов - резиновые рукава по ГОСТ 5398-76;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56"/>
      <w:bookmarkStart w:id="49" w:name="sub_57"/>
      <w:bookmarkEnd w:id="48"/>
      <w:bookmarkEnd w:id="49"/>
      <w:r>
        <w:rPr>
          <w:rFonts w:cs="Arial" w:ascii="Arial" w:hAnsi="Arial"/>
          <w:sz w:val="20"/>
          <w:szCs w:val="20"/>
        </w:rPr>
        <w:t>ж) устройство для соединения гибких шлангов с трубами (изготовляется по отдельным рабочим чертежам);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57"/>
      <w:bookmarkStart w:id="51" w:name="sub_58"/>
      <w:bookmarkEnd w:id="50"/>
      <w:bookmarkEnd w:id="51"/>
      <w:r>
        <w:rPr>
          <w:rFonts w:cs="Arial" w:ascii="Arial" w:hAnsi="Arial"/>
          <w:sz w:val="20"/>
          <w:szCs w:val="20"/>
        </w:rPr>
        <w:t>з) поворотный сальник;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58"/>
      <w:bookmarkStart w:id="53" w:name="sub_59"/>
      <w:bookmarkEnd w:id="52"/>
      <w:bookmarkEnd w:id="53"/>
      <w:r>
        <w:rPr>
          <w:rFonts w:cs="Arial" w:ascii="Arial" w:hAnsi="Arial"/>
          <w:sz w:val="20"/>
          <w:szCs w:val="20"/>
        </w:rPr>
        <w:t>и) наконечники к шлангам;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59"/>
      <w:bookmarkStart w:id="55" w:name="sub_510"/>
      <w:bookmarkEnd w:id="54"/>
      <w:bookmarkEnd w:id="55"/>
      <w:r>
        <w:rPr>
          <w:rFonts w:cs="Arial" w:ascii="Arial" w:hAnsi="Arial"/>
          <w:sz w:val="20"/>
          <w:szCs w:val="20"/>
        </w:rPr>
        <w:t>к) задвижки чугунные на давление 2,5-6,0 кгс/см2 - по ГОСТ 3706-83;.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510"/>
      <w:bookmarkStart w:id="57" w:name="sub_511"/>
      <w:bookmarkEnd w:id="56"/>
      <w:bookmarkEnd w:id="57"/>
      <w:r>
        <w:rPr>
          <w:rFonts w:cs="Arial" w:ascii="Arial" w:hAnsi="Arial"/>
          <w:sz w:val="20"/>
          <w:szCs w:val="20"/>
        </w:rPr>
        <w:t>л) вентиль - по ГОСТ 5761-74;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511"/>
      <w:bookmarkStart w:id="59" w:name="sub_512"/>
      <w:bookmarkEnd w:id="58"/>
      <w:bookmarkEnd w:id="59"/>
      <w:r>
        <w:rPr>
          <w:rFonts w:cs="Arial" w:ascii="Arial" w:hAnsi="Arial"/>
          <w:sz w:val="20"/>
          <w:szCs w:val="20"/>
        </w:rPr>
        <w:t>м) фланцы стальные - по ГОСТ 12820-80;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512"/>
      <w:bookmarkStart w:id="61" w:name="sub_513"/>
      <w:bookmarkEnd w:id="60"/>
      <w:bookmarkEnd w:id="61"/>
      <w:r>
        <w:rPr>
          <w:rFonts w:cs="Arial" w:ascii="Arial" w:hAnsi="Arial"/>
          <w:sz w:val="20"/>
          <w:szCs w:val="20"/>
        </w:rPr>
        <w:t>н) болты - по ГОСТ 7795-70;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513"/>
      <w:bookmarkStart w:id="63" w:name="sub_514"/>
      <w:bookmarkEnd w:id="62"/>
      <w:bookmarkEnd w:id="63"/>
      <w:r>
        <w:rPr>
          <w:rFonts w:cs="Arial" w:ascii="Arial" w:hAnsi="Arial"/>
          <w:sz w:val="20"/>
          <w:szCs w:val="20"/>
        </w:rPr>
        <w:t>о) гайки - по ГОСТ 5915-70, ГОСТ 5918-73;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514"/>
      <w:bookmarkStart w:id="65" w:name="sub_515"/>
      <w:bookmarkEnd w:id="64"/>
      <w:bookmarkEnd w:id="65"/>
      <w:r>
        <w:rPr>
          <w:rFonts w:cs="Arial" w:ascii="Arial" w:hAnsi="Arial"/>
          <w:sz w:val="20"/>
          <w:szCs w:val="20"/>
        </w:rPr>
        <w:t>п) шайбы - по ГОСТ 11371-78;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515"/>
      <w:bookmarkStart w:id="67" w:name="sub_516"/>
      <w:bookmarkEnd w:id="66"/>
      <w:bookmarkEnd w:id="67"/>
      <w:r>
        <w:rPr>
          <w:rFonts w:cs="Arial" w:ascii="Arial" w:hAnsi="Arial"/>
          <w:sz w:val="20"/>
          <w:szCs w:val="20"/>
        </w:rPr>
        <w:t>р) шплинты - по ГОСТ 397-79;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516"/>
      <w:bookmarkStart w:id="69" w:name="sub_517"/>
      <w:bookmarkEnd w:id="68"/>
      <w:bookmarkEnd w:id="69"/>
      <w:r>
        <w:rPr>
          <w:rFonts w:cs="Arial" w:ascii="Arial" w:hAnsi="Arial"/>
          <w:sz w:val="20"/>
          <w:szCs w:val="20"/>
        </w:rPr>
        <w:t>с) ручной насос производительностью 15-20 м3/ч;.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517"/>
      <w:bookmarkStart w:id="71" w:name="sub_518"/>
      <w:bookmarkEnd w:id="70"/>
      <w:bookmarkEnd w:id="71"/>
      <w:r>
        <w:rPr>
          <w:rFonts w:cs="Arial" w:ascii="Arial" w:hAnsi="Arial"/>
          <w:sz w:val="20"/>
          <w:szCs w:val="20"/>
        </w:rPr>
        <w:t>т) прокладки из тряпичного картона или фибры.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" w:name="sub_518"/>
      <w:bookmarkStart w:id="73" w:name="sub_518"/>
      <w:bookmarkEnd w:id="7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501"/>
      <w:bookmarkEnd w:id="74"/>
      <w:r>
        <w:rPr>
          <w:rFonts w:cs="Arial" w:ascii="Arial" w:hAnsi="Arial"/>
          <w:sz w:val="20"/>
          <w:szCs w:val="20"/>
        </w:rPr>
        <w:t>1. Опорные стойки стояка и насоса допускается изготовлять из уголков стальных по ГОСТ 8509-72 или ГОСТ 8510-72 равнопрочного швеллеру N 16 сечения.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" w:name="sub_501"/>
      <w:bookmarkStart w:id="76" w:name="sub_501"/>
      <w:bookmarkEnd w:id="7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7" w:name="sub_264953380"/>
      <w:bookmarkEnd w:id="77"/>
      <w:r>
        <w:rPr>
          <w:rFonts w:cs="Arial" w:ascii="Arial" w:hAnsi="Arial"/>
          <w:i/>
          <w:iCs/>
          <w:sz w:val="20"/>
          <w:szCs w:val="20"/>
        </w:rPr>
        <w:t>См. ГОСТ 8509-93 "Уголки стальные горячекатаные равнополочные. Сортамент", введенный в действие постановлением Госстандарта РФ от 20 февраля 1996 г. N 85 с 1 января 1997г.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8" w:name="sub_264953380"/>
      <w:bookmarkStart w:id="79" w:name="sub_264953380"/>
      <w:bookmarkEnd w:id="79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502"/>
      <w:bookmarkEnd w:id="80"/>
      <w:r>
        <w:rPr>
          <w:rFonts w:cs="Arial" w:ascii="Arial" w:hAnsi="Arial"/>
          <w:sz w:val="20"/>
          <w:szCs w:val="20"/>
        </w:rPr>
        <w:t>2. Все фланцевые соединения стояка должны иметь перемычки, изготовленные из полосы красной меди или латуни толщиной 0,5-1 мм, для создания непрерывности электрической цепи.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502"/>
      <w:bookmarkEnd w:id="81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345690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2" w:name="sub_111"/>
      <w:bookmarkEnd w:id="82"/>
      <w:r>
        <w:rPr>
          <w:rFonts w:cs="Arial" w:ascii="Arial" w:hAnsi="Arial"/>
          <w:sz w:val="20"/>
          <w:szCs w:val="20"/>
        </w:rPr>
        <w:t>"Конструкция и размеры стояка"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" w:name="sub_111"/>
      <w:bookmarkStart w:id="84" w:name="sub_111"/>
      <w:bookmarkEnd w:id="8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6"/>
      <w:bookmarkEnd w:id="85"/>
      <w:r>
        <w:rPr>
          <w:rFonts w:cs="Arial" w:ascii="Arial" w:hAnsi="Arial"/>
          <w:sz w:val="20"/>
          <w:szCs w:val="20"/>
        </w:rPr>
        <w:t>6. Изготовление стояка должно обеспечивать надежную работу всей конструкции в целом.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6"/>
      <w:bookmarkStart w:id="87" w:name="sub_7"/>
      <w:bookmarkEnd w:id="86"/>
      <w:bookmarkEnd w:id="87"/>
      <w:r>
        <w:rPr>
          <w:rFonts w:cs="Arial" w:ascii="Arial" w:hAnsi="Arial"/>
          <w:sz w:val="20"/>
          <w:szCs w:val="20"/>
        </w:rPr>
        <w:t>7. Резьбовые соединения должны быть на сурике или на свинцовом глете с подмоткой льняного волокна.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7"/>
      <w:bookmarkStart w:id="89" w:name="sub_8"/>
      <w:bookmarkEnd w:id="88"/>
      <w:bookmarkEnd w:id="89"/>
      <w:r>
        <w:rPr>
          <w:rFonts w:cs="Arial" w:ascii="Arial" w:hAnsi="Arial"/>
          <w:sz w:val="20"/>
          <w:szCs w:val="20"/>
        </w:rPr>
        <w:t>8. Ось стояка должна быть строго вертикальна.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8"/>
      <w:bookmarkStart w:id="91" w:name="sub_9"/>
      <w:bookmarkEnd w:id="90"/>
      <w:bookmarkEnd w:id="91"/>
      <w:r>
        <w:rPr>
          <w:rFonts w:cs="Arial" w:ascii="Arial" w:hAnsi="Arial"/>
          <w:sz w:val="20"/>
          <w:szCs w:val="20"/>
        </w:rPr>
        <w:t>9. Гнутье верхней части стояка производить в горячем состоянии во избежание трещин и вмятин в местах сгибов.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" w:name="sub_9"/>
      <w:bookmarkStart w:id="93" w:name="sub_9"/>
      <w:bookmarkEnd w:id="9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Изготовление стояка может быть осуществлено из отдельных отрезков трубы (не более двух) с последующей сваркой их встык.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10"/>
      <w:bookmarkEnd w:id="94"/>
      <w:r>
        <w:rPr>
          <w:rFonts w:cs="Arial" w:ascii="Arial" w:hAnsi="Arial"/>
          <w:sz w:val="20"/>
          <w:szCs w:val="20"/>
        </w:rPr>
        <w:t>10. После испытания и приемки стояка он должен быть окрашен масляной краской за 2 раза.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" w:name="sub_10"/>
      <w:bookmarkStart w:id="96" w:name="sub_10"/>
      <w:bookmarkEnd w:id="9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97" w:name="sub_200"/>
      <w:bookmarkEnd w:id="97"/>
      <w:r>
        <w:rPr>
          <w:rFonts w:cs="Arial" w:ascii="Arial" w:hAnsi="Arial"/>
          <w:b/>
          <w:bCs/>
          <w:sz w:val="20"/>
          <w:szCs w:val="20"/>
        </w:rPr>
        <w:t>II.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98" w:name="sub_200"/>
      <w:bookmarkStart w:id="99" w:name="sub_200"/>
      <w:bookmarkEnd w:id="9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11"/>
      <w:bookmarkEnd w:id="100"/>
      <w:r>
        <w:rPr>
          <w:rFonts w:cs="Arial" w:ascii="Arial" w:hAnsi="Arial"/>
          <w:sz w:val="20"/>
          <w:szCs w:val="20"/>
        </w:rPr>
        <w:t>11. Каждый изготовленный стояк должен быть подвергнут техническому контролю изготовителя.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11"/>
      <w:bookmarkEnd w:id="101"/>
      <w:r>
        <w:rPr>
          <w:rFonts w:cs="Arial" w:ascii="Arial" w:hAnsi="Arial"/>
          <w:sz w:val="20"/>
          <w:szCs w:val="20"/>
        </w:rPr>
        <w:t>Контроль производится посредством: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а) внешнего осмотра стояка с поверкой его размеров, форм и качества изготовления;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проверки легкости вращения верха стояка;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в) проверки герметичности и надежности работы всей конструкции в целом.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12"/>
      <w:bookmarkEnd w:id="102"/>
      <w:r>
        <w:rPr>
          <w:rFonts w:cs="Arial" w:ascii="Arial" w:hAnsi="Arial"/>
          <w:sz w:val="20"/>
          <w:szCs w:val="20"/>
        </w:rPr>
        <w:t>12. Внешним осмотром устанавливается соответствие всех составных частей стояка требованиям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12"/>
      <w:bookmarkStart w:id="104" w:name="sub_13"/>
      <w:bookmarkEnd w:id="103"/>
      <w:bookmarkEnd w:id="104"/>
      <w:r>
        <w:rPr>
          <w:rFonts w:cs="Arial" w:ascii="Arial" w:hAnsi="Arial"/>
          <w:sz w:val="20"/>
          <w:szCs w:val="20"/>
        </w:rPr>
        <w:t>13. Проверка на легкость вращения верха стояка осуществляется поворотом верха стояка за рукоятку. Верх стояка должен плавно, без заеданий поворачиваться в пределах, допускаемых ограничителем.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5" w:name="sub_13"/>
      <w:bookmarkStart w:id="106" w:name="sub_14"/>
      <w:bookmarkEnd w:id="105"/>
      <w:bookmarkEnd w:id="106"/>
      <w:r>
        <w:rPr>
          <w:rFonts w:cs="Arial" w:ascii="Arial" w:hAnsi="Arial"/>
          <w:sz w:val="20"/>
          <w:szCs w:val="20"/>
        </w:rPr>
        <w:t>14. Проверка герметичности и надежности работы всей конструкции в целом производится пробной прокачкой продукта, для которого предназначается стояк.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14"/>
      <w:bookmarkStart w:id="108" w:name="sub_15"/>
      <w:bookmarkEnd w:id="107"/>
      <w:bookmarkEnd w:id="108"/>
      <w:r>
        <w:rPr>
          <w:rFonts w:cs="Arial" w:ascii="Arial" w:hAnsi="Arial"/>
          <w:sz w:val="20"/>
          <w:szCs w:val="20"/>
        </w:rPr>
        <w:t>15. Стояк считается выдержавшим испытание, если в течение 15 мин после начала прокачки на теле стояка, в обвязке насоса, в фланцевых и резьбовых соединениях не будет наблюдаться течи.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15"/>
      <w:bookmarkEnd w:id="109"/>
      <w:r>
        <w:rPr>
          <w:rFonts w:cs="Arial" w:ascii="Arial" w:hAnsi="Arial"/>
          <w:sz w:val="20"/>
          <w:szCs w:val="20"/>
        </w:rPr>
        <w:t>При неудовлетворительных результатах этого испытания стояк приемке не подлежит.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0" w:name="sub_16"/>
      <w:bookmarkEnd w:id="110"/>
      <w:r>
        <w:rPr>
          <w:rFonts w:cs="Arial" w:ascii="Arial" w:hAnsi="Arial"/>
          <w:sz w:val="20"/>
          <w:szCs w:val="20"/>
        </w:rPr>
        <w:t>16. Все обнаруженные при проверках дефекты должны быть устранены.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1" w:name="sub_16"/>
      <w:bookmarkStart w:id="112" w:name="sub_17"/>
      <w:bookmarkEnd w:id="111"/>
      <w:bookmarkEnd w:id="112"/>
      <w:r>
        <w:rPr>
          <w:rFonts w:cs="Arial" w:ascii="Arial" w:hAnsi="Arial"/>
          <w:sz w:val="20"/>
          <w:szCs w:val="20"/>
        </w:rPr>
        <w:t>17. Дефекты сварных швов устраняются вторичной подваркой с предварительной зачисткой их. Подчеканка швов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3" w:name="sub_17"/>
      <w:bookmarkStart w:id="114" w:name="sub_18"/>
      <w:bookmarkEnd w:id="113"/>
      <w:bookmarkEnd w:id="114"/>
      <w:r>
        <w:rPr>
          <w:rFonts w:cs="Arial" w:ascii="Arial" w:hAnsi="Arial"/>
          <w:sz w:val="20"/>
          <w:szCs w:val="20"/>
        </w:rPr>
        <w:t>18. После устранения дефектов стояк должен быть подвергнут повторному испытанию.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" w:name="sub_18"/>
      <w:bookmarkStart w:id="116" w:name="sub_18"/>
      <w:bookmarkEnd w:id="11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Courier New">
    <w:charset w:val="cc" w:characterSet="windows-1251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autoSpaceDE w:val="false"/>
      <w:spacing w:before="108" w:after="108"/>
      <w:jc w:val="center"/>
      <w:outlineLvl w:val="0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styleId="Style13">
    <w:name w:val="Основной шрифт абзаца"/>
    <w:qFormat/>
    <w:rPr/>
  </w:style>
  <w:style w:type="character" w:styleId="Style14">
    <w:name w:val="Цветовое выделение"/>
    <w:qFormat/>
    <w:rPr>
      <w:b/>
      <w:bCs/>
      <w:color w:val="000080"/>
    </w:rPr>
  </w:style>
  <w:style w:type="character" w:styleId="Style15">
    <w:name w:val="Гипертекстовая ссылка"/>
    <w:basedOn w:val="Style14"/>
    <w:qFormat/>
    <w:rPr>
      <w:color w:val="008000"/>
      <w:u w:val="single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Комментарий"/>
    <w:basedOn w:val="Normal"/>
    <w:next w:val="Normal"/>
    <w:qFormat/>
    <w:pPr>
      <w:autoSpaceDE w:val="false"/>
      <w:ind w:start="170" w:hanging="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Style23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cs="Courier New"/>
      <w:sz w:val="20"/>
      <w:szCs w:val="20"/>
    </w:rPr>
  </w:style>
  <w:style w:type="paragraph" w:styleId="Style24">
    <w:name w:val="Оглавление"/>
    <w:basedOn w:val="Style23"/>
    <w:next w:val="Normal"/>
    <w:qFormat/>
    <w:pPr>
      <w:ind w:start="14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2007-04-23T08:38:00Z</dcterms:created>
  <dc:creator>VIKTOR</dc:creator>
  <dc:description/>
  <dc:language>ru-RU</dc:language>
  <cp:lastModifiedBy>VIKTOR</cp:lastModifiedBy>
  <dcterms:modified xsi:type="dcterms:W3CDTF">2007-04-23T08:38:00Z</dcterms:modified>
  <cp:revision>2</cp:revision>
  <dc:subject/>
  <dc:title/>
</cp:coreProperties>
</file>