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4248-92</w:t>
        <w:br/>
        <w:t>"Доски асбоцементные электротехнические дугостойкие. Технические условия"</w:t>
        <w:br/>
        <w:t>(утв. постановлением Госстандарта СССР от 24 марта 1992 г. N 244)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Asbestos cement non-arcing boards for electrical purposes.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1993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асбоцементные дугостойкие электротехнические доски (далее - доски), предназначенные для изготовления деталей, щитов и оснований электрических машин и аппаратов.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1.2</w:t>
        </w:r>
      </w:hyperlink>
      <w:r>
        <w:rPr>
          <w:rFonts w:cs="Arial" w:ascii="Arial" w:hAnsi="Arial"/>
          <w:sz w:val="20"/>
          <w:szCs w:val="20"/>
        </w:rPr>
        <w:t xml:space="preserve"> к предельным отклонениям по длине, ширине и толщине (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 xml:space="preserve">), </w:t>
      </w:r>
      <w:hyperlink w:anchor="sub_2021">
        <w:r>
          <w:rPr>
            <w:rStyle w:val="Style15"/>
            <w:rFonts w:cs="Arial" w:ascii="Arial" w:hAnsi="Arial"/>
            <w:sz w:val="20"/>
            <w:szCs w:val="20"/>
            <w:u w:val="single"/>
          </w:rPr>
          <w:t>2.2.1</w:t>
        </w:r>
      </w:hyperlink>
      <w:r>
        <w:rPr>
          <w:rFonts w:cs="Arial" w:ascii="Arial" w:hAnsi="Arial"/>
          <w:sz w:val="20"/>
          <w:szCs w:val="20"/>
        </w:rPr>
        <w:t xml:space="preserve"> к отклонению от прямоугольности, </w:t>
      </w:r>
      <w:hyperlink w:anchor="sub_2022">
        <w:r>
          <w:rPr>
            <w:rStyle w:val="Style15"/>
            <w:rFonts w:cs="Arial" w:ascii="Arial" w:hAnsi="Arial"/>
            <w:sz w:val="20"/>
            <w:szCs w:val="20"/>
            <w:u w:val="single"/>
          </w:rPr>
          <w:t>2.2.2</w:t>
        </w:r>
      </w:hyperlink>
      <w:r>
        <w:rPr>
          <w:rFonts w:cs="Arial" w:ascii="Arial" w:hAnsi="Arial"/>
          <w:sz w:val="20"/>
          <w:szCs w:val="20"/>
        </w:rPr>
        <w:t xml:space="preserve"> к отклонению от плоскостности, </w:t>
      </w:r>
      <w:hyperlink w:anchor="sub_2023">
        <w:r>
          <w:rPr>
            <w:rStyle w:val="Style15"/>
            <w:rFonts w:cs="Arial" w:ascii="Arial" w:hAnsi="Arial"/>
            <w:sz w:val="20"/>
            <w:szCs w:val="20"/>
            <w:u w:val="single"/>
          </w:rPr>
          <w:t>2.2.3</w:t>
        </w:r>
      </w:hyperlink>
      <w:r>
        <w:rPr>
          <w:rFonts w:cs="Arial" w:ascii="Arial" w:hAnsi="Arial"/>
          <w:sz w:val="20"/>
          <w:szCs w:val="20"/>
        </w:rPr>
        <w:t xml:space="preserve"> к отсутствию отколов, сдиров, величине недопускаемых углублений и выступов, </w:t>
      </w:r>
      <w:hyperlink w:anchor="sub_2024">
        <w:r>
          <w:rPr>
            <w:rStyle w:val="Style15"/>
            <w:rFonts w:cs="Arial" w:ascii="Arial" w:hAnsi="Arial"/>
            <w:sz w:val="20"/>
            <w:szCs w:val="20"/>
            <w:u w:val="single"/>
          </w:rPr>
          <w:t>2.2.4</w:t>
        </w:r>
      </w:hyperlink>
      <w:r>
        <w:rPr>
          <w:rFonts w:cs="Arial" w:ascii="Arial" w:hAnsi="Arial"/>
          <w:sz w:val="20"/>
          <w:szCs w:val="20"/>
        </w:rPr>
        <w:t xml:space="preserve"> к ударной вязкости и водопоглощению (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) настоящего стандарта являются рекомендуемыми. Другие требования настоящего стандарта являются обязательными.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выполнения рекомендуемых требований настоящего стандарта должна быть оговорена в договорах на поставку продукции между изготовителем и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Марки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sz w:val="20"/>
          <w:szCs w:val="20"/>
        </w:rPr>
        <w:t>1.1. Доски в зависимости от предела прочности при изгибе должны изготовляться следующих следующих марок: 350, 400, 450, 500.</w:t>
      </w:r>
    </w:p>
    <w:p>
      <w:pPr>
        <w:pStyle w:val="Normal"/>
        <w:autoSpaceDE w:val="false"/>
        <w:ind w:firstLine="720"/>
        <w:jc w:val="both"/>
        <w:rPr/>
      </w:pPr>
      <w:bookmarkStart w:id="4" w:name="sub_101"/>
      <w:bookmarkStart w:id="5" w:name="sub_102"/>
      <w:bookmarkEnd w:id="4"/>
      <w:bookmarkEnd w:id="5"/>
      <w:r>
        <w:rPr>
          <w:rFonts w:cs="Arial" w:ascii="Arial" w:hAnsi="Arial"/>
          <w:sz w:val="20"/>
          <w:szCs w:val="20"/>
        </w:rPr>
        <w:t xml:space="preserve">1.2. Размеры досок и их предельные отклонения от номинальных значений должны соответствовать указанным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02"/>
      <w:bookmarkStart w:id="7" w:name="sub_10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1"/>
      <w:bookmarkEnd w:id="8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"/>
      <w:bookmarkStart w:id="10" w:name="sub_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─────────────────┬─────────────────┬─────────────────────────────────────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│     Ширина      │              Толщина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+-5       │       +-5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├──────────────────┬──────────────────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      │   Пред. откл.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─────────────────┼─────────────────┼──────────────────┼──────────────────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1100; 1200   │    700; 800     │   6; 8; 10; 12   │      + 1,0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├──────────────────┼──────────────────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15; 20; 25    │      + 1,5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├──────────────────┼──────────────────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30; 35; 40    │     + - 1,5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 согласованию изготовителя с потребителем допускается изготовление досок других размеров по длине и ширине, при этом предельные отклонения должны соответствовать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3"/>
      <w:bookmarkEnd w:id="11"/>
      <w:r>
        <w:rPr>
          <w:rFonts w:cs="Arial" w:ascii="Arial" w:hAnsi="Arial"/>
          <w:sz w:val="20"/>
          <w:szCs w:val="20"/>
        </w:rPr>
        <w:t>1.3. Толщина по всей доске должна быть одинаковой.</w:t>
      </w:r>
    </w:p>
    <w:p>
      <w:pPr>
        <w:pStyle w:val="Normal"/>
        <w:autoSpaceDE w:val="false"/>
        <w:ind w:firstLine="720"/>
        <w:jc w:val="both"/>
        <w:rPr/>
      </w:pPr>
      <w:bookmarkStart w:id="12" w:name="sub_103"/>
      <w:bookmarkEnd w:id="12"/>
      <w:r>
        <w:rPr>
          <w:rFonts w:cs="Arial" w:ascii="Arial" w:hAnsi="Arial"/>
          <w:sz w:val="20"/>
          <w:szCs w:val="20"/>
        </w:rPr>
        <w:t xml:space="preserve">Разнотолщинность, определяемая разностью между наибольшим и наименьшим результатами замеров толщины с четырех сторон доски, не должна превышать значений, указанных в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2"/>
      <w:bookmarkEnd w:id="1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2"/>
      <w:bookmarkStart w:id="15" w:name="sub_2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─────────────────┬─────────────────┬──────────────────┬──────────────────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│   Допускаемая   │     Толщина      │   Допускаемая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разнотолщинность │                  │разнотолщинность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─────────────────┼─────────────────┼──────────────────┼──────────────────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6; 8; 10    │       1,0       │      25; 30      │      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─────────────────┼─────────────────┼──────────────────┼──────────────────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12; 15; 20   │       1,5       │      35; 40      │       2,5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4"/>
      <w:bookmarkEnd w:id="16"/>
      <w:r>
        <w:rPr>
          <w:rFonts w:cs="Arial" w:ascii="Arial" w:hAnsi="Arial"/>
          <w:sz w:val="20"/>
          <w:szCs w:val="20"/>
        </w:rPr>
        <w:t>1.4. Условное обозначение досок должно состоять из буквенного обозначения АЦЭИД (асбестоцементное электротехническое изделие дугостойкое), марки, размеров по длине, ширине и толщине в миллиметрах и 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4"/>
      <w:bookmarkStart w:id="18" w:name="sub_104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доски марки 400 длиной 1200 мм, шириной 800 мм, толщиной 15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АЦЭИД 400 - 1200 х 800 х 15 ГОСТ 4248-92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200"/>
      <w:bookmarkEnd w:id="19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200"/>
      <w:bookmarkStart w:id="21" w:name="sub_20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01"/>
      <w:bookmarkEnd w:id="22"/>
      <w:r>
        <w:rPr>
          <w:rFonts w:cs="Arial" w:ascii="Arial" w:hAnsi="Arial"/>
          <w:sz w:val="20"/>
          <w:szCs w:val="20"/>
        </w:rPr>
        <w:t>2.1. Доски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01"/>
      <w:bookmarkStart w:id="24" w:name="sub_202"/>
      <w:bookmarkEnd w:id="23"/>
      <w:bookmarkEnd w:id="24"/>
      <w:r>
        <w:rPr>
          <w:rFonts w:cs="Arial" w:ascii="Arial" w:hAnsi="Arial"/>
          <w:sz w:val="20"/>
          <w:szCs w:val="20"/>
        </w:rPr>
        <w:t>2.2.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02"/>
      <w:bookmarkStart w:id="26" w:name="sub_2021"/>
      <w:bookmarkEnd w:id="25"/>
      <w:bookmarkEnd w:id="26"/>
      <w:r>
        <w:rPr>
          <w:rFonts w:cs="Arial" w:ascii="Arial" w:hAnsi="Arial"/>
          <w:sz w:val="20"/>
          <w:szCs w:val="20"/>
        </w:rPr>
        <w:t>2.2.1. Доски в плане должны быть правильной прямоугольной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021"/>
      <w:bookmarkEnd w:id="27"/>
      <w:r>
        <w:rPr>
          <w:rFonts w:cs="Arial" w:ascii="Arial" w:hAnsi="Arial"/>
          <w:sz w:val="20"/>
          <w:szCs w:val="20"/>
        </w:rPr>
        <w:t>Отклонение от прямоугольности, измеряемое величиной зазора между стороной угольника и кромкой доски, не должно быть более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022"/>
      <w:bookmarkEnd w:id="28"/>
      <w:r>
        <w:rPr>
          <w:rFonts w:cs="Arial" w:ascii="Arial" w:hAnsi="Arial"/>
          <w:sz w:val="20"/>
          <w:szCs w:val="20"/>
        </w:rPr>
        <w:t>2.2.2. Поверхность досок должна быть плоской.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022"/>
      <w:bookmarkEnd w:id="29"/>
      <w:r>
        <w:rPr>
          <w:rFonts w:cs="Arial" w:ascii="Arial" w:hAnsi="Arial"/>
          <w:sz w:val="20"/>
          <w:szCs w:val="20"/>
        </w:rPr>
        <w:t>Отклонение от плоскостности досок толщиной 6 - 20 мм не должно быть более 4 мм, досок толщиной 25 - 40 мм - 3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023"/>
      <w:bookmarkEnd w:id="30"/>
      <w:r>
        <w:rPr>
          <w:rFonts w:cs="Arial" w:ascii="Arial" w:hAnsi="Arial"/>
          <w:sz w:val="20"/>
          <w:szCs w:val="20"/>
        </w:rPr>
        <w:t>2.2.3. Доски не должны иметь трещин, отколов, сдиров, посторонних включений, а также видимых расслоений. На поверхности досок не должно быть углублений и выступов, превышающих 2 мм.</w:t>
      </w:r>
    </w:p>
    <w:p>
      <w:pPr>
        <w:pStyle w:val="Normal"/>
        <w:autoSpaceDE w:val="false"/>
        <w:ind w:firstLine="720"/>
        <w:jc w:val="both"/>
        <w:rPr/>
      </w:pPr>
      <w:bookmarkStart w:id="31" w:name="sub_2023"/>
      <w:bookmarkStart w:id="32" w:name="sub_2024"/>
      <w:bookmarkEnd w:id="31"/>
      <w:bookmarkEnd w:id="32"/>
      <w:r>
        <w:rPr>
          <w:rFonts w:cs="Arial" w:ascii="Arial" w:hAnsi="Arial"/>
          <w:sz w:val="20"/>
          <w:szCs w:val="20"/>
        </w:rPr>
        <w:t xml:space="preserve">2.2.4. Физико-механические и электрические показатели досок должны соответствовать указанным в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024"/>
      <w:bookmarkStart w:id="34" w:name="sub_2024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3"/>
      <w:bookmarkEnd w:id="35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"/>
      <w:bookmarkStart w:id="37" w:name="sub_3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────────────────────────────┬────────────────┬───────────────────────────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│ Толщина досок, │     Норма для марок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────────────────────────────┼────────────────┼─────┬──────┬──────┬───────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│ 400  │ 450  │ 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────────────────────────────┼────────────────┼─────┼──────┼──────┼───────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Предел  прочности   при│  Все толщины   │ 35  │  40  │  45  │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изгибе, МПа  (кгс/см3),  не│                │(350)│(400) │(450) │(500)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│        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────────────────────────────┼────────────────┼─────┴──────┴──────┴───────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Ударная вязкость, кДж/м2│  6; 8; 10; 12  │           4,0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 х см/см2), не менее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────────────────────────────┼────────────────┼───────────────────────────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Водопоглощение, %       │  Все толщины   │    От 12 до 20 включ.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────────────────────────────┼────────────────┼───────────────────────────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Электрическая прочность,│    6; 8; 10    │    2,0 х 10(3) (2,0)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кВ/м (кВ/мм), не менее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├────────────────┼───────────────────────────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и выше    │    1,5 х 10(3) (1,5)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────────────────────────────┼────────────────┼───────────────────────────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Дугостойкость  при  токе│  Все толщины   │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мА, с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Значение ударной вязкости для досок толщиной 15 мм и выше приведено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Плотность досок приведена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03"/>
      <w:bookmarkEnd w:id="38"/>
      <w:r>
        <w:rPr>
          <w:rFonts w:cs="Arial" w:ascii="Arial" w:hAnsi="Arial"/>
          <w:sz w:val="20"/>
          <w:szCs w:val="20"/>
        </w:rPr>
        <w:t>2.3. В случае применения в качестве строительных конструкций для зданий лечебно-профилактических, детских и других учреждений, где требуется проведение систематической влажной дезинфекции, доски должны быть покрыты двумя-тремя слоями масляной краски или другими покрытиями, выдерживающими действие дезрастворов.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03"/>
      <w:bookmarkStart w:id="40" w:name="sub_204"/>
      <w:bookmarkEnd w:id="39"/>
      <w:bookmarkEnd w:id="40"/>
      <w:r>
        <w:rPr>
          <w:rFonts w:cs="Arial" w:ascii="Arial" w:hAnsi="Arial"/>
          <w:sz w:val="20"/>
          <w:szCs w:val="20"/>
        </w:rPr>
        <w:t>2.4.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04"/>
      <w:bookmarkEnd w:id="41"/>
      <w:r>
        <w:rPr>
          <w:rFonts w:cs="Arial" w:ascii="Arial" w:hAnsi="Arial"/>
          <w:sz w:val="20"/>
          <w:szCs w:val="20"/>
        </w:rPr>
        <w:t>На поверхности досок в количестве не менее 1% от партии должны быть нанесены краской: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досок, за исключением обозначения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качество маркировки должно быть таким, чтобы исключалась возможность оспорить ее содержание.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300"/>
      <w:bookmarkEnd w:id="42"/>
      <w:r>
        <w:rPr>
          <w:rFonts w:cs="Arial" w:ascii="Arial" w:hAnsi="Arial"/>
          <w:b/>
          <w:bCs/>
          <w:sz w:val="20"/>
          <w:szCs w:val="20"/>
        </w:rPr>
        <w:t>3.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300"/>
      <w:bookmarkStart w:id="44" w:name="sub_300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01"/>
      <w:bookmarkEnd w:id="45"/>
      <w:r>
        <w:rPr>
          <w:rFonts w:cs="Arial" w:ascii="Arial" w:hAnsi="Arial"/>
          <w:sz w:val="20"/>
          <w:szCs w:val="20"/>
        </w:rPr>
        <w:t>3.1. Для проверки соответствия досок требованиям настоящего стандарта изготовитель проводит выборочный приемочный контроль каждой партии по всем показателям.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01"/>
      <w:bookmarkStart w:id="47" w:name="sub_302"/>
      <w:bookmarkEnd w:id="46"/>
      <w:bookmarkEnd w:id="47"/>
      <w:r>
        <w:rPr>
          <w:rFonts w:cs="Arial" w:ascii="Arial" w:hAnsi="Arial"/>
          <w:sz w:val="20"/>
          <w:szCs w:val="20"/>
        </w:rPr>
        <w:t>3.2. Доски принимают партиями. Размер партии устанавливают в количестве суточной выработки одной технологической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02"/>
      <w:bookmarkEnd w:id="48"/>
      <w:r>
        <w:rPr>
          <w:rFonts w:cs="Arial" w:ascii="Arial" w:hAnsi="Arial"/>
          <w:sz w:val="20"/>
          <w:szCs w:val="20"/>
        </w:rPr>
        <w:t>В состав партии должны входить доски одинаковых размеров.</w:t>
      </w:r>
    </w:p>
    <w:p>
      <w:pPr>
        <w:pStyle w:val="Normal"/>
        <w:autoSpaceDE w:val="false"/>
        <w:ind w:firstLine="720"/>
        <w:jc w:val="both"/>
        <w:rPr/>
      </w:pPr>
      <w:bookmarkStart w:id="49" w:name="sub_303"/>
      <w:bookmarkEnd w:id="49"/>
      <w:r>
        <w:rPr>
          <w:rFonts w:cs="Arial" w:ascii="Arial" w:hAnsi="Arial"/>
          <w:sz w:val="20"/>
          <w:szCs w:val="20"/>
        </w:rPr>
        <w:t xml:space="preserve">3.3. Для проведения предприятием-изготовителем приемочного контроля от партии отбирают доски в количестве, указанном в </w:t>
      </w: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303"/>
      <w:bookmarkStart w:id="51" w:name="sub_303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4"/>
      <w:bookmarkEnd w:id="52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"/>
      <w:bookmarkStart w:id="54" w:name="sub_4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┬──────────┬──────────────┬──────────────┬─────────────┬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партии, шт.       │  Объем   │  Приемочное  │ Браковочное  │ Приемочное  │ Браковочное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выборки, │ число А_с_1  │ число R_е_1  │ число А_с_2 │ число R_е_2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├──────────────┴──────────────┼─────────────┴───────────────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Первоначальные испытания   │    Первоначальные плюс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повторные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────┼──────────────┬──────────────┼─────────────┬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включ.         │    3     │      0       │      2       │      1      │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│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 200 до 400 включ.     │    4     │      0       │      2       │      1      │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│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"- 400 - " - 800 - " -   │    5     │      0       │      2       │      1      │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│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"- 800 - " - 1500 - " -   │    7     │      0       │      2       │      1      │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│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"- 1500 - " - 3000 - " -  │    10    │      0       │      2       │      2      │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│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"- 3000 - " - 8000 - " -  │    15    │      0       │      3       │      3      │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│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стопы отбирают одну доску, кроме двух верхних и двух нижних.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Порядок отбора должен соответствовать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04"/>
      <w:bookmarkEnd w:id="55"/>
      <w:r>
        <w:rPr>
          <w:rFonts w:cs="Arial" w:ascii="Arial" w:hAnsi="Arial"/>
          <w:sz w:val="20"/>
          <w:szCs w:val="20"/>
        </w:rPr>
        <w:t xml:space="preserve">3.4. Результаты испытаний по показателям размеров, разнотолщинности, прямоугольности, плоскостности, внешнего вида оценивают по </w:t>
      </w: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04"/>
      <w:bookmarkEnd w:id="56"/>
      <w:r>
        <w:rPr>
          <w:rFonts w:cs="Arial" w:ascii="Arial" w:hAnsi="Arial"/>
          <w:sz w:val="20"/>
          <w:szCs w:val="20"/>
        </w:rPr>
        <w:t>Если число дефектных досок, т.е. досок, не соответствующих требованиям настоящего стандарта, равно приемочному числу А_с_1, то партию считают принятой.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число дефектных досок равно или более браковочного числа R_е_1, то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число дефектных досок по какому-либо показателю находится между А_с_1 и R_е_1, необходимо провести повторное испытание по этому показателю такого же числа досок, взятых из этой же партии. В этом случае число дефектных досок при первоначальных и повторных испытаниях суммируют.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полученная сумма равна или меньше приемочного числа А_с_2, то партию считают принятой. Если полученная сумма равно или более браковочного числа R_е_2, то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05"/>
      <w:bookmarkEnd w:id="57"/>
      <w:r>
        <w:rPr>
          <w:rFonts w:cs="Arial" w:ascii="Arial" w:hAnsi="Arial"/>
          <w:sz w:val="20"/>
          <w:szCs w:val="20"/>
        </w:rPr>
        <w:t>3.5. Результаты испытаний по показателям предела прочности при изгибе, ударной вязкости, водопоглощения, электрической прочности, дугостойкости оценивают следующим образом.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05"/>
      <w:bookmarkEnd w:id="58"/>
      <w:r>
        <w:rPr>
          <w:rFonts w:cs="Arial" w:ascii="Arial" w:hAnsi="Arial"/>
          <w:sz w:val="20"/>
          <w:szCs w:val="20"/>
        </w:rPr>
        <w:t>Партию досок принимают, если средняя арифметическая из полученных при испытании величин удовлетворяет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неудовлетворительных результатов испытаний хотя бы по одному из показателей, проводят повторное испытание по этому показателю удвоенного числа досок, взятых из этой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неудовлетворительных результатов повторных испытаний вся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06"/>
      <w:bookmarkEnd w:id="59"/>
      <w:r>
        <w:rPr>
          <w:rFonts w:cs="Arial" w:ascii="Arial" w:hAnsi="Arial"/>
          <w:sz w:val="20"/>
          <w:szCs w:val="20"/>
        </w:rPr>
        <w:t>3.6. В случае несоответствия партии досок требованиям настоящего стандарта допускается ее повторное предъявление после разбраковки или дополнительного выдерживания.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06"/>
      <w:bookmarkStart w:id="61" w:name="sub_307"/>
      <w:bookmarkEnd w:id="60"/>
      <w:bookmarkEnd w:id="61"/>
      <w:r>
        <w:rPr>
          <w:rFonts w:cs="Arial" w:ascii="Arial" w:hAnsi="Arial"/>
          <w:sz w:val="20"/>
          <w:szCs w:val="20"/>
        </w:rPr>
        <w:t>3.7. Не менее чем на 1% досок принятых партий должен быть нанесен штамп ОТК.</w:t>
      </w:r>
    </w:p>
    <w:p>
      <w:pPr>
        <w:pStyle w:val="Normal"/>
        <w:autoSpaceDE w:val="false"/>
        <w:ind w:firstLine="720"/>
        <w:jc w:val="both"/>
        <w:rPr/>
      </w:pPr>
      <w:bookmarkStart w:id="62" w:name="sub_307"/>
      <w:bookmarkStart w:id="63" w:name="sub_308"/>
      <w:bookmarkEnd w:id="62"/>
      <w:bookmarkEnd w:id="63"/>
      <w:r>
        <w:rPr>
          <w:rFonts w:cs="Arial" w:ascii="Arial" w:hAnsi="Arial"/>
          <w:sz w:val="20"/>
          <w:szCs w:val="20"/>
        </w:rPr>
        <w:t>3.8. Допускается наличие в партии не более 2% досок с меньшими размерами по длине и ширине, чем указано в табл. 1 (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1.2</w:t>
        </w:r>
      </w:hyperlink>
      <w:r>
        <w:rPr>
          <w:rFonts w:cs="Arial" w:ascii="Arial" w:hAnsi="Arial"/>
          <w:sz w:val="20"/>
          <w:szCs w:val="20"/>
        </w:rPr>
        <w:t>), но не менее 600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08"/>
      <w:bookmarkStart w:id="65" w:name="sub_309"/>
      <w:bookmarkEnd w:id="64"/>
      <w:bookmarkEnd w:id="65"/>
      <w:r>
        <w:rPr>
          <w:rFonts w:cs="Arial" w:ascii="Arial" w:hAnsi="Arial"/>
          <w:sz w:val="20"/>
          <w:szCs w:val="20"/>
        </w:rPr>
        <w:t>3.9. Предприятие-изготовитель должно сопровождать доски, отгружаемые единовременно в один адрес, паспортом, содержащим: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09"/>
      <w:bookmarkEnd w:id="66"/>
      <w:r>
        <w:rPr>
          <w:rFonts w:cs="Arial" w:ascii="Arial" w:hAnsi="Arial"/>
          <w:sz w:val="20"/>
          <w:szCs w:val="20"/>
        </w:rPr>
        <w:t>1) 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условное обозначение досок;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номера партий и даты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количество досок каждой партии в поставке;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результаты испытаний каждой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10"/>
      <w:bookmarkEnd w:id="67"/>
      <w:r>
        <w:rPr>
          <w:rFonts w:cs="Arial" w:ascii="Arial" w:hAnsi="Arial"/>
          <w:sz w:val="20"/>
          <w:szCs w:val="20"/>
        </w:rPr>
        <w:t>3.10. Потребителю при проведении испытаний полученных досок следует руководствоваться порядком отбора досок и оценки результатов, указанным в настоящем разделе.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10"/>
      <w:bookmarkStart w:id="69" w:name="sub_310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400"/>
      <w:bookmarkEnd w:id="70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400"/>
      <w:bookmarkStart w:id="72" w:name="sub_400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01"/>
      <w:bookmarkEnd w:id="73"/>
      <w:r>
        <w:rPr>
          <w:rFonts w:cs="Arial" w:ascii="Arial" w:hAnsi="Arial"/>
          <w:sz w:val="20"/>
          <w:szCs w:val="20"/>
        </w:rPr>
        <w:t>4.1. Размеры, форму, внешний вид досок следует проверять в соответствии с ГОСТ 8747.</w:t>
      </w:r>
    </w:p>
    <w:p>
      <w:pPr>
        <w:pStyle w:val="Normal"/>
        <w:autoSpaceDE w:val="false"/>
        <w:ind w:firstLine="720"/>
        <w:jc w:val="both"/>
        <w:rPr/>
      </w:pPr>
      <w:bookmarkStart w:id="74" w:name="sub_401"/>
      <w:bookmarkStart w:id="75" w:name="sub_402"/>
      <w:bookmarkStart w:id="76" w:name="sub_188817268"/>
      <w:bookmarkEnd w:id="74"/>
      <w:bookmarkEnd w:id="75"/>
      <w:bookmarkEnd w:id="76"/>
      <w:r>
        <w:rPr>
          <w:rFonts w:cs="Arial" w:ascii="Arial" w:hAnsi="Arial"/>
          <w:sz w:val="20"/>
          <w:szCs w:val="20"/>
        </w:rPr>
        <w:t>4.2. Предел прочности при изгибе следует определять в соответствии с ГОСТ 8747 со следующим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изменениями.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02"/>
      <w:bookmarkStart w:id="78" w:name="sub_188817268"/>
      <w:bookmarkEnd w:id="77"/>
      <w:bookmarkEnd w:id="78"/>
      <w:r>
        <w:rPr>
          <w:rFonts w:cs="Arial" w:ascii="Arial" w:hAnsi="Arial"/>
          <w:sz w:val="20"/>
          <w:szCs w:val="20"/>
        </w:rPr>
        <w:t>Образцы для испытания вырезают длиной (150 +- 5) мм и шириной (50 +-3)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средства контроля применяют гидравлический пресс с предельной нагрузкой 5 кН (тс).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опорами (в осях) должно быть (120 +- 1) 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03"/>
      <w:bookmarkEnd w:id="79"/>
      <w:r>
        <w:rPr>
          <w:rFonts w:cs="Arial" w:ascii="Arial" w:hAnsi="Arial"/>
          <w:sz w:val="20"/>
          <w:szCs w:val="20"/>
        </w:rPr>
        <w:t>4.3. Ударную вязкость следует определять в соответствии с ГОСТ 8747 со следующими изменениями.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03"/>
      <w:bookmarkEnd w:id="80"/>
      <w:r>
        <w:rPr>
          <w:rFonts w:cs="Arial" w:ascii="Arial" w:hAnsi="Arial"/>
          <w:sz w:val="20"/>
          <w:szCs w:val="20"/>
        </w:rPr>
        <w:t>Образцы для испытания вырезают длиной (100 +- 5) мм и шириной (20 +- 2)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перед испытанием выдерживают в течение 24 ч при температуре 15 - 35°С, относительной влажности воздуха 45 - 75% и при этом располагают так, чтобы зазор между ними был не менее 10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средства контроля применяют маятниковый копер с запасом потенциальной энергии 9 Дж (90 кгс х см).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опорами, на которые укладывают образцы, должно быть (70 +- 1) мм. Угол зарядки маятника 90°.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04"/>
      <w:bookmarkEnd w:id="81"/>
      <w:r>
        <w:rPr>
          <w:rFonts w:cs="Arial" w:ascii="Arial" w:hAnsi="Arial"/>
          <w:sz w:val="20"/>
          <w:szCs w:val="20"/>
        </w:rPr>
        <w:t>4.4. Водопоглощение следует определять по ГОСТ 8747.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04"/>
      <w:bookmarkStart w:id="83" w:name="sub_405"/>
      <w:bookmarkEnd w:id="82"/>
      <w:bookmarkEnd w:id="83"/>
      <w:r>
        <w:rPr>
          <w:rFonts w:cs="Arial" w:ascii="Arial" w:hAnsi="Arial"/>
          <w:sz w:val="20"/>
          <w:szCs w:val="20"/>
        </w:rPr>
        <w:t>4.5. Электрическую погрешность следует определять в соответствии с ГОСТ 6433.3 со следующими дополнениями.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05"/>
      <w:bookmarkEnd w:id="84"/>
      <w:r>
        <w:rPr>
          <w:rFonts w:cs="Arial" w:ascii="Arial" w:hAnsi="Arial"/>
          <w:sz w:val="20"/>
          <w:szCs w:val="20"/>
        </w:rPr>
        <w:t>От каждой отобранной для испытаний доски вырезают по одному образцу на расстоянии не менее 50 мм от кромки. Длина и ширина образца должны быть (150 +- 5)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испытанием образцы выдерживают в сушильном шкафу при температуре (105 +- 2)°С. Время выдержки образцов толщиной до 15 мм включительно - 24 ч, толщиной 20 мм и более - 48 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испытаний применяют цилиндрические нажимные электроды из нержавеющей стали или цветных металлов размерами: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верхний электрод - диаметром 25 мм, высотой 45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нижний электрод - диаметром 75 мм, высотой 15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величину электрической прочности досок партии принимают среднее арифметическое значение результатов испытаний всех образцов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06"/>
      <w:bookmarkEnd w:id="85"/>
      <w:r>
        <w:rPr>
          <w:rFonts w:cs="Arial" w:ascii="Arial" w:hAnsi="Arial"/>
          <w:sz w:val="20"/>
          <w:szCs w:val="20"/>
        </w:rPr>
        <w:t>4.6. Дугостойкость следует определять в соответствии с ГОСТ 10345.1 со следующим дополнением.</w:t>
      </w:r>
    </w:p>
    <w:p>
      <w:pPr>
        <w:pStyle w:val="Normal"/>
        <w:autoSpaceDE w:val="false"/>
        <w:ind w:firstLine="720"/>
        <w:jc w:val="both"/>
        <w:rPr/>
      </w:pPr>
      <w:bookmarkStart w:id="86" w:name="sub_406"/>
      <w:bookmarkEnd w:id="86"/>
      <w:r>
        <w:rPr>
          <w:rFonts w:cs="Arial" w:ascii="Arial" w:hAnsi="Arial"/>
          <w:sz w:val="20"/>
          <w:szCs w:val="20"/>
        </w:rPr>
        <w:t xml:space="preserve">От каждой отобранной для испытаний доски вырезают по одному образцу таким же образом и таких же размеров, как указано в </w:t>
      </w:r>
      <w:hyperlink w:anchor="sub_40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4.5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Подготовка образцов - по </w:t>
      </w:r>
      <w:hyperlink w:anchor="sub_40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4.5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величину дугостойкости досок партии принимают среднее арифметическое значение результатов измерений времени горения дуги до ее погасания при токе 20 мА всех образцов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07"/>
      <w:bookmarkEnd w:id="87"/>
      <w:r>
        <w:rPr>
          <w:rFonts w:cs="Arial" w:ascii="Arial" w:hAnsi="Arial"/>
          <w:sz w:val="20"/>
          <w:szCs w:val="20"/>
        </w:rPr>
        <w:t>4.7. Потребитель при проведении испытаний полученных досок должен применять методы испытаний, указанные в настоящем разделе.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07"/>
      <w:bookmarkStart w:id="89" w:name="sub_407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0" w:name="sub_500"/>
      <w:bookmarkEnd w:id="90"/>
      <w:r>
        <w:rPr>
          <w:rFonts w:cs="Arial" w:ascii="Arial" w:hAnsi="Arial"/>
          <w:b/>
          <w:bCs/>
          <w:sz w:val="20"/>
          <w:szCs w:val="20"/>
        </w:rPr>
        <w:t>5.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1" w:name="sub_500"/>
      <w:bookmarkStart w:id="92" w:name="sub_500"/>
      <w:bookmarkEnd w:id="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01"/>
      <w:bookmarkEnd w:id="93"/>
      <w:r>
        <w:rPr>
          <w:rFonts w:cs="Arial" w:ascii="Arial" w:hAnsi="Arial"/>
          <w:sz w:val="20"/>
          <w:szCs w:val="20"/>
        </w:rPr>
        <w:t>5.1. Транспортирование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01"/>
      <w:bookmarkStart w:id="95" w:name="sub_5011"/>
      <w:bookmarkEnd w:id="94"/>
      <w:bookmarkEnd w:id="95"/>
      <w:r>
        <w:rPr>
          <w:rFonts w:cs="Arial" w:ascii="Arial" w:hAnsi="Arial"/>
          <w:sz w:val="20"/>
          <w:szCs w:val="20"/>
        </w:rPr>
        <w:t>5.1.1. Доски перевозят транспортом любого вида с соблюдением правил перевозок грузов, установленных для транспорта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011"/>
      <w:bookmarkEnd w:id="96"/>
      <w:r>
        <w:rPr>
          <w:rFonts w:cs="Arial" w:ascii="Arial" w:hAnsi="Arial"/>
          <w:sz w:val="20"/>
          <w:szCs w:val="20"/>
        </w:rPr>
        <w:t>Доски железнодорожным транспортом следует перевозить на открытом подвижном составе и в крытых вагонах. При этом размещение и крепление досок должно производиться в соответствии с техническими условиями погрузки и крепления грузов, утвержденными МПС.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012"/>
      <w:bookmarkEnd w:id="97"/>
      <w:r>
        <w:rPr>
          <w:rFonts w:cs="Arial" w:ascii="Arial" w:hAnsi="Arial"/>
          <w:sz w:val="20"/>
          <w:szCs w:val="20"/>
        </w:rPr>
        <w:t>5.1.2. При транспортировании на железнодорожном подвижном составе доски должны быть сформированы в транспортные пакеты с использованием деревянных подкладок или поддонов. В качестве обвязок применяют стальную ленту по ГОСТ 3560 или проволоку по ГОСТ 3282. Количество обвязок, из сечение, размеры подкладок и поддонов устанавливаются соответствующей нормативно-технической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012"/>
      <w:bookmarkEnd w:id="98"/>
      <w:r>
        <w:rPr>
          <w:rFonts w:cs="Arial" w:ascii="Arial" w:hAnsi="Arial"/>
          <w:sz w:val="20"/>
          <w:szCs w:val="20"/>
        </w:rPr>
        <w:t>Габаритные размеры пакетов не должны превышать по длине 1250 мм, по ширине 850 мм, по высоте 1200 мм, масса пакета не должна быть более 2000 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013"/>
      <w:bookmarkEnd w:id="99"/>
      <w:r>
        <w:rPr>
          <w:rFonts w:cs="Arial" w:ascii="Arial" w:hAnsi="Arial"/>
          <w:sz w:val="20"/>
          <w:szCs w:val="20"/>
        </w:rPr>
        <w:t>5.1.3. Транспортные пакеты должны быть маркированы в соответствии с ГОСТ 14192 с указанием основных, дополнительных и информационных надписей, выполненных на ярлыке, надежно прикрепляемом к грузу.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013"/>
      <w:bookmarkStart w:id="101" w:name="sub_5014"/>
      <w:bookmarkEnd w:id="100"/>
      <w:bookmarkEnd w:id="101"/>
      <w:r>
        <w:rPr>
          <w:rFonts w:cs="Arial" w:ascii="Arial" w:hAnsi="Arial"/>
          <w:sz w:val="20"/>
          <w:szCs w:val="20"/>
        </w:rPr>
        <w:t>5.1.4. При транспортировании в крытых железнодорожных вагонах доски допускается укладывать в стопы. При этом должна быть обеспечена возможность загрузки вагонов до полной грузоподъемности.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014"/>
      <w:bookmarkStart w:id="103" w:name="sub_502"/>
      <w:bookmarkEnd w:id="102"/>
      <w:bookmarkEnd w:id="103"/>
      <w:r>
        <w:rPr>
          <w:rFonts w:cs="Arial" w:ascii="Arial" w:hAnsi="Arial"/>
          <w:sz w:val="20"/>
          <w:szCs w:val="20"/>
        </w:rPr>
        <w:t>5.2.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02"/>
      <w:bookmarkStart w:id="105" w:name="sub_5021"/>
      <w:bookmarkEnd w:id="104"/>
      <w:bookmarkEnd w:id="105"/>
      <w:r>
        <w:rPr>
          <w:rFonts w:cs="Arial" w:ascii="Arial" w:hAnsi="Arial"/>
          <w:sz w:val="20"/>
          <w:szCs w:val="20"/>
        </w:rPr>
        <w:t>5.2.1. Доски должны храниться в закрытом помещении или под навесом.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021"/>
      <w:bookmarkStart w:id="107" w:name="sub_5022"/>
      <w:bookmarkEnd w:id="106"/>
      <w:bookmarkEnd w:id="107"/>
      <w:r>
        <w:rPr>
          <w:rFonts w:cs="Arial" w:ascii="Arial" w:hAnsi="Arial"/>
          <w:sz w:val="20"/>
          <w:szCs w:val="20"/>
        </w:rPr>
        <w:t>5.2.2. При хранении доски должны быть уложены стопами на поддоны.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022"/>
      <w:bookmarkEnd w:id="108"/>
      <w:r>
        <w:rPr>
          <w:rFonts w:cs="Arial" w:ascii="Arial" w:hAnsi="Arial"/>
          <w:sz w:val="20"/>
          <w:szCs w:val="20"/>
        </w:rPr>
        <w:t>Стопы вместе с поддонами могут устанавливаться друг на друга в штабеля. Транспортные пакеты досок при хранении также могут устанавливаться друг на друга в штабеля.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стоп с поддонами или транспортных пакетов друг на друга должны быть обеспечены сохранность досок и требования техники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общая высота штабеля из стоп с поддонами не должна превышать 2,5 мм, а из транспортных пакетов - 3,5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03"/>
      <w:bookmarkEnd w:id="109"/>
      <w:r>
        <w:rPr>
          <w:rFonts w:cs="Arial" w:ascii="Arial" w:hAnsi="Arial"/>
          <w:sz w:val="20"/>
          <w:szCs w:val="20"/>
        </w:rPr>
        <w:t>5.3. При погрузочно-разгрузочных, транспортно-складских и других работах не допускаются удары по доскам и их сбрасывание.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503"/>
      <w:bookmarkStart w:id="111" w:name="sub_503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2" w:name="sub_600"/>
      <w:bookmarkEnd w:id="112"/>
      <w:r>
        <w:rPr>
          <w:rFonts w:cs="Arial" w:ascii="Arial" w:hAnsi="Arial"/>
          <w:b/>
          <w:bCs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3" w:name="sub_600"/>
      <w:bookmarkStart w:id="114" w:name="sub_600"/>
      <w:bookmarkEnd w:id="1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Изготовитель гарантирует соответствие досок требованиям настоящего стандарта при соблюдении условий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хранения - три года со дня изготовления досок.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1000"/>
      <w:bookmarkEnd w:id="115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1000"/>
      <w:bookmarkEnd w:id="116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ударной вязкости досок всех марок толщиной 15 мм и более должно быть 5,9 х 10(3) Дж/м2 (6 кгс х см/см2).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2000"/>
      <w:bookmarkEnd w:id="117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2000"/>
      <w:bookmarkEnd w:id="118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Плотность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───────────────────────────────────┬─────────────────────────────────────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 досок, %      │   Плотность досок, кг/м3 (г/см3)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───────────────────────────────────┼─────────────────────────────────────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18 до 20 включ.        │         1,8 х 10(3) (1,8)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"- 15 - " - 17 - " -      │         1,9 х 10(3) (1,9)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"- 12 - " - 15 - " -      │         2,0 х 10(3) (2,0)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3000"/>
      <w:bookmarkEnd w:id="119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0" w:name="sub_3000"/>
      <w:bookmarkEnd w:id="120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Порядок отбора образцов при контроле качества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Выборочный метод контроля продукции является обязательным как для служб технического контроля предприятий-изготовителей, так и для контролирующих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Указанный метод заключается в контроле определенной части продукции, по результатам которого делают вывод о качестве всей продукции в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Обязательным является осуществление отбора "не глядя на продукцию". Не допускается "выбирать" стопы (штабеля) или изделия, рассматривая их с целью выбора "лучших" или "худших".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уменьшение или увеличение числа изделий, отбираемых для проверки качества по сравнению с установленным в настоящем стандарте.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2007-02-27T14:32:00Z</dcterms:created>
  <dc:creator>VIKTOR</dc:creator>
  <dc:description/>
  <dc:language>ru-RU</dc:language>
  <cp:lastModifiedBy>VIKTOR</cp:lastModifiedBy>
  <dcterms:modified xsi:type="dcterms:W3CDTF">2007-03-28T06:25:00Z</dcterms:modified>
  <cp:revision>3</cp:revision>
  <dc:subject/>
  <dc:title/>
</cp:coreProperties>
</file>