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4.226-83</w:t>
        <w:br/>
        <w:t>"Система показателей качества продукции. Строительство. Окна, двери и ворота деревянные. Номенклатура показателей"</w:t>
        <w:br/>
        <w:t>(утв. постановлением Госстроя СССР от 5 мая 1983 г. N 87)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Quality rating system. Building. Windows, doors and gates of wood. </w:t>
      </w:r>
      <w:r>
        <w:rPr>
          <w:rFonts w:cs="Arial" w:ascii="Arial" w:hAnsi="Arial"/>
          <w:b/>
          <w:bCs/>
          <w:color w:val="000080"/>
          <w:sz w:val="20"/>
          <w:szCs w:val="20"/>
        </w:rPr>
        <w:t>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Номенклатура показателей деревянных окон, дверей и ворот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Применяемость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 и определения  показателей  качества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окон, дверей и ворот и методы их оценки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Методы    определения    коэффициентов     сборности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унификации окон, дверей и ворот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окна, двери, ворота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нормативно-технических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изделий, прогнозирования и планирования их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быть установлены соответствующими стандартами, техническими условиями и другой нормативно-технической документацией на деревянные окна, двери и ворота.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Номенклатура показателей деревянных окон, дверей и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окон, дверей и ворот по критериям и обозначения показателей качества должны соответствовать приведенным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качества           │    Условное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Технический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Показатели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Общий   коэффициент   светопропускания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доли│      тау_0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звукоизоляции</w:t>
        </w:r>
      </w:hyperlink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теплопередачи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 теплопропускания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солнцезащитного│   бета_сз(н)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доли единицы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воздухопроницания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6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водопроницания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6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7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Предел огнестойкости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 ч  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7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8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Порода древесины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8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1.2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Показатели надежности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2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Контрольная наработка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циклы                  │        T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2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│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Наработка до первого отказа,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циклы            │       T`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2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Сопротивление статической нагрузке,  действую-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P_п, P`_п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3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щей в плоскости створки (полотна)</w:t>
      </w:r>
      <w:r>
        <w:rPr>
          <w:rFonts w:cs="Courier New" w:ascii="Courier New" w:hAnsi="Courier New"/>
          <w:sz w:val="20"/>
          <w:szCs w:val="20"/>
          <w:lang w:val="ru-RU" w:eastAsia="ru-RU"/>
        </w:rPr>
        <w:t>, даН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│Сопротивление статической нагрузке,  действую-│    P_н, P`_н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2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 перпендикулярно   к  плоскости    створки│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(полотна), даН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2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│Сопротивление статической нагрузке,  действую-│    P_з, P`_з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5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на запирающие приборы и ручки, даН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2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Сопротивление ударной нагрузке</w:t>
        </w:r>
      </w:hyperlink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Дж           │    E_y,E`_y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2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1.2.7.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Сопротивление пробиванию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Дж                  │    E_п, E`_п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27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1.2.8. │Срок службы изделия*, год 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28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2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1.2.9. │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Гарантийный срок хранения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 год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29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21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1.2.10.│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ремонтопригодности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21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Показатели уровня исполнения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3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3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│Отклонения от:                                │     Дельта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3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размеров  деталей,  сборочных еди-│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ниц, изделий, мм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размеров зазоров, мм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плоскостности, %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перпендикулярности, мм/м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3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│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Шероховатость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мкм               │     R_zmax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3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3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│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Влажность древесины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                │        W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3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3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│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Прочность клеевых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│    сигма_уг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3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угловых, МПа (кгс/см2)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деталей, процент  прочности цельной  │       П_д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и ширине деталей, МПа (кгс/см2)    │    тау_т(ш)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с каркасом, Н/см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3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1.3.5. │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Нормы    ограничения   пороков   древесины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3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3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1.3.6. │</w:t>
      </w:r>
      <w:hyperlink w:anchor="sub_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Заводская     готовность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(комплектность,│       Г_з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3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законченность отделки и т.п.)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Показатели технологичности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4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│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Материалоемкость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│        m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4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м3/м2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листовых материалов, м2/м2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и клеевых материалов, г/м2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материалов, руб./м2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4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Расход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│        O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4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м3/м2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листовых материалов, м2/м2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и клеевых материалов, г/м2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материалов, руб./м2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4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│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Трудоемкость изготовления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чел.-ч/м2  │        t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4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4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│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Энергоемкость изготовления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кВт х ч/м2│      гамма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4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4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1.4.5.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унификации изделия</w:t>
        </w:r>
      </w:hyperlink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доли единицы │       K_y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4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46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1.4.6. │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сборности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 доли единицы  │      K_сб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4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Показатели транспортабельности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5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5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│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Масса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кг                                     │        M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5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5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Габаритные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мм                        │    L х B х H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5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5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│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   использования       емкости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K_v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5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грузоподъемности транспортных 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>*, %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5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Удельная   стоимость   материала    упаковки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*,│     C_уд.у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5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руб./м2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55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│</w:t>
      </w:r>
      <w:hyperlink w:anchor="sub_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Удельная трудоемкость упаковки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 чел.-ч/м2    │     t_уд.у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5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56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│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           сохраняемости     после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K_сх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5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*, %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6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Эргономические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6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│</w:t>
      </w:r>
      <w:hyperlink w:anchor="sub_1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сложности ухода за изделием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6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6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│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Простота обращения с приборами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*, балл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6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63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1.6.3. │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Усилие  открывания,  закрывания,    разъема,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63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фиксации створок (полотен) и приборов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даН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7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Эстетические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7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7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1.7.1. │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Архитектурная выразительность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балл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7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7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1.7.2. │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Внешний вид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балл 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7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 Показатели стабильности качества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│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Среднее   квадратическое  отклонение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значений│        _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1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качества (размеров,     влажности,│        S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шероховатости,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прочности клеевых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2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Коэффициент стабильности технологических  опе-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K_ст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2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раций и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, доли единицы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3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│</w:t>
      </w:r>
      <w:hyperlink w:anchor="sub_1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Удельная стоимость  зарекламированной  продук-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C_уд.р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3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, руб./т м2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4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 │</w:t>
      </w:r>
      <w:hyperlink w:anchor="sub_1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Брак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                          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4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3. Показатели экономической эффективности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│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Удельная себестоимость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руб./м2       │      C_уд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│</w:t>
      </w:r>
      <w:hyperlink w:anchor="sub_1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Рентабельность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                             │        P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Годовой   народнохозяйственный   экономический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Э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3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эффект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, руб./м2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4. Показатели конкурентоспособности на внешнем рынке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│</w:t>
      </w:r>
      <w:hyperlink w:anchor="sub_1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Патентная чистота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П_ч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4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 │</w:t>
      </w:r>
      <w:hyperlink w:anchor="sub_1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Патентная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П_з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3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  │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Наличие экспорта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Э_н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4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901"/>
      <w:bookmarkEnd w:id="122"/>
      <w:r>
        <w:rPr>
          <w:rFonts w:cs="Arial" w:ascii="Arial" w:hAnsi="Arial"/>
          <w:sz w:val="20"/>
          <w:szCs w:val="20"/>
        </w:rPr>
        <w:t>* Перспективные показатели качества, которые могут быть введены в нормативно-техническую документацию после разработки и утверждения в установленном порядке методов их оценки.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901"/>
      <w:bookmarkStart w:id="124" w:name="sub_901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деревянных окон, дверей и ворот допускается, при соответствующем обосновании, применять дополнительно другие показатели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1.3. Термины и определения показателей качества деревянных окон, дверей и ворот, употребляемые в настоящем стандарте, и методы их оценки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Методы определения коэффициентов сборности и унификации изложены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2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2. Применяемость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2"/>
      <w:bookmarkStart w:id="127" w:name="sub_2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Показатели качества, приведенные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, являются общими для всех классификационных групп деревянных окон, дверей и ворот, за исключением: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общего коэффициента светопропускания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теплопропускания</w:t>
        </w:r>
      </w:hyperlink>
      <w:r>
        <w:rPr>
          <w:rFonts w:cs="Arial" w:ascii="Arial" w:hAnsi="Arial"/>
          <w:sz w:val="20"/>
          <w:szCs w:val="20"/>
        </w:rPr>
        <w:t>, используемых для оценки качества окон, балконных и остекленных дверей;</w:t>
      </w:r>
    </w:p>
    <w:p>
      <w:pPr>
        <w:pStyle w:val="Normal"/>
        <w:autoSpaceDE w:val="false"/>
        <w:ind w:firstLine="720"/>
        <w:jc w:val="both"/>
        <w:rPr/>
      </w:pP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воздухопроницания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водопроницания</w:t>
        </w:r>
      </w:hyperlink>
      <w:r>
        <w:rPr>
          <w:rFonts w:cs="Arial" w:ascii="Arial" w:hAnsi="Arial"/>
          <w:sz w:val="20"/>
          <w:szCs w:val="20"/>
        </w:rPr>
        <w:t>, используемых для оценки качества окон, наружных дверей и ворот;</w:t>
      </w:r>
    </w:p>
    <w:p>
      <w:pPr>
        <w:pStyle w:val="Normal"/>
        <w:autoSpaceDE w:val="false"/>
        <w:ind w:firstLine="720"/>
        <w:jc w:val="both"/>
        <w:rPr/>
      </w:pP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сопротивления ударной нагрузке</w:t>
        </w:r>
      </w:hyperlink>
      <w:r>
        <w:rPr>
          <w:rFonts w:cs="Arial" w:ascii="Arial" w:hAnsi="Arial"/>
          <w:sz w:val="20"/>
          <w:szCs w:val="20"/>
        </w:rPr>
        <w:t xml:space="preserve"> и пробиванию,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прочности клеевого соединения</w:t>
        </w:r>
      </w:hyperlink>
      <w:r>
        <w:rPr>
          <w:rFonts w:cs="Arial" w:ascii="Arial" w:hAnsi="Arial"/>
          <w:sz w:val="20"/>
          <w:szCs w:val="20"/>
        </w:rPr>
        <w:t xml:space="preserve"> облицовки с каркасом, удельной материалоемкости и расхода листовых материалов, используемых для оценки качества дверей и ворот;</w:t>
      </w:r>
    </w:p>
    <w:p>
      <w:pPr>
        <w:pStyle w:val="Normal"/>
        <w:autoSpaceDE w:val="false"/>
        <w:ind w:firstLine="720"/>
        <w:jc w:val="both"/>
        <w:rPr/>
      </w:pP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архитектурной выразительности</w:t>
        </w:r>
      </w:hyperlink>
      <w:r>
        <w:rPr>
          <w:rFonts w:cs="Arial" w:ascii="Arial" w:hAnsi="Arial"/>
          <w:sz w:val="20"/>
          <w:szCs w:val="20"/>
        </w:rPr>
        <w:t>, являющейся необязательной для оценки качества окон, дверей и ворот вспомогательных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Применяемость показателей качества в зависимости от вида решаемых задач согласно ГОСТ 4.200-78, приведена в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2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0"/>
      <w:bookmarkStart w:id="130" w:name="sub_200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         Основные виды решаемых задач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├─────────────┬───────────────┬────────────┬──────────────┤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 │ Разработка  │Конструирование│ Аттестация │ 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стандартов, │новой продукции│  изделий   │  качеством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ТУ, СНиП   │               │            │  продукции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│     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1.1.8.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│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    │     +-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1.2.10.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│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    │      +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1.3.5.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│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1.3.6.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+-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1.4.6.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│     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+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    │     +-      │       +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1.5.6.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│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1.6.1.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    │     +-      │       +       │     -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1.6.3.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│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1.7.1.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1.7.2.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-      │       +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-      │       -       │     +-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-      │       -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-      │       -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-       │     +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+-      │       +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-      │       -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+-      │       +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+-      │       +       │     +-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-      │       -       │     + 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902"/>
      <w:bookmarkEnd w:id="131"/>
      <w:r>
        <w:rPr>
          <w:rFonts w:cs="Arial" w:ascii="Arial" w:hAnsi="Arial"/>
          <w:sz w:val="20"/>
          <w:szCs w:val="20"/>
        </w:rPr>
        <w:t>1. Знак "+" означает применяемость, знак "-" - неприменяемость, знак "+-" - ограниченную применяемость показателей при решении конкретных задач.</w:t>
      </w:r>
    </w:p>
    <w:p>
      <w:pPr>
        <w:pStyle w:val="Normal"/>
        <w:autoSpaceDE w:val="false"/>
        <w:ind w:firstLine="720"/>
        <w:jc w:val="both"/>
        <w:rPr/>
      </w:pPr>
      <w:bookmarkStart w:id="132" w:name="sub_902"/>
      <w:bookmarkEnd w:id="132"/>
      <w:r>
        <w:rPr>
          <w:rFonts w:cs="Arial" w:ascii="Arial" w:hAnsi="Arial"/>
          <w:sz w:val="20"/>
          <w:szCs w:val="20"/>
        </w:rPr>
        <w:t xml:space="preserve">2. Показатели по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пп.1.1.1 - 1.1.7</w:t>
        </w:r>
      </w:hyperlink>
      <w:r>
        <w:rPr>
          <w:rFonts w:cs="Arial" w:ascii="Arial" w:hAnsi="Arial"/>
          <w:sz w:val="20"/>
          <w:szCs w:val="20"/>
        </w:rPr>
        <w:t xml:space="preserve"> приводятся в вводной части стандартов на конкретные изделия по результатам исследовательских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Показатели качества, установленные настоящим стандартом, но не предусмотренные действующей нормативно-технической документацией на деревянные окна, двери и ворота, следует вводить при ее пересмотре (при наличии утвержденных методов их оценки, терминов, определений и условных обозначений).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1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 показателей качества деревянных окон, дверей и ворот и методы их оценки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│         Определение          │   Метод оценки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(термин)             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Общий   коэффициент  светопро-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│Коэффициент,       учитывающий│По СНиП II-4-79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0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пускания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│потери  света   в   переплетах│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светопроема,           несущих│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конструкциях,   солнцезащитных│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устройствах,  защитной   сетке│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    фонарями,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светопропускание материала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0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звукоизоляции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-               │Подлежит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0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03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теплопередачи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-               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03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0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теплопропускания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-               │По СНиП II-3-79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0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солнцезащитного устройства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05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воздухопроницания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-               │Подлежит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0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06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водопроницания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-               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0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07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Предел огнестойкости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 СНиП II-2-80               │        - "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0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08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Сопротивление статической наг-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 статической нагрузки,│Окна   и  балконные│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08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рузке (действующей: в плоскос-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│действующей на изделие или его│двери    по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ти створки, полотна; перпенди-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│сборочные единицы  и  приборы.│24033-80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кулярно  к  плоскости створки,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│Различают  контрольную   (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полотна;  на  запирающие  при-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│предельную    (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P`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величину│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боры и ручки)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│сопротивления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09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Сопротивление ударной нагрузке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 потенциальной энергии│Подлежит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09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неупругого тела, падающего  на│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створку (полотно).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Различают контрольную (</w:t>
      </w:r>
      <w:hyperlink w:anchor="sub_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Е_у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предельную   (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Е`_у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величину│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нагрузки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10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Сопротивление пробиванию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│Величина потенциальной энергии│По СТ СЭВ 3284-81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1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упругого  тела,  падающего  на│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створку    (полотно)    двери.│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Различают контрольную (</w:t>
      </w:r>
      <w:hyperlink w:anchor="sub_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Е_п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предельную   (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Е`_п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величину│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пробивания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1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Порода древесины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-               │По  ГОСТ   475-78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1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23166-78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1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Контрольная наработка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│Величина,      характеризующая│Окна   и  балконные│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1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работы│двери по   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в циклах, без отказов│24033-80, двери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СЭВ 3285-81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13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Наработка до первого отказа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│Величина,      характеризующая│То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13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работы│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 в       циклах, до│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первого отказа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14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Срок службы изделия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│По ГОСТ 13377-75              │Подлежит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14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15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Гарантийный срок хранения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 ГОСТ 22352-11              │По ГОСТ 22352-77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15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16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ремонтопригодности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    характеризующая│Отсутствует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16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приспособленность  конструкции│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к    предупреждению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обнаружению      повреждений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устранению их путем ремонта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17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Отклонения от размеров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25346-82              │По  ГОСТ  475-78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17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23166-78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18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Шероховатость поверхностей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│По ГОСТ 7016-82               │По ГОСТ 15612-78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18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19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Влажность древесины деталей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 ГОСТ 23431-79              │По ГОСТ 16588-79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19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20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Прочность клеевых соединений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│Количественная  характеристика│По  ГОСТ  475-78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20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способности           клеевого│ГОСТ 23166-78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сопротивляться│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разрушению    под    действием│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нагрузок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2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Нормы    ограничения   пороков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│По  ГОСТ 475-78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2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древесины и обработки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│ГОСТ 23166-78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2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Заводская           готовность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475-78 и ГОСТ 23166-78│То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2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(комплектность,  законченность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отделки и т.п.)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2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Материалоемкость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│Количество материала в готовом│По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2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изделии, отнесенное  на  1  м2│мативно-технической│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  │документации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24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Расход материалов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│Количество          материалов│То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24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определенного вида  (размеров,│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и т.п.),  необходимое│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изготовления 1 м2 изделий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25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Трудоемкость изготовления  из-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│Суммарные затраты труда  на  1│        "-"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25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делия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│м2 изделия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26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Энергоемкость изготовления из-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│Затраты электроэнергии на 1 м2│По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26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делия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│изделия                       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27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унификации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18831-73              │См. приложение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27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2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сборности изделия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│То же                         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28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29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Масса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-        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29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30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Габаритные размеры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-               │По      действующим│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30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 на  окна│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двери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31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     использования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РД 50-149-79               │По РД 50-149-79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3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емкости   и   грузоподъемности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транспортных средств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3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Удельная стоимость   материала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 средней   стоимости│По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3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упаковки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│материалов для упаковки к 1 м2│мативно-технической│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  │документации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3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Удельная трудоемкость упаковки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средней трудоемкости│То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3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операций│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 изделия   к   1   м2│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34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  сохраняемости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│Доли изделий, сохранивших свои│По РД 50-149-79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34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после транспортирования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│свойства в  заданных  пределах│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транспортирования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35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сложности ухода за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    характеризующая│По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35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изделием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│степень  сложности  ухода   за│мативно-технической│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изделием   в      процессе его│документации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36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Простота обращения с приборами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36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37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Усилие открывания, закрывания,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       - "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37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разъема   и  фиксации  створок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(полотен) и приборов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38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Архитектурная  выразительность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       - "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38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изделия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39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Внешний вид изделия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-               │       - "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39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40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Среднее квадратическое откло-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│По ГОСТ 15893-77              │По ГОСТ 11.004-74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40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нение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│Определяется и нормируется для│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качества,  имеющих│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переменные численные  значения│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(размеры,           влажность,│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шероховатость,       прочность│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клеевых соединений)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4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      стабильности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    характеризующая│По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4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технологических   операций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│свойство       технологической│мативно-технической│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процессов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│операции            (процесса)│документации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обеспечивать      изготовление│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(изделий)  в  течение│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определенного        времени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требованиями│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42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Удельная стоимость  зареклами-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│Отчетность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42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рованной продукции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43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Брак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      -               │Отчетность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43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44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Удельная себестоимость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общей  себестоимости│По отраслевой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44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 м2 изделия                │мативно-технической│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45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Рентабельность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-               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45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46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Годовой   народнохозяйственный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-               │        - "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46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экономический эффект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47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Патентная чистота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│Степень воплощения  в  изделии│По РД 50-149-79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47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   решений,│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способствующих             его│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беспрепятственной реализации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и за рубежом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48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Патентная защита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│Степень     защиты     изделия│То же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48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авторскими  свидетельствами 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 и  патентами  в  странах│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предполагаемого  экспорта  или│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продажи            лицензий на│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отечественные изобретения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49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Наличие экспорта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-               │Отчетность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49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└───┴──────────────────────────────┴──────────────────────────────┴───────────────────┘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20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2000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Методы определения коэффициентов сборности и унификации окон, дверей и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Коэффициент сборности изделия </w:t>
      </w:r>
      <w:hyperlink w:anchor="sub_1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К_сб</w:t>
        </w:r>
      </w:hyperlink>
      <w:r>
        <w:rPr>
          <w:rFonts w:cs="Arial" w:ascii="Arial" w:hAnsi="Arial"/>
          <w:sz w:val="20"/>
          <w:szCs w:val="20"/>
        </w:rPr>
        <w:t>, количественно характеризующий сложность сборки изделия в процессе его изготовления,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   Е +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где: Е - общее число сборочных единиц в изделии;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общее число деталей, за исключением вошедших в сборочные единицы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крепежных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Сборочными единицами окон, дверей и ворот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створки окон, клапаны, фрамуги, форточки, собранные в рамки, без стекла, приборов и других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полотна дверей и ворот, собранные в рамки или щиты, без стекла, филенок, раскладок, приборов и пр.;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стеклопакеты, приборы, жалюзи, сетки, филенки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числу деталей (за исключением вошедших в сборочные единицы) относятся: стекла, отливы, нащельники, раскладки, подкладки, жалюзийные планки, рейки облицовки, рейки обшивки, детали филенок, уплотняющие прокладки, угольники, крепежные детали, в том числе для приборов, и другие.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Коэффициент унификации изделия </w:t>
      </w:r>
      <w:hyperlink w:anchor="sub_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К_у</w:t>
        </w:r>
      </w:hyperlink>
      <w:r>
        <w:rPr>
          <w:rFonts w:cs="Arial" w:ascii="Arial" w:hAnsi="Arial"/>
          <w:sz w:val="20"/>
          <w:szCs w:val="20"/>
        </w:rPr>
        <w:t>, количественно характеризующий насыщенность изделия унифицированными деталями и унифицированными сборочными единицами,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+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Е +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где: Е  - число унифицированных сборочных единиц в изделии;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- число   унифицированных   деталей  в  изделии,  за  исключением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вошедших у в сборочные единицы и крепежных деталей;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- общее число сборочных единиц в изделии;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- общее   число  деталей  в  изделии,  за  исключением вошедших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единицы и крепежных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унифицированным сборочным единицам и унифицированным деталям относят унифицированные по размерам или форме в пределах изделия или заимствованные из ряда аналогичных деталей (например, форточки, клапаны, отливы, нащельники и т.д.) или стандартные покупные изделия (например, стеклопакеты, приборы, угольники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2007-02-05T18:48:00Z</dcterms:created>
  <dc:creator>Виктор</dc:creator>
  <dc:description/>
  <dc:language>ru-RU</dc:language>
  <cp:lastModifiedBy>Виктор</cp:lastModifiedBy>
  <dcterms:modified xsi:type="dcterms:W3CDTF">2007-02-05T18:49:00Z</dcterms:modified>
  <cp:revision>2</cp:revision>
  <dc:subject/>
  <dc:title/>
</cp:coreProperties>
</file>