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Государственный стандарт СССР ГОСТ 4.224-83 </w:t>
        <w:br/>
        <w:t xml:space="preserve">"Система показателей качества продукции. Строительство. </w:t>
        <w:br/>
        <w:t xml:space="preserve">Материалы и изделия полимерные строительные </w:t>
        <w:br/>
        <w:t xml:space="preserve">герметизирующие и уплотняющие. </w:t>
        <w:br/>
        <w:t xml:space="preserve">Номенклатура показателей" </w:t>
        <w:br/>
        <w:t>(утв. постановлением Госстроя СССР от 25 января 1983 г. N 17)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Quality ratings system. Building.and caulking malerials and products.Nomenclature of characteristics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герметизирующие и уплотняющие полимерные строительные материалы и изделия и устанавливает номенклатуру показателей их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продукции, прогнозирования и планировании ее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новых видов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материалы и изделия для герметизации стыков металлических слоистых панелей с утеплителем из пенопластов, а также стыков специальных сооружений, эксплуатируемых в условиях агрессивных сред.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следует устанавливать соответствующими стандартами и техническими условиями на конкретные виды материалов и изделий, а также методиками по оценке уровня качества продукции,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требованиями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и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10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0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критерия, показателя качества и │  Условное обозначение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измерения              │   показателя качества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Технический уровень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1.1. Показатели назначения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11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Интервал температуры нанесения, °С    │           t_н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2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Предел прочности при  растяжении,  МПа│           R_p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2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3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Условная прочность в  момент  разрыва,│           f_p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3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4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Условное напряжение  при  100-  и  300│       f100, f300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4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%-ном удлинении, МПа (кгс/см2)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5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 Сопротивление  сжатию  при   50 %-ной│           R_сж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5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 при  максимальной  и  минимальной│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нанесения, МПа (кгс/см2)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6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 Относительное  удлинение   в   момент│        эпсилон_р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6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разрыва, %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7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   Относительное         удлинение при│         эпсилон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7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максимальной нагрузке, %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   Относительное         удлинение при│      эпсилон_tmin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8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минимальной температуре эксплуатации, %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9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1.1.9.    Относительное         удлинение при│      эпсилон_tmax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9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максимальной температуре эксплуатации, %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1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1.1.10.   Значение    предельно    допустимой│       эпсилон_доп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1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материала или изделия в стыке, %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1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1.1.11. Относительная  остаточная  деформация│         Тэта_р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1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разрыва, %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2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1.1.12. Относительная  остаточная  деформация│         Тэта_сж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1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50%-ном сжатии, %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3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1.1.13. Усадка, %                            │          альфа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3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14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1.1.14. Содержание сухого остатка, %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1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15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1.1.15. Твердость, усл. ед. или мм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15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16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1.1.16. Вязкость, П  или усл. ед.            │            S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6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17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1.1.17. Сопротивление текучести при  заданной│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17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температуре, мм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18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1.1.18.     Температура         хрупкости или│          t_хр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18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предел хрупкости, °С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19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1.1.19. Водопоглощение, %                    │           W_п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19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20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1.1.20. Водопроницаемость, Па (ати)          │           Вп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20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1.1.21. Воздухопроницаемость, м3/ч х Па      │           Вз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1.1.22. Теплопроводность, Вт/м х К           │         лямбда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2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1.1.23. Прочность связи  с  поверхностью  при│          сигма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2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отрыве, МПа  или при отслаивании, Н/м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24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1.1.24. Липкость, Н/м                        │            Л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24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25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1.1.25.  Характер  разрушения   (адгезионный,│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25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когезионный, смешанный)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26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1.1.26. Жизнеспособность; время сушки, ч     │            Ж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26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27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1.1.27. Полное время отверждения, сут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27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28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1.1.28. Пенетрация, мм    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28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29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1.1.29. Миграция пластификатора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29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30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1.1.30. Показатели пожарной опасности (темпе-│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30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ратура вспышки,  °С; температура  воспламене-│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°С; температура самовоспламенения, °С)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1.1.31. Биостойкость      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1.1.32. Атмосферостойкость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1.1.33. Стойкость к циклическим  деформациям,│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циклы 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1.2. Показатели конструктивности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21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Геометрические  размеры  и  предельные│  L, В, H, D, Дельта L,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2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от них, мм                        │   Дельта B, Дельта H,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D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2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Плотность, кг/м3                      │            Q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2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23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Структура          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23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1.3. Показатели надежности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31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Срок службы, лет   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3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Гарантийный срок хранения, мес        │           Т_х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Условия хранения   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1.4. Показатели технологичности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4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 Удельная  трудоемкость  изготовления,│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чел.-ч/ед. продукции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Удельная  трудоемкость  нанесения  или│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установки, чел.- ч/ед. продукции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43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 Удельная   материалоемкость,   кг/ед.│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4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1.4.4. Степень  механизации  и  автоматизации│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изготовления, %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1.4.5. Степень механизации нанесения, %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1.4.6.    Энергоемкость        изготовления и│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нанесения, кВт х ч/ед. продукции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5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1.5. Показатели транспортабельности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5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5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 Масса  брутто  единицы   упакованного│            m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51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места, кг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Габаритные размеры тары, мм           │          lxbxh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53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     Возможность      контейнеризации,│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5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пакетирования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1.5.4. Материалоемкость упаковки, кг/кг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1.5.5. Трудоемкость упаковки, чел.-ч         │            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1.5.6.  Трудоемкость  погрузки  и  разгрузки,│          Т_пр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 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1.6. Эргономические показатели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6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1.6.1. Температурные пределы эксплуатации, °С│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6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6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1.6.2. Уровень токсичности материалов, мг/м3 │           Х_с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6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63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1.6.3. Удобство пользования продукцией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6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1.7. Эстетические показатели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7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1.7.1. Внешний вид        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7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Стабильность показателей качества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Среднее квадратичное отклонение         │            S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Сопротивление текучести  при  заданной│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Условная прочность в момент разрыва   │          S_fp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2.1.3.  Относительное  удлинение   в   момент│          S_np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разрыва   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2.1.4.  Относительная  остаточная  деформация│        S_ Тэтаp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разрыва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2.1.5. Предел прочности при растяжении       │          S_Rp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2.1.6.    Относительное         удлинение при│           S_s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максимальной нагрузке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2.1.7. Прочность  связи  с  поверхностью  при│         S_сигма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отрыве или при отслаивании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2.1.8.  Напряжения  сжатия   при      50%-ной│          S_Rсж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        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2.1.9.  Относительная  остаточная  деформация│        S_ Тэтасж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50%-ном сжатии 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Показатели  соблюдения     стандартов и│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условий   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Процент зарекламированной продукции  в│           Р_с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общем объеме продукции, %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Процент брака, %   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2.2.3. Количество рекламаций, шт.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Экономическая эффективность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Экономические показатели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 Удельные   капитальные     вложения в│            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производство, руб./ед. продукции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Себестоимость, руб./ед. продукции     │            С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 Рентабельность, %                     │            Р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3.1.4. Отпускная цена, руб.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3.1.5.    Годовой    экономический    эффект,│            Э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получаемый в народном хозяйстве, руб.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Конкурентоспособность на внешнем рынке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Патентно-правовые показатели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Показатель патентной чистоты          │           П_ч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Показатель патентной защиты           │           П_з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 Наличие экспорта                      │ 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герметизирующих и уплотняющих материалов и изделий при соответствующем обосновании допускается применять дополнительно другие показатели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7" w:name="sub_200"/>
      <w:bookmarkEnd w:id="87"/>
      <w:r>
        <w:rPr>
          <w:rFonts w:cs="Arial" w:ascii="Arial" w:hAnsi="Arial"/>
          <w:b/>
          <w:bCs/>
          <w:sz w:val="20"/>
          <w:szCs w:val="20"/>
        </w:rPr>
        <w:t>2.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8" w:name="sub_200"/>
      <w:bookmarkStart w:id="89" w:name="sub_200"/>
      <w:bookmarkEnd w:id="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Область применения критериев и показателей качества герметизирующих и уплотняющих материалов и изделий должна приниматься по ГОСТ 4.200-78.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Критерии и показатели качества, установленные настоящим стандартом, распространяются на герметизирующие и уплотняющие полимерные строительные материалы и изделия следующих видов: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мастики (отверждающиеся, неотверждающиеся, высыхающие);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погонажные изделия (прокладки и профили пористые и плотные, ленты, устанавливаемые насухо, на клеях и самоклеющиеся).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Показатели качества, обозначенные в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номерами </w:t>
      </w:r>
      <w:hyperlink w:anchor="sub_122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1.3.1 - 1.3.3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3">
        <w:r>
          <w:rPr>
            <w:rStyle w:val="Style15"/>
            <w:rFonts w:cs="Arial" w:ascii="Arial" w:hAnsi="Arial"/>
            <w:sz w:val="20"/>
            <w:szCs w:val="20"/>
            <w:u w:val="single"/>
          </w:rPr>
          <w:t>1.4.3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3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1">
        <w:r>
          <w:rPr>
            <w:rStyle w:val="Style15"/>
            <w:rFonts w:cs="Arial" w:ascii="Arial" w:hAnsi="Arial"/>
            <w:sz w:val="20"/>
            <w:szCs w:val="20"/>
            <w:u w:val="single"/>
          </w:rPr>
          <w:t>1.6.1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3">
        <w:r>
          <w:rPr>
            <w:rStyle w:val="Style15"/>
            <w:rFonts w:cs="Arial" w:ascii="Arial" w:hAnsi="Arial"/>
            <w:sz w:val="20"/>
            <w:szCs w:val="20"/>
            <w:u w:val="single"/>
          </w:rPr>
          <w:t>1.6.3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1">
        <w:r>
          <w:rPr>
            <w:rStyle w:val="Style15"/>
            <w:rFonts w:cs="Arial" w:ascii="Arial" w:hAnsi="Arial"/>
            <w:sz w:val="20"/>
            <w:szCs w:val="20"/>
            <w:u w:val="single"/>
          </w:rPr>
          <w:t>1.7.1</w:t>
        </w:r>
      </w:hyperlink>
      <w:r>
        <w:rPr>
          <w:rFonts w:cs="Arial" w:ascii="Arial" w:hAnsi="Arial"/>
          <w:sz w:val="20"/>
          <w:szCs w:val="20"/>
        </w:rPr>
        <w:t>, следует применять при разработке стандартов, технических условий и других нормативных документов на все виды герметизирующих и уплотняющих материалов и изделий, а также при решении всех задач, установленных настоящим стандартом. Показатель номер 1.3.1 является перспективным.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Показатель качества, обозначенный в табл.1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номером 1.1.1</w:t>
        </w:r>
      </w:hyperlink>
      <w:r>
        <w:rPr>
          <w:rFonts w:cs="Arial" w:ascii="Arial" w:hAnsi="Arial"/>
          <w:sz w:val="20"/>
          <w:szCs w:val="20"/>
        </w:rPr>
        <w:t>, следует применять при разработке нормативных документов на нанесение и установку герметизирующих и уплотняющих материалов и изделий.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 Применяемость других показателей качества по критерию технического уровня для мастик приведена в табл.2, для прокладок и профилей - в </w:t>
      </w:r>
      <w:hyperlink w:anchor="sub_1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, для лент - в </w:t>
      </w:r>
      <w:hyperlink w:anchor="sub_14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120"/>
      <w:bookmarkEnd w:id="9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20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┌────────┬───────────────────────────┬─────────┬────────────────────────┐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   Мастики          │  Номер  │         Мастики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показа- ├─────────┬────────┬────────┤показате-├────────┬───────┬───────┤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│отврежда-│неотвер-│высыхаю-│   ля    │отверж- │неотве-│высыха-│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качества│ ющиеся  │ждающие-│  щие   │качества │дающиеся│рждаю- │  ющие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         │   ся   │        │по табл.1│        │ щиеся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│ 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+    │   -    │ </w:t>
      </w:r>
      <w:hyperlink w:anchor="sub_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│   -   │   +-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-    │   +    │ </w:t>
      </w:r>
      <w:hyperlink w:anchor="sub_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│   +   │   +-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 │   -    │   -    │ </w:t>
      </w:r>
      <w:hyperlink w:anchor="sub_1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│   -   │   +-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-    │   +    │ </w:t>
      </w:r>
      <w:hyperlink w:anchor="sub_1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-    │  (+)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+    │   -    │ </w:t>
      </w:r>
      <w:hyperlink w:anchor="sub_1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 │ 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 │   +    │   +-   │ </w:t>
      </w:r>
      <w:hyperlink w:anchor="sub_11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 │ 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 │   +-   │   +-   │ </w:t>
      </w:r>
      <w:hyperlink w:anchor="sub_11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 │   -   │   +-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+-    │   -    │   +    │ </w:t>
      </w:r>
      <w:hyperlink w:anchor="sub_11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-    │   +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-    │   +    │ </w:t>
      </w:r>
      <w:hyperlink w:anchor="sub_11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-    │   +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+-    │   -    │   +-   │ </w:t>
      </w:r>
      <w:hyperlink w:anchor="sub_11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│  +-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+-    │   -    │   +-   │  </w:t>
      </w:r>
      <w:hyperlink w:anchor="sub_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 │  +-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├────────┼─────────┼────────┼────────┼─────────┼────────┼───────┼───────┤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+    │   +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└────────┴─────────┴────────┴────────┴─────────┴────────┴───────┴───────┘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30"/>
      <w:bookmarkEnd w:id="9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30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Прокладки и профили │    Номер     │ Прокладки и профили│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├──────────┬──────────┤  показателя  ├──────────┬─────────┤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│ пористые │ плотные  │ качества по  │ пористые │ плотные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         │    табл.1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+-    │    +     │    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 │  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 │    +-    │    </w:t>
      </w:r>
      <w:hyperlink w:anchor="sub_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+-    │    +     │    </w:t>
      </w:r>
      <w:hyperlink w:anchor="sub_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 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+-    │    +-    │    </w:t>
      </w:r>
      <w:hyperlink w:anchor="sub_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+ 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+-    │    +-    │    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+     │ 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├─────────────┼──────────┼──────────┼──────────────┼──────────┼─────────┤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+-    │    +-    │    </w:t>
      </w:r>
      <w:hyperlink w:anchor="sub_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+-    │  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└─────────────┴──────────┴──────────┴──────────────┴──────────┴─────────┘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140"/>
      <w:bookmarkEnd w:id="94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40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          │ Номер  │          Ленты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├────────┬────────┬────────┤показа- ├─────────┬────────┬──────┤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показате-│устанав-│устанав-│самокле-│  теля  │устанав- │устанав-│самок-│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 │ливаемые│ливаемые│ ющиеся │качества│ливаемые │ливаемые│ лею-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│ насухо │на клеях│        │   по   │ насухо  │на клеях│ щиеся│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│        │        │ табл.1 │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-    │   +    │   +    │ </w:t>
      </w:r>
      <w:hyperlink w:anchor="sub_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(+-)  │  (+)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 │   +-   │   -    │ </w:t>
      </w:r>
      <w:hyperlink w:anchor="sub_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+  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 │   +    │   -    │ </w:t>
      </w:r>
      <w:hyperlink w:anchor="sub_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+  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-    │   +-   │   +    │ </w:t>
      </w:r>
      <w:hyperlink w:anchor="sub_1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+  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│   +-   │   +-   │ </w:t>
      </w:r>
      <w:hyperlink w:anchor="sub_1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-    │  (+)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+-   │   +-   │   +-   │ </w:t>
      </w:r>
      <w:hyperlink w:anchor="sub_1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+  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├─────────┼────────┼────────┼────────┼────────┼─────────┼────────┼──────┤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 │   +-   │   -    │ </w:t>
      </w:r>
      <w:hyperlink w:anchor="sub_11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-  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└─────────┴────────┴────────┴────────┴────────┴─────────┴────────┴──────┘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</w:t>
      </w:r>
      <w:hyperlink w:anchor="sub_1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табл.2 - 4</w:t>
        </w:r>
      </w:hyperlink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- неприменяемость, знак "+-" - ограниченную применяемость соответствующего показателя качества. Знак (+) означает, что показатель качества является перспективным.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2.6. Показатели качества, обозначенные в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номерами </w:t>
      </w:r>
      <w:hyperlink w:anchor="sub_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20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1.1.20 - 1.1.22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30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1.1.30 - 1.1.33</w:t>
        </w:r>
      </w:hyperlink>
      <w:r>
        <w:rPr>
          <w:rFonts w:cs="Arial" w:ascii="Arial" w:hAnsi="Arial"/>
          <w:sz w:val="20"/>
          <w:szCs w:val="20"/>
        </w:rPr>
        <w:t>, следует применять дополнительно при выборе оптимального варианта новых видов герметизирующих и уплотняющих материалов и изделий. Показатель номер 1.1.10 является перспективным.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27. Показатели качества, обозначенные в табл.1 (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1.5</w:t>
        </w:r>
      </w:hyperlink>
      <w:r>
        <w:rPr>
          <w:rFonts w:cs="Arial" w:ascii="Arial" w:hAnsi="Arial"/>
          <w:sz w:val="20"/>
          <w:szCs w:val="20"/>
        </w:rPr>
        <w:t>), следует применять дополнительно при аттестации герметизирующих и уплотняющих материалов и изделий, представлении отчетности и информации об их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Применяемость показателей качества для герметизирующих материалов и изделий, не указанных в табл.2 - 4 (вновь разработанных и осваиваемых), следует принимать по аналогии с материалами и изделиями того же функционального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Приведенные в табл.1 - 4 показатели качества, не вошедшие в действующие нормативные документы, вводятся дополнительно после разработки и введения в действие стандартов на методы контроля этих показателей.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2007-02-27T14:42:00Z</dcterms:created>
  <dc:creator>VIKTOR</dc:creator>
  <dc:description/>
  <dc:language>ru-RU</dc:language>
  <cp:lastModifiedBy>VIKTOR</cp:lastModifiedBy>
  <dcterms:modified xsi:type="dcterms:W3CDTF">2007-03-13T07:34:00Z</dcterms:modified>
  <cp:revision>3</cp:revision>
  <dc:subject/>
  <dc:title/>
</cp:coreProperties>
</file>