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3619-89</w:t>
        <w:br/>
        <w:t>"Котлы паровые стационарные. Типы и основные параметры"</w:t>
        <w:br/>
        <w:t>(утв. постановлением Госстандарта СССР от 23 марта 1989 г. N 630)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Stationary steam boilers. Types and parameters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стационарные паровые котлы (далее - котлы) паропроизводительностью от 0,16 до 3950 т/ч и абсолютным давлением пара от 0,9 до 25,0 МПа, включая котлы для сбросных парогазовых и магнитогидродинамических (МГД) установок при работе в автономном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котлы для пиковых, локомобильных установок, энерготехнологические, пароводогрейные котлы, котлы-утилизаторы тепла технологических и газотурбинных установок, высоконапорные парогенераторы парогазовых установок, котлы для интенсификации нефтедобычи, другие котлы специального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Термины, использованные в стандарте, и их определения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парового котла определяется принятой схемой движения рабочей среды. Котлы 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 - с принудительной циркуляцией;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Прп - с принудительной циркуляцией и промежуточным перегревом пара;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 - с естественной циркуляцией;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Eп - с естественной циркуляцией и промежуточным перегревом пара;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- прямоточные;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 - прямоточные с промежуточным перегревом пара;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с комбинированной циркуляцией;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Кп - с комбинированной циркуляцией и промежуточным перегревом пара.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Основные параметры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21"/>
      <w:bookmarkEnd w:id="6"/>
      <w:r>
        <w:rPr>
          <w:rFonts w:cs="Arial" w:ascii="Arial" w:hAnsi="Arial"/>
          <w:sz w:val="20"/>
          <w:szCs w:val="20"/>
        </w:rPr>
        <w:t xml:space="preserve">2.1. Номинальные значения основных параметров котлов должны соответствовать указанным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1"/>
      <w:bookmarkStart w:id="8" w:name="sub_2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21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101"/>
      <w:bookmarkStart w:id="11" w:name="sub_210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┌───────┬───────────────┬───────┬──────────────┬─────────┬───────────────┐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│Паропроизводи- │Абсолю-│Состояние или │Темпера- │  Температура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│тельность, т/ч │ тное  │ температура  │тура пара│  питательной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давле- │   пара, °С   │промежу- │   воды, °С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          │ точного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пара, │              │перегрева│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│              │  ,  °С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0,16;      0,2;│ 10,9  │Насыщенный    │    -    │50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(99); 100;│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0,25; 0,4; 0,7;│       │              │         │(105)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│1,0 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160; 220       │  9,8  │540           │    -    │215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210; 320;  420;│ 13,8  │560           │    -    │230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500; 820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│1,6; 2,5       │  0,9  │Насыщенный    │    -    │50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0,2; 0,25; 0,4;│       │              │         │50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(90); 100;│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(0,65);    0,7;│       │Насыщенный    │         │(120)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(0,8);     1,0;│  0,9  │(или 220; 250;│    -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(1,3);     1,6;│       │300)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(2,0);     2,5;│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(3,2)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 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├───────────────┤       │              │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(4,0);   (6,5);│       │              │         │(90);      100;│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(8,0);    (10);│       │              │         │(120)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(12);     (16);│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(25)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(1,6);   (3,2);│(1,25) │(Насыщенный   │    -    │(105; 145)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(6,5);     (8);│       │или 220;  250;│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(10);     (12);│       │300)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(25);     (40);│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(64)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│  1,4  │Насыщенный    │    -    │(90);      100;│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220; 250;│         │(105);   (120);│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300; 350)     │         │145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(1,25);  (1,6);│  1,4  │Насыщенный или│    -    │(90);      100;│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(2);  4;   6,5;│       │225;     (220;│         │(105);   (120);│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(8); 10;  (12);│       │250; 300; 350)│         │145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16;  (20);  25;│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(30);  36;  50;│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100; 160       │  1,4  │(Насыщенный   │    -    │(90);      100,│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220;  300;│         │(105);   (120);│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350); 250     │         │145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(4), (6,5); 10;│       │Насыщенный пли│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(12); 16; (20);│       │250;     (300;│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25; 35; (40)   │  2,4  │350; 380; 400;│    -    │(90);      100;│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425)          │         │(105);   (120);│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├───────────────┤       ├──────────────┤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50;  (64),  75;│       │(Насыщенный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100; 160       │       │или 300;  350,│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380,      400;│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425); 250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 16;  (20);│  3,9  │440;     (380;│    -    │(130);     145;│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25; 35; 50; 75;│       │420)          │         │(165)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160  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(10);     (12);│ (4,5) │(425, 460)    │    -    │(105); (145)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(16);     (25);│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(35);     (40);│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(50);     (84);│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(75); (100)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(25);     (35);│ (7,0) │(490;     510;│    -    │(165);   (200);│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(50);     (75);│       │525)          │         │(220)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; (140)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(50);     (80),│ (9,6) │(505;    525);│    -    │(210);     215;│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(100);   (120);│  9,8  │540           │         │(230); (260)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(140);     160;│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220; (260)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(100);   (140);│(13,6) │(525;     540;│    -    │(210);     230;│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210;     (220);│ 13,8  │565); 560     │         │(250)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(260);     320;│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420;       500;│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(670);   (800);│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820; (970)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Еп     │(380);   (420);│(13,6) │(525;    540);│  (525;  │(210);   (230);│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(500);     670;│ 13,8  │545;   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;│  540);  │240; (250)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(800);   (970),│       │565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545;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(1600); (1900) │       │              │ 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620-670        │ 17,3- │545-565       │ 542-563 │240-270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900-1000       │ 19,0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     │670            │(13,6) │(540);    545;│ (540);  │(230); 240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13,8  │555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545;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300;       500;│ 17,3- │540,   545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;│  540;   │230; 240;  250;│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670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800;   │ 19,0  │555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545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│260; 275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970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│       │              │ 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1100; │       │              │ 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1650; 1900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1000;     1650;│ 25,0  │(540);    545;│ (540);  │(240); 270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2650; 3950     │       │555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542;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Прп    │670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800;   │ 17,3- │525;      540;│525; 540;│240; 250;  260;│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970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1100;  │ 19,0  │545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│ 545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│275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1600; 1900     │       │555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     │800; 970; 1100;│ 17,3  │540           │   540   │250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1600; 1900     │       │              │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300; 500; 1000 │ 19,0  │540           │   540   │260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├───────────────┼───────┼──────────────┼─────────┼───────────────┤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1000;      1650│ 25,0  │(540);    545;│ (540);  │(240); 270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2650, 3950     │       │555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542;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565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└───────┴───────────────┴───────┴──────────────┴─────────┴───────────────┘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11"/>
      <w:bookmarkEnd w:id="12"/>
      <w:r>
        <w:rPr>
          <w:rFonts w:cs="Arial" w:ascii="Arial" w:hAnsi="Arial"/>
          <w:sz w:val="20"/>
          <w:szCs w:val="20"/>
        </w:rPr>
        <w:t>* Для котлов без деаэраторов.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11"/>
      <w:bookmarkStart w:id="14" w:name="sub_2222"/>
      <w:bookmarkEnd w:id="13"/>
      <w:bookmarkEnd w:id="14"/>
      <w:r>
        <w:rPr>
          <w:rFonts w:cs="Arial" w:ascii="Arial" w:hAnsi="Arial"/>
          <w:sz w:val="20"/>
          <w:szCs w:val="20"/>
        </w:rPr>
        <w:t>** При сжигании в котле топлив с приведенным содержанием серы S(пр) &gt;= 0,05% МДж х кг(-1).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22"/>
      <w:bookmarkStart w:id="16" w:name="sub_3333"/>
      <w:bookmarkEnd w:id="15"/>
      <w:bookmarkEnd w:id="16"/>
      <w:r>
        <w:rPr>
          <w:rFonts w:cs="Arial" w:ascii="Arial" w:hAnsi="Arial"/>
          <w:sz w:val="20"/>
          <w:szCs w:val="20"/>
        </w:rPr>
        <w:t>*** Значения уточняют при проектировании.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333"/>
      <w:bookmarkStart w:id="18" w:name="sub_3333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котлов с абсолютным давлением пара от 17,3 до 19,0 МПа включительно, а также котлов, значения параметров которых заключены в скобки, допускается по согласованию между изготовителем 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работе котлов с абсолютным давлением пара 13,8 МПа на турбину ПТ-80/100-130/13 температуру питательной воды принимают равной 250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котлов типов Е, Еп, Прп с абсолютным давлением пара 13,8-25,0 МПа для сжигания сланцев температуру перегрева пара и промежуточного перегрева пара допускается принимать равной 525 °С, а абсолютное давление пара снижать на 5% номинального значения при соответствующем увеличении паропроизводительности.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2.2. При выборе параметров допускается принимать:</w:t>
      </w:r>
    </w:p>
    <w:p>
      <w:pPr>
        <w:pStyle w:val="Normal"/>
        <w:autoSpaceDE w:val="false"/>
        <w:ind w:firstLine="720"/>
        <w:jc w:val="both"/>
        <w:rPr/>
      </w:pPr>
      <w:bookmarkStart w:id="20" w:name="sub_22"/>
      <w:bookmarkEnd w:id="20"/>
      <w:r>
        <w:rPr>
          <w:rFonts w:cs="Arial" w:ascii="Arial" w:hAnsi="Arial"/>
          <w:sz w:val="20"/>
          <w:szCs w:val="20"/>
        </w:rPr>
        <w:t xml:space="preserve">значения паропроизводительности котла и давления пара, указанные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, с отклонением +-5%;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температуры перегретого пара и пара после промежуточного перегрева, указанные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, для температуры до 540°С с отклонением +-8°С, а для более высоких температур - +-5°С;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температуры питательной воды, указанные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, с отклонением +-10°С.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bookmarkEnd w:id="21"/>
      <w:r>
        <w:rPr>
          <w:rFonts w:cs="Arial" w:ascii="Arial" w:hAnsi="Arial"/>
          <w:sz w:val="20"/>
          <w:szCs w:val="20"/>
        </w:rPr>
        <w:t>2.3. Номинальные значения паропроизводительности котлов и температуры пара и промежуточного перегрева пара должны обеспечиваться при сжигании топлив, принятых при проектировании котла в качестве основного и резервных. По согласованию с потребителем при работе котла на резервном топливе допускаются отклонения параметров от номинальных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bookmarkStart w:id="23" w:name="sub_24"/>
      <w:bookmarkEnd w:id="22"/>
      <w:bookmarkEnd w:id="23"/>
      <w:r>
        <w:rPr>
          <w:rFonts w:cs="Arial" w:ascii="Arial" w:hAnsi="Arial"/>
          <w:sz w:val="20"/>
          <w:szCs w:val="20"/>
        </w:rPr>
        <w:t>2.4. На основе конструкций котлов стандартных типоразмеров по согласованию между изготовителем и потребителем допускается изготовление: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4"/>
      <w:bookmarkEnd w:id="24"/>
      <w:r>
        <w:rPr>
          <w:rFonts w:cs="Arial" w:ascii="Arial" w:hAnsi="Arial"/>
          <w:sz w:val="20"/>
          <w:szCs w:val="20"/>
        </w:rPr>
        <w:t>котлов с абсолютным давлением пара 0,9 МПа на рабочее давление 0,6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 с абсолютным давлением пара 1,4 МПа на рабочее давление 0,9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 с абсолютным давлением пара 3,9 МПа на температуру пара 300°С и без пароперегревателя;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 с абсолютным давлением пара 3,9 МПа на рабочее давление до 4,3 МПа и температуру пара до 400°С;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 с абсолютным давлением пара 3,9 МПа на температуру питательной воды 100°С при сжигании малосернистых топлив.</w:t>
      </w:r>
    </w:p>
    <w:p>
      <w:pPr>
        <w:pStyle w:val="Normal"/>
        <w:autoSpaceDE w:val="false"/>
        <w:ind w:firstLine="720"/>
        <w:jc w:val="both"/>
        <w:rPr/>
      </w:pPr>
      <w:bookmarkStart w:id="25" w:name="sub_25"/>
      <w:bookmarkEnd w:id="25"/>
      <w:r>
        <w:rPr>
          <w:rFonts w:cs="Arial" w:ascii="Arial" w:hAnsi="Arial"/>
          <w:sz w:val="20"/>
          <w:szCs w:val="20"/>
        </w:rPr>
        <w:t xml:space="preserve">2.5. Основные параметры котлов, указанные в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, должны обеспечиваться при показателях качества питательной воды для котлов с абсолютным давлением пара до 3,9 МПа включительно по ГОСТ 20995, а для котлов с абсолютным давлением пара 9,8 МПа и выше - по техническим условиям на котлы конкретных типоразмеров.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Start w:id="27" w:name="sub_26"/>
      <w:bookmarkEnd w:id="26"/>
      <w:bookmarkEnd w:id="27"/>
      <w:r>
        <w:rPr>
          <w:rFonts w:cs="Arial" w:ascii="Arial" w:hAnsi="Arial"/>
          <w:sz w:val="20"/>
          <w:szCs w:val="20"/>
        </w:rPr>
        <w:t>2.6. Для котлов с абсолютным давлением пара 3,9 МПа и выше должна быть обеспечена возможность периодической работы при выключенных регенеративных подогревателях высокого давления. Допустимую длительность такой работы определяют по согласованию между изготовителем и потребителем с учетом условий работы высокотемпературных элементов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6"/>
      <w:bookmarkEnd w:id="28"/>
      <w:r>
        <w:rPr>
          <w:rFonts w:cs="Arial" w:ascii="Arial" w:hAnsi="Arial"/>
          <w:sz w:val="20"/>
          <w:szCs w:val="20"/>
        </w:rPr>
        <w:t>Температура питательной воды в этом случае при наибольшей паропроизводительности котла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155°С - для котлов с абсолютным давлением пара 9,8 МПа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100°С - для котлов с абсолютным давлением пара 3,9 МПа, за исключением котлов, работающих на сернистом топливе с приведенным содержанием серы S(пр) &gt;= 0,05%/(MДж х кг(-1)), для которых она принимается не ниже температуры точки росы продуктов сгорания.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указанных режимов наибольшая паропроизводительность прямоточных котлов и котлов с комбинированной циркуляцией должна определяться из условий сохранения их теплопроизводительности при номинальных паропроизводительности и температуре питательной воды. Возможность сохранения теплопроизводительности барабанных котлов при указанных режимах устанавливают в технических условиях (техническом задании) на котлы конкретных типоразмеров.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7"/>
      <w:bookmarkEnd w:id="29"/>
      <w:r>
        <w:rPr>
          <w:rFonts w:cs="Arial" w:ascii="Arial" w:hAnsi="Arial"/>
          <w:sz w:val="20"/>
          <w:szCs w:val="20"/>
        </w:rPr>
        <w:t>2.7. Возможность пикового кратковременного превышения теплопроизводительности котла сверх номинальной, а также изменения параметров пара и длительность такого режима определяют в технических условиях (техническом задании) на котлы конкретных типоразмеров.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7"/>
      <w:bookmarkStart w:id="31" w:name="sub_28"/>
      <w:bookmarkEnd w:id="30"/>
      <w:bookmarkEnd w:id="31"/>
      <w:r>
        <w:rPr>
          <w:rFonts w:cs="Arial" w:ascii="Arial" w:hAnsi="Arial"/>
          <w:sz w:val="20"/>
          <w:szCs w:val="20"/>
        </w:rPr>
        <w:t>2.8. По требованию заказчика котлы, предназначенные для работы в составе энергоблоков тепловых электростанций, должны быть рассчитаны для работы в режиме скользящего давления. Возможность работы котла со скользящим давлением и диапазон такой работы устанавливают в технических условиях и (или) техническом задании на котлы конкретных типоразмеров.</w:t>
      </w:r>
    </w:p>
    <w:p>
      <w:pPr>
        <w:pStyle w:val="Normal"/>
        <w:autoSpaceDE w:val="false"/>
        <w:ind w:firstLine="720"/>
        <w:jc w:val="both"/>
        <w:rPr/>
      </w:pPr>
      <w:bookmarkStart w:id="32" w:name="sub_28"/>
      <w:bookmarkStart w:id="33" w:name="sub_29"/>
      <w:bookmarkEnd w:id="32"/>
      <w:bookmarkEnd w:id="33"/>
      <w:r>
        <w:rPr>
          <w:rFonts w:cs="Arial" w:ascii="Arial" w:hAnsi="Arial"/>
          <w:sz w:val="20"/>
          <w:szCs w:val="20"/>
        </w:rPr>
        <w:t xml:space="preserve">2.9. Для котлов с абсолютным давлением пара 3,9 МПа и выше должна обеспечиваться возможность поддержания номинальных температур пара и промежуточного перегрева пара в диапазонах изменения паропроизводительности, указанных в </w:t>
      </w:r>
      <w:hyperlink w:anchor="sub_2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9"/>
      <w:bookmarkStart w:id="35" w:name="sub_29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29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91"/>
      <w:bookmarkStart w:id="38" w:name="sub_29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котла     │           Минимальный диапазон изменения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паропроизводительности, %, с поддержанием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параметров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пара    │      температуры пара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перегрева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Пп, Кп             │        100-30         │           100-70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────────        │          ────────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100-50</w:t>
      </w:r>
      <w:hyperlink w:anchor="sub_2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100-50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Е, Еп, Прп         │        100-60         │           100-70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────────        │          ────────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100-70</w:t>
      </w:r>
      <w:hyperlink w:anchor="sub_2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100-50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111"/>
      <w:bookmarkEnd w:id="39"/>
      <w:r>
        <w:rPr>
          <w:rFonts w:cs="Arial" w:ascii="Arial" w:hAnsi="Arial"/>
          <w:sz w:val="20"/>
          <w:szCs w:val="20"/>
        </w:rPr>
        <w:t>* В особых случаях, например, при установке паропаровых теплообменников для регулирования температуры промежуточного перегрева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111"/>
      <w:bookmarkStart w:id="41" w:name="sub_22222"/>
      <w:bookmarkEnd w:id="40"/>
      <w:bookmarkEnd w:id="41"/>
      <w:r>
        <w:rPr>
          <w:rFonts w:cs="Arial" w:ascii="Arial" w:hAnsi="Arial"/>
          <w:sz w:val="20"/>
          <w:szCs w:val="20"/>
        </w:rPr>
        <w:t>** При работе со скользящим давлением по всему пароводяному тракту.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222"/>
      <w:bookmarkStart w:id="43" w:name="sub_23333"/>
      <w:bookmarkEnd w:id="42"/>
      <w:bookmarkEnd w:id="43"/>
      <w:r>
        <w:rPr>
          <w:rFonts w:cs="Arial" w:ascii="Arial" w:hAnsi="Arial"/>
          <w:sz w:val="20"/>
          <w:szCs w:val="20"/>
        </w:rPr>
        <w:t>*** Для котлов неблочных установок с давлением пара 3,9 МПа, а также котлов, поставленных на производство до 01.01.90.</w:t>
      </w:r>
    </w:p>
    <w:p>
      <w:pPr>
        <w:pStyle w:val="Normal"/>
        <w:autoSpaceDE w:val="false"/>
        <w:ind w:firstLine="720"/>
        <w:jc w:val="both"/>
        <w:rPr/>
      </w:pPr>
      <w:bookmarkStart w:id="44" w:name="sub_23333"/>
      <w:bookmarkStart w:id="45" w:name="sub_210"/>
      <w:bookmarkEnd w:id="44"/>
      <w:bookmarkEnd w:id="45"/>
      <w:r>
        <w:rPr>
          <w:rFonts w:cs="Arial" w:ascii="Arial" w:hAnsi="Arial"/>
          <w:sz w:val="20"/>
          <w:szCs w:val="20"/>
        </w:rPr>
        <w:t xml:space="preserve">2.10. При установившихся режимах работы котла в диапазонах, установленных в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2.9</w:t>
        </w:r>
      </w:hyperlink>
      <w:r>
        <w:rPr>
          <w:rFonts w:cs="Arial" w:ascii="Arial" w:hAnsi="Arial"/>
          <w:sz w:val="20"/>
          <w:szCs w:val="20"/>
        </w:rPr>
        <w:t xml:space="preserve">, отклонения средних значений температур пара и промежуточного перегрева пара от номинальных не должны выходить за пределы, указанные в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0"/>
      <w:bookmarkStart w:id="47" w:name="sub_21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1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100"/>
      <w:bookmarkStart w:id="50" w:name="sub_210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температура│Номинальная температура│ Допускаемые отклонения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         │    промежуточного     │  температуры пара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перегрева пара на   │    выходе из котла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котла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225-250        │           -           │          +30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          │           -           │          +15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515-565        │        515-563        │           +5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номинальной температуре пара 225 - 250°С отклонения установлены для диапазона паропроизводительности 90 - 100% номинальной.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номинальной температуре пара 440 - 565°С и номинальной температуре промежуточного перегрева пара 515 - 563°С отклонения установлены в диапазонах паропроизводительности, указанных в </w:t>
      </w:r>
      <w:hyperlink w:anchor="sub_2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1"/>
      <w:bookmarkEnd w:id="51"/>
      <w:r>
        <w:rPr>
          <w:rFonts w:cs="Arial" w:ascii="Arial" w:hAnsi="Arial"/>
          <w:sz w:val="20"/>
          <w:szCs w:val="20"/>
        </w:rPr>
        <w:t>2.11. Котлы должны обеспечивать номинальные паропроизводительность, температуры пара и промежуточного перегрева пара при отклонении температуры питательной воды +-10°С и при включенной непрерывной продувке, значение которой определяют в технических условиях на котлы конкретных типоразмеров.</w:t>
      </w:r>
    </w:p>
    <w:p>
      <w:pPr>
        <w:pStyle w:val="Normal"/>
        <w:autoSpaceDE w:val="false"/>
        <w:ind w:firstLine="720"/>
        <w:jc w:val="both"/>
        <w:rPr/>
      </w:pPr>
      <w:bookmarkStart w:id="52" w:name="sub_211"/>
      <w:bookmarkStart w:id="53" w:name="sub_212"/>
      <w:bookmarkEnd w:id="52"/>
      <w:bookmarkEnd w:id="53"/>
      <w:r>
        <w:rPr>
          <w:rFonts w:cs="Arial" w:ascii="Arial" w:hAnsi="Arial"/>
          <w:sz w:val="20"/>
          <w:szCs w:val="20"/>
        </w:rPr>
        <w:t xml:space="preserve">2.12. По требованию заказчика допускаемые значения снижения температур пара и промежуточного перегрева пара при значениях паропроизводительности котла, выходящих за пределы, установленные в </w:t>
      </w:r>
      <w:hyperlink w:anchor="sub_2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, устанавливают в технических условиях или техническом задании на котлы конкретных типоразмеров.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2"/>
      <w:bookmarkStart w:id="55" w:name="sub_213"/>
      <w:bookmarkEnd w:id="54"/>
      <w:bookmarkEnd w:id="55"/>
      <w:r>
        <w:rPr>
          <w:rFonts w:cs="Arial" w:ascii="Arial" w:hAnsi="Arial"/>
          <w:sz w:val="20"/>
          <w:szCs w:val="20"/>
        </w:rPr>
        <w:t>2.13. Условное обозначение типоразмера котла должно содержать:</w:t>
      </w:r>
    </w:p>
    <w:p>
      <w:pPr>
        <w:pStyle w:val="Normal"/>
        <w:autoSpaceDE w:val="false"/>
        <w:ind w:firstLine="720"/>
        <w:jc w:val="both"/>
        <w:rPr/>
      </w:pPr>
      <w:bookmarkStart w:id="56" w:name="sub_213"/>
      <w:bookmarkStart w:id="57" w:name="sub_2131"/>
      <w:bookmarkEnd w:id="56"/>
      <w:bookmarkEnd w:id="57"/>
      <w:r>
        <w:rPr>
          <w:rFonts w:cs="Arial" w:ascii="Arial" w:hAnsi="Arial"/>
          <w:sz w:val="20"/>
          <w:szCs w:val="20"/>
        </w:rPr>
        <w:t xml:space="preserve">1) тип котла по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 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31"/>
      <w:bookmarkStart w:id="59" w:name="sub_2132"/>
      <w:bookmarkEnd w:id="58"/>
      <w:bookmarkEnd w:id="59"/>
      <w:r>
        <w:rPr>
          <w:rFonts w:cs="Arial" w:ascii="Arial" w:hAnsi="Arial"/>
          <w:sz w:val="20"/>
          <w:szCs w:val="20"/>
        </w:rPr>
        <w:t>2) номинальную паропроизводительность, т/ч;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32"/>
      <w:bookmarkStart w:id="61" w:name="sub_2133"/>
      <w:bookmarkEnd w:id="60"/>
      <w:bookmarkEnd w:id="61"/>
      <w:r>
        <w:rPr>
          <w:rFonts w:cs="Arial" w:ascii="Arial" w:hAnsi="Arial"/>
          <w:sz w:val="20"/>
          <w:szCs w:val="20"/>
        </w:rPr>
        <w:t>3) абсолютное давление пара,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33"/>
      <w:bookmarkStart w:id="63" w:name="sub_2134"/>
      <w:bookmarkEnd w:id="62"/>
      <w:bookmarkEnd w:id="63"/>
      <w:r>
        <w:rPr>
          <w:rFonts w:cs="Arial" w:ascii="Arial" w:hAnsi="Arial"/>
          <w:sz w:val="20"/>
          <w:szCs w:val="20"/>
        </w:rPr>
        <w:t>4) температуру пара и промежуточного перегрева пара,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34"/>
      <w:bookmarkStart w:id="65" w:name="sub_2135"/>
      <w:bookmarkEnd w:id="64"/>
      <w:bookmarkEnd w:id="65"/>
      <w:r>
        <w:rPr>
          <w:rFonts w:cs="Arial" w:ascii="Arial" w:hAnsi="Arial"/>
          <w:sz w:val="20"/>
          <w:szCs w:val="20"/>
        </w:rPr>
        <w:t>5) индекс вида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135"/>
      <w:bookmarkStart w:id="67" w:name="sub_2136"/>
      <w:bookmarkEnd w:id="66"/>
      <w:bookmarkEnd w:id="67"/>
      <w:r>
        <w:rPr>
          <w:rFonts w:cs="Arial" w:ascii="Arial" w:hAnsi="Arial"/>
          <w:sz w:val="20"/>
          <w:szCs w:val="20"/>
        </w:rPr>
        <w:t>6) индекс типа топки;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136"/>
      <w:bookmarkStart w:id="69" w:name="sub_2137"/>
      <w:bookmarkEnd w:id="68"/>
      <w:bookmarkEnd w:id="69"/>
      <w:r>
        <w:rPr>
          <w:rFonts w:cs="Arial" w:ascii="Arial" w:hAnsi="Arial"/>
          <w:sz w:val="20"/>
          <w:szCs w:val="20"/>
        </w:rPr>
        <w:t>7) для котлов с давлением в топке выше атмосферного (наддувом) - добавочный индекс "Н".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137"/>
      <w:bookmarkEnd w:id="70"/>
      <w:r>
        <w:rPr>
          <w:rFonts w:cs="Arial" w:ascii="Arial" w:hAnsi="Arial"/>
          <w:sz w:val="20"/>
          <w:szCs w:val="20"/>
        </w:rPr>
        <w:t>Условное обозначение типоразмера котла должно состоять из разделенных тире и последовательно расположенных обозначений и индексов в указанной выше последовательности. При этом, если температуры пара и промежуточного перегрева пара одинаковы, то значение температуры указывается один раз; если они различны, то обе температуры указывают последовательно через дробь. Для котлов, вырабатывающих насыщенный пар, температуру пара не указывают. Индексы вида топлива, вида топки и наличия наддува между собой тире не разделяют.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14"/>
      <w:bookmarkEnd w:id="71"/>
      <w:r>
        <w:rPr>
          <w:rFonts w:cs="Arial" w:ascii="Arial" w:hAnsi="Arial"/>
          <w:sz w:val="20"/>
          <w:szCs w:val="20"/>
        </w:rPr>
        <w:t>2.14. Для обозначения вида топлива должны быть использованы следующие индексы: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14"/>
      <w:bookmarkEnd w:id="72"/>
      <w:r>
        <w:rPr>
          <w:rFonts w:cs="Arial" w:ascii="Arial" w:hAnsi="Arial"/>
          <w:sz w:val="20"/>
          <w:szCs w:val="20"/>
        </w:rPr>
        <w:t>К - каменный уголь и полуантрацит (тощий уголь);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 - антрацит, антрацитовый штыб (шлам);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 - бурый уголь, лигниты;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сланцы;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 - мазут;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газ природный;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отходы, мусор;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- другие виды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котлов, работающих на нескольких видах топлива (кроме растопочного), указывают все соответствующие индексы.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15"/>
      <w:bookmarkEnd w:id="73"/>
      <w:r>
        <w:rPr>
          <w:rFonts w:cs="Arial" w:ascii="Arial" w:hAnsi="Arial"/>
          <w:sz w:val="20"/>
          <w:szCs w:val="20"/>
        </w:rPr>
        <w:t>2.15. Для обозначения типа топки должны быть использованы следующие индексы: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15"/>
      <w:bookmarkEnd w:id="74"/>
      <w:r>
        <w:rPr>
          <w:rFonts w:cs="Arial" w:ascii="Arial" w:hAnsi="Arial"/>
          <w:sz w:val="20"/>
          <w:szCs w:val="20"/>
        </w:rPr>
        <w:t>Т - камерная топка с твердым шлакоудалением;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 - камерная топка с жидким шлакоудалением;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слоевая топка (решетка);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вихревая топка;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 - циклонная топка;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 - топка с кипящим (флюидизированным) слоем (стационарным и циркулирующим);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- иные виды топок, в том числе двухзонные.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сжигании в камерной топке мазута и (или) газа индекс типа топки в обозначении типоразмера котла не указывают.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Индексы вида топлива, сжигаемого в котле со слоевой топкой, в обозначении типоразмера котла не указывают.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16"/>
      <w:bookmarkEnd w:id="75"/>
      <w:r>
        <w:rPr>
          <w:rFonts w:cs="Arial" w:ascii="Arial" w:hAnsi="Arial"/>
          <w:sz w:val="20"/>
          <w:szCs w:val="20"/>
        </w:rPr>
        <w:t>2.16. После условного обозначения типоразмера котла по настоящему стандарту допускается указывать в скобках обозначение модели, принятое предприятием-изготовителем. Допускается перед обозначением типоразмера котла по настоящему стандарту дополнительно писать "тип" ("типа"), а перед обозначением модели, принятым предприятием-изготовителем, - "модель" ("модели").</w:t>
      </w:r>
    </w:p>
    <w:p>
      <w:pPr>
        <w:pStyle w:val="Normal"/>
        <w:autoSpaceDE w:val="false"/>
        <w:ind w:firstLine="720"/>
        <w:jc w:val="both"/>
        <w:rPr/>
      </w:pPr>
      <w:bookmarkStart w:id="76" w:name="sub_216"/>
      <w:bookmarkStart w:id="77" w:name="sub_217"/>
      <w:bookmarkEnd w:id="76"/>
      <w:bookmarkEnd w:id="77"/>
      <w:r>
        <w:rPr>
          <w:rFonts w:cs="Arial" w:ascii="Arial" w:hAnsi="Arial"/>
          <w:sz w:val="20"/>
          <w:szCs w:val="20"/>
        </w:rPr>
        <w:t xml:space="preserve">2.17. Примеры условных обозначений котлов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17"/>
      <w:bookmarkStart w:id="79" w:name="sub_217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использованные в стандарте,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  │            Определение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паропроизводительность │По ГОСТ 23172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давление пара          │По ГОСТ 23172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температура пара       │По ГОСТ 23172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            температура│По ГОСТ 23172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перегрева пара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температура питательной│По ГОСТ 23172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Основное топливо                   │Топливо, для  работы  на   котором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основном  предназначен  котел   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которому   выбирают   характеристики│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Резервное топливо                  │Топливо, на котором  может  работать│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  вместо  основного  и  которое│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предусмотрено в технических условиях│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(техническом   задании)   на   котлы│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конкретного типоразмера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     сбросных      парогазовых│Котлы, предназначенные для работы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          │сбросных газах  из  газовых  турбин,│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в  качестве  окислителя│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топлива,  сжигаемого  в   топке│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 МГД-установок                │Котлы, использующие  теплоту  потока│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                установок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непосредственного     преобразования│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тепловой энергии  низкотемпературной│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плазмы в электрическую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2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условных обозначений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типа Е, паропроизводительностью 10 т/ч, с абсолютным давлением пара 1,4 МПа, для выработки насыщенного пара, со слоевой топкой для сжигания угля: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Е-10-1,4Р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Е, паропроизводительностью 160 т/ч, с абсолютным давлением пара 2,4 МПа, температурой пара 250°С, со сжиганием сланцев в топке с кипящим слоем: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Е-160-2,4-250СФ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Е, паропроизводительностью 500 т/ч, с абсолютным давлением пара 13,8 МПа, температурой пара 560°С, со сжиганием газа и мазута в камерной топке: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Е-500-13,8-560ГМ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со сжиганием газа и мазута в вихревой топке под наддувом: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Е-500-13,8-560ГМВН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Еп, паропроизводительностыо 670 т/ч, с абсолютным давлением пара 13,8 МПа, температурой пара 545°С и температурой промежуточного перегрева пара 545°С, со сжиганием бурого угля в топке с жидким шлакоудалением: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Еп-670-18,8-545БЖ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Пп, паропроизводительностью 1000 т/ч, с абсолютным давлением пара 25,0 МПа, температурой пара 545°С и температурой промежуточного перегрева пара 542°C, со сжиганием каменного угля в камерной топке с твердым шлакоудалением: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Пп-1000-25,0-545/542КТ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Пп, паропроизводительностью 1000 т/ч, с абсолютным давлением пара 25,0 МПа, температурой перегрева пара 560°С и температурой пара промежуточного перегрева 560°С, со сжиганием в камерной топке с твердым шлакоудалением каменного и бурого углей: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Пп-1000-25,0-560КБТ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Прп, паропроизводительностью 650 т/ч, с абсолютным давлением пара 17,7 МПа, температурой пара 565°С и температурой промежуточного перегрева пара 563°С, со сжиганием газа и мазута в камерной топке под наддувом: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Прп-650-17,7-565/563ГМН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типа Е, паропроизводительностью 400 т/ч (значение паропроизводительности отличается от установленного в табл. 1), с абсолютным давлением пара 13,8 МПа, температурой пара 560°С, без промежуточного перегрева пара, со сжиганием каменного угля, природного газа, коксового и доменного газов в камерной топке с твердым шлакоудалением: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Котел паровой Е-400-13,8-560КГДТ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2007-02-10T22:56:00Z</dcterms:created>
  <dc:creator>Виктор</dc:creator>
  <dc:description/>
  <dc:language>ru-RU</dc:language>
  <cp:lastModifiedBy>Виктор</cp:lastModifiedBy>
  <dcterms:modified xsi:type="dcterms:W3CDTF">2007-02-10T22:56:00Z</dcterms:modified>
  <cp:revision>2</cp:revision>
  <dc:subject/>
  <dc:title/>
</cp:coreProperties>
</file>