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Союза ССР ГОСТ 3.1502-85</w:t>
        <w:br/>
        <w:t>Единая система технологической документации</w:t>
        <w:br/>
        <w:t>"Формы и правила оформления документов на технический контроль"</w:t>
        <w:br/>
        <w:t>(утв. постановлением Госстандарта СССР от 28 ноября 1985 г. N 3755)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Unified system for technological documentation. Forms and rules of makingon technical control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3.1502-74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в действие с 1 января 1987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формы и правила оформления следующих технологических документов (далее - документов), разрабатываемых с применением различных методов проектирования, на технологические процессы (ТП) и операции технического контроля, применяемых при изготовлении или ремонте изделий и их составных частей: ведомость операций (ВОП); операционная карта (ОК).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Формы и правила оформления документов на технический контроль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ВОП технического контроля используется для операционного описания технологических операций технического контроля в технологической последовательности с указанием переходов, технологических режимов и данных о технологической оснастке и норм времени, в случае наличия в ТП большого количества операций технического контроля, удобства и рациональности применения данного вида документа на рабочих местах.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ВОП должна применяться совместно с МК или КТП.</w:t>
      </w:r>
    </w:p>
    <w:p>
      <w:pPr>
        <w:pStyle w:val="Normal"/>
        <w:autoSpaceDE w:val="false"/>
        <w:ind w:firstLine="720"/>
        <w:jc w:val="both"/>
        <w:rPr/>
      </w:pPr>
      <w:bookmarkStart w:id="3" w:name="sub_2"/>
      <w:bookmarkStart w:id="4" w:name="sub_3"/>
      <w:bookmarkEnd w:id="3"/>
      <w:bookmarkEnd w:id="4"/>
      <w:r>
        <w:rPr>
          <w:rFonts w:cs="Arial" w:ascii="Arial" w:hAnsi="Arial"/>
          <w:sz w:val="20"/>
          <w:szCs w:val="20"/>
        </w:rPr>
        <w:t xml:space="preserve">3. ВОП следует выполнять на формах 1 и 1a в соответствии с требованиями </w:t>
      </w:r>
      <w:hyperlink w:anchor="sub_8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"/>
      <w:bookmarkEnd w:id="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56374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"Форма 1. Ведомость операций технического контроля (первый или заглавный лист)";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77647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"Форма 1а. Ведомость операций технического контроля (последующие листы)"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4"/>
      <w:bookmarkEnd w:id="6"/>
      <w:r>
        <w:rPr>
          <w:rFonts w:cs="Arial" w:ascii="Arial" w:hAnsi="Arial"/>
          <w:sz w:val="20"/>
          <w:szCs w:val="20"/>
        </w:rPr>
        <w:t>4. ОК следует выполнять на формах 2 и 2а в соответствии с требованиями табл.1.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4"/>
      <w:bookmarkEnd w:id="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82854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"Форма 2. Операционная карта технического контроля (первый или заглавный лист)"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50278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"Форма 2а. Операционная карта технического контроля (последующие листы)"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5"/>
      <w:bookmarkEnd w:id="8"/>
      <w:r>
        <w:rPr>
          <w:rFonts w:cs="Arial" w:ascii="Arial" w:hAnsi="Arial"/>
          <w:sz w:val="20"/>
          <w:szCs w:val="20"/>
        </w:rPr>
        <w:t>5. Размеры граф форм документов следует выбирать из табл. 1 исходя из шага печатающих устройств - 2,6 мм и интервала - 4,25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5"/>
      <w:bookmarkStart w:id="10" w:name="sub_6"/>
      <w:bookmarkEnd w:id="9"/>
      <w:bookmarkEnd w:id="10"/>
      <w:r>
        <w:rPr>
          <w:rFonts w:cs="Arial" w:ascii="Arial" w:hAnsi="Arial"/>
          <w:sz w:val="20"/>
          <w:szCs w:val="20"/>
        </w:rPr>
        <w:t>6. Разделение граф форм - по ГОСТ 3.1118-82.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6"/>
      <w:bookmarkStart w:id="12" w:name="sub_7"/>
      <w:bookmarkEnd w:id="11"/>
      <w:bookmarkEnd w:id="12"/>
      <w:r>
        <w:rPr>
          <w:rFonts w:cs="Arial" w:ascii="Arial" w:hAnsi="Arial"/>
          <w:sz w:val="20"/>
          <w:szCs w:val="20"/>
        </w:rPr>
        <w:t>7. Общие требования к формам, бланкам и документам - по ГОСТ 3.1104-81.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7"/>
      <w:bookmarkStart w:id="14" w:name="sub_7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" w:name="sub_801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801"/>
      <w:bookmarkStart w:id="17" w:name="sub_801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┌──────┬──────────────┬──────────────────────────────┬─────────┬────────┐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│ Наименование │    Содержание информации     │ Размер  │Количес-│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графы │  (условное   │                              │графы, мм│  тво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обозначение) │                              │         │ знаков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графы     │      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   -       │Обозначение служебного символа│   13 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порядковый  номер   строки,│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например, М01; Б02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8012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           │Краткая      форма      записи│   234   │   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8012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наименования  марки  материала│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3.1104-81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Примечание.   Для    сборочных│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 графа не заполняется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│Цех           │Номер (код)  цеха,  в  котором│  10,4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выполняется операция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│Уч.           │Номер    (код)    участка    в│  10,4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конвейере, поточной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и т. д.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│РМ            │Номер (код) рабочего места    │  10,4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│Опер.         │Номер        операции        в│   13 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технологической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последовательности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│Код,          │Код операции  по  Общесоюзному│  75,4   │   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│классификатору технологических│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операции      │операций,         наименование│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операции.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Примечание. Допускается  код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операции  не указывать.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│Обозначение   │Обозначение        документов,│  153,4  │   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     │инструкций  по  охране  труда,│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применяемых   при   выполнении│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данной    операции.     Состав│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документов  следует  указывать│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разделительный знак ";",│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возможностью     переноса│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информации   на    последующие│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строки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8019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│Код,          │Код      оборудования       по│   234   │   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8019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│классификатору,        краткое│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│наименование оборудование, его│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инвентарный номер.  Информацию│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следует указывать        через│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разделительный       знак ";".│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Допускается  взамен   краткого│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наименования      оборудования│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указывать     его      модель.│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Допускается    не    указывать│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инвентарный номер.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│Т_о           │Суммарное  основное  время  на│  20,8   │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операцию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 │Т_в           │Суммарное      вспомогательное│  18,2 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на операцию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│Контролируемые│Параметры  по   которым   идет│   65    │ 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параметры     │технический контроль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│Код средств ТО│Код,    обозначение    средств│   65    │ 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оснащения│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(ТО) по классификатору и НТД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│Наименование  │Краткое  наименование  средств│   104 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 ТО    │технологического оснащения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8015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│Объем и ПК    │Объем  контроля  (в шт.; %)  и│  20,8   │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8015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периодичность контроля (ПК) (в│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час; в смену и т. д.)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8016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│Т_о/Т_в       │Основное  или  вспомогательное│  18,2 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8016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на переход</w:t>
      </w:r>
      <w:hyperlink w:anchor="sub_9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│      -       │Резервная  графа.  Заполняется│   104 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информацией   на    усмотрение│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разработчика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│Наименование  │Наименование операции         │   143   │   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операции      │      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19  │Наименование, │См. правила заполнения </w:t>
      </w:r>
      <w:hyperlink w:anchor="sub_8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графы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124,8  │   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     │      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 │      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│МД            │Масса  контролируемой   детали│  18,2 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(сборочной  единицы,  изделия)│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    конструкторской│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21  │Наименование  │См. правила заполнения </w:t>
      </w:r>
      <w:hyperlink w:anchor="sub_8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графы 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104 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│          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├──────┼──────────────┼──────────────────────────────┼─────────┼────────┤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│Обознач. ИОТ  │Обозначение   инструкции    по│   39  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охране труда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└──────┴──────────────┴──────────────────────────────┴─────────┴────────┘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901"/>
      <w:bookmarkEnd w:id="26"/>
      <w:r>
        <w:rPr>
          <w:rFonts w:cs="Arial" w:ascii="Arial" w:hAnsi="Arial"/>
          <w:sz w:val="20"/>
          <w:szCs w:val="20"/>
        </w:rPr>
        <w:t>* Допускается не заполнять графу при наличии соответствующего НТД.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901"/>
      <w:bookmarkStart w:id="28" w:name="sub_901"/>
      <w:bookmarkEnd w:id="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В </w:t>
      </w:r>
      <w:hyperlink w:anchor="sub_8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графе</w:t>
        </w:r>
      </w:hyperlink>
      <w:r>
        <w:rPr>
          <w:rFonts w:cs="Arial" w:ascii="Arial" w:hAnsi="Arial"/>
          <w:sz w:val="20"/>
          <w:szCs w:val="20"/>
        </w:rPr>
        <w:t xml:space="preserve"> "Количество знаков" указано количество знаков, соответствующее ширине данной графы. Наибольшее количество знаков, вносимых в графы, на один знак меньше количества знаков, указанных в </w:t>
      </w:r>
      <w:hyperlink w:anchor="sub_8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Для документов, заполняемых рукописным способом, размеры граф допускается округлять до ближайшего целого числа.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8"/>
      <w:bookmarkEnd w:id="29"/>
      <w:r>
        <w:rPr>
          <w:rFonts w:cs="Arial" w:ascii="Arial" w:hAnsi="Arial"/>
          <w:sz w:val="20"/>
          <w:szCs w:val="20"/>
        </w:rPr>
        <w:t>8. При автоматизированном проектировании ТП (операций) допускается выполнять формы документов с размерами, учитывающими наибольшее количество знаков, соответствующих алфавитно-цифровых печатающих устройств. Ширину формата следует изменять за счет размеров граф указанных в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8"/>
      <w:bookmarkStart w:id="31" w:name="sub_8"/>
      <w:bookmarkEnd w:id="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2" w:name="sub_802"/>
      <w:bookmarkEnd w:id="32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802"/>
      <w:bookmarkStart w:id="34" w:name="sub_802"/>
      <w:bookmarkEnd w:id="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 Номера форм  │ Графы форм документов, изменяемых при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   │  документов   │   автоматизированном проектировании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      │    1 и 1а     │              2, 8, 9, 14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      │    2 и 2а     │               12, 18, 21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└──────────────┴───────────────┴────────────────────────────────────────┘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9"/>
      <w:bookmarkEnd w:id="35"/>
      <w:r>
        <w:rPr>
          <w:rFonts w:cs="Arial" w:ascii="Arial" w:hAnsi="Arial"/>
          <w:sz w:val="20"/>
          <w:szCs w:val="20"/>
        </w:rPr>
        <w:t>9. Формам документов, предназначенным для автоматизированного проектирования, присваиваются номера соответствующих форм, предназначенных для ручного проектирования.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9"/>
      <w:bookmarkStart w:id="37" w:name="sub_10"/>
      <w:bookmarkEnd w:id="36"/>
      <w:bookmarkEnd w:id="37"/>
      <w:r>
        <w:rPr>
          <w:rFonts w:cs="Arial" w:ascii="Arial" w:hAnsi="Arial"/>
          <w:sz w:val="20"/>
          <w:szCs w:val="20"/>
        </w:rPr>
        <w:t>10. Бланкам форм документов, применяемым в условиях САПР, присваиваются номера соответствующих форм, предназначенных для ручного проектирования с обязательным добавлением аббревиатуры "САПР", например, "Форма 1 САПР".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10"/>
      <w:bookmarkStart w:id="39" w:name="sub_11"/>
      <w:bookmarkEnd w:id="38"/>
      <w:bookmarkEnd w:id="39"/>
      <w:r>
        <w:rPr>
          <w:rFonts w:cs="Arial" w:ascii="Arial" w:hAnsi="Arial"/>
          <w:sz w:val="20"/>
          <w:szCs w:val="20"/>
        </w:rPr>
        <w:t>11. Для описания ТП, операций и переходов технического контроля используются способ заполнения, при котором информацию вносят построчно несколькими типами строк. Каждому типу строки соответствует свой служебный символ.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11"/>
      <w:bookmarkStart w:id="41" w:name="sub_12"/>
      <w:bookmarkEnd w:id="40"/>
      <w:bookmarkEnd w:id="41"/>
      <w:r>
        <w:rPr>
          <w:rFonts w:cs="Arial" w:ascii="Arial" w:hAnsi="Arial"/>
          <w:sz w:val="20"/>
          <w:szCs w:val="20"/>
        </w:rPr>
        <w:t>12. Правила и порядок применения служебных символов "М", "А", "Б", "О", "Т" по ГОСТ 3.1118-82.</w:t>
      </w:r>
    </w:p>
    <w:p>
      <w:pPr>
        <w:pStyle w:val="Normal"/>
        <w:autoSpaceDE w:val="false"/>
        <w:ind w:firstLine="720"/>
        <w:jc w:val="both"/>
        <w:rPr/>
      </w:pPr>
      <w:bookmarkStart w:id="42" w:name="sub_12"/>
      <w:bookmarkStart w:id="43" w:name="sub_13"/>
      <w:bookmarkEnd w:id="42"/>
      <w:bookmarkEnd w:id="43"/>
      <w:r>
        <w:rPr>
          <w:rFonts w:cs="Arial" w:ascii="Arial" w:hAnsi="Arial"/>
          <w:sz w:val="20"/>
          <w:szCs w:val="20"/>
        </w:rPr>
        <w:t xml:space="preserve">13. Простановка конкретных данных по выбранным значениям параметров технологических режимов и данных по трудозатратам осуществляется разработчиком документов после текстового описания содержания операции (перехода) в строке со служебным символом "Р", выполняемой в соответствии с </w:t>
      </w:r>
      <w:hyperlink w:anchor="sub_8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13"/>
      <w:bookmarkStart w:id="45" w:name="sub_14"/>
      <w:bookmarkEnd w:id="44"/>
      <w:bookmarkEnd w:id="45"/>
      <w:r>
        <w:rPr>
          <w:rFonts w:cs="Arial" w:ascii="Arial" w:hAnsi="Arial"/>
          <w:sz w:val="20"/>
          <w:szCs w:val="20"/>
        </w:rPr>
        <w:t>14. При описании операций технического контроля следует применять полную или краткую форму записи содержания переходов.</w:t>
      </w:r>
    </w:p>
    <w:p>
      <w:pPr>
        <w:pStyle w:val="Normal"/>
        <w:autoSpaceDE w:val="false"/>
        <w:ind w:firstLine="720"/>
        <w:jc w:val="both"/>
        <w:rPr/>
      </w:pPr>
      <w:bookmarkStart w:id="46" w:name="sub_14"/>
      <w:bookmarkStart w:id="47" w:name="sub_15"/>
      <w:bookmarkEnd w:id="46"/>
      <w:bookmarkEnd w:id="47"/>
      <w:r>
        <w:rPr>
          <w:rFonts w:cs="Arial" w:ascii="Arial" w:hAnsi="Arial"/>
          <w:sz w:val="20"/>
          <w:szCs w:val="20"/>
        </w:rPr>
        <w:t xml:space="preserve">15. Полную форму записи следует выполнять на всю длину строки с включением граф </w:t>
      </w:r>
      <w:hyperlink w:anchor="sub_8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"Объем и ПК"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8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"Т_о/Т_в"</w:t>
        </w:r>
      </w:hyperlink>
      <w:r>
        <w:rPr>
          <w:rFonts w:cs="Arial" w:ascii="Arial" w:hAnsi="Arial"/>
          <w:sz w:val="20"/>
          <w:szCs w:val="20"/>
        </w:rPr>
        <w:t>, с возможностью переноса информации на последующие строки.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5"/>
      <w:bookmarkEnd w:id="48"/>
      <w:r>
        <w:rPr>
          <w:rFonts w:cs="Arial" w:ascii="Arial" w:hAnsi="Arial"/>
          <w:sz w:val="20"/>
          <w:szCs w:val="20"/>
        </w:rPr>
        <w:t>Данные по применяемым средствам измерений следует записывать всегда с новой строки.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6"/>
      <w:bookmarkEnd w:id="49"/>
      <w:r>
        <w:rPr>
          <w:rFonts w:cs="Arial" w:ascii="Arial" w:hAnsi="Arial"/>
          <w:sz w:val="20"/>
          <w:szCs w:val="20"/>
        </w:rPr>
        <w:t>16. Краткую форму записи следует применять только при проверке контролируемых размеров и других данных, выраженных числовыми значениями. В этом случае текстовую запись применять не следует, а необходимо указать только соответствующие параметры, например, диаметр 47 + 0,039; U=100 B + 5.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16"/>
      <w:bookmarkStart w:id="51" w:name="sub_17"/>
      <w:bookmarkEnd w:id="50"/>
      <w:bookmarkEnd w:id="51"/>
      <w:r>
        <w:rPr>
          <w:rFonts w:cs="Arial" w:ascii="Arial" w:hAnsi="Arial"/>
          <w:sz w:val="20"/>
          <w:szCs w:val="20"/>
        </w:rPr>
        <w:t>17. Данные по применяемым средствам технологического оснащения следует записывать исходя из их возможностей, т.е. к каждому контролируемому размеру (параметру) или к группе контролируемых размеров (параметров).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17"/>
      <w:bookmarkStart w:id="53" w:name="sub_18"/>
      <w:bookmarkEnd w:id="52"/>
      <w:bookmarkEnd w:id="53"/>
      <w:r>
        <w:rPr>
          <w:rFonts w:cs="Arial" w:ascii="Arial" w:hAnsi="Arial"/>
          <w:sz w:val="20"/>
          <w:szCs w:val="20"/>
        </w:rPr>
        <w:t>18. Особые указания к отдельным контролируемым размерам или параметрам, следует выполнять после записи соответствующих данных с новой строки по всей длине, с возможностью переноса информации на последующие строки.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18"/>
      <w:bookmarkStart w:id="55" w:name="sub_19"/>
      <w:bookmarkEnd w:id="54"/>
      <w:bookmarkEnd w:id="55"/>
      <w:r>
        <w:rPr>
          <w:rFonts w:cs="Arial" w:ascii="Arial" w:hAnsi="Arial"/>
          <w:sz w:val="20"/>
          <w:szCs w:val="20"/>
        </w:rPr>
        <w:t>19. Пример оформления ОК технического контроля, выполненный на форме 2, приведен в рекомендуемом приложении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19"/>
      <w:bookmarkEnd w:id="5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486910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"Приложение 1. Пример оформления операции технического контроля"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0"/>
      <w:bookmarkEnd w:id="57"/>
      <w:r>
        <w:rPr>
          <w:rFonts w:cs="Arial" w:ascii="Arial" w:hAnsi="Arial"/>
          <w:sz w:val="20"/>
          <w:szCs w:val="20"/>
        </w:rPr>
        <w:t>20. Допускается разработку ОК на формах ВОП.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20"/>
      <w:bookmarkStart w:id="59" w:name="sub_21"/>
      <w:bookmarkEnd w:id="58"/>
      <w:bookmarkEnd w:id="59"/>
      <w:r>
        <w:rPr>
          <w:rFonts w:cs="Arial" w:ascii="Arial" w:hAnsi="Arial"/>
          <w:sz w:val="20"/>
          <w:szCs w:val="20"/>
        </w:rPr>
        <w:t>21. При проектировании ТП (операций) технического контроля допускается применение маршрутной карты по ГОСТ 3.1118-82 в качестве: карты технологического процесса (КТП); карты типового и группового ТП (КТТП); ОК; ВОП, с добавлением строки со служебным символом "Р".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1"/>
      <w:bookmarkStart w:id="61" w:name="sub_22"/>
      <w:bookmarkEnd w:id="60"/>
      <w:bookmarkEnd w:id="61"/>
      <w:r>
        <w:rPr>
          <w:rFonts w:cs="Arial" w:ascii="Arial" w:hAnsi="Arial"/>
          <w:sz w:val="20"/>
          <w:szCs w:val="20"/>
        </w:rPr>
        <w:t>22. Пример оформления ОК технического контроля выполненный на форме МК по ГОСТ 3.1118-82 приведен в рекомендуемом приложении 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22"/>
      <w:bookmarkEnd w:id="6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64947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"Приложение 2. Пример оформления операции технического контроля, выполненный на МК (форма 2) ГОСТ 3.1118-82"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3"/>
      <w:bookmarkEnd w:id="63"/>
      <w:r>
        <w:rPr>
          <w:rFonts w:cs="Arial" w:ascii="Arial" w:hAnsi="Arial"/>
          <w:sz w:val="20"/>
          <w:szCs w:val="20"/>
        </w:rPr>
        <w:t>23. При необходимости графических изображений к текстовым документам их следует выполнять на формах карты эскизов по ГОСТ 3.1105-84.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23"/>
      <w:bookmarkEnd w:id="64"/>
      <w:r>
        <w:rPr>
          <w:rFonts w:cs="Arial" w:ascii="Arial" w:hAnsi="Arial"/>
          <w:sz w:val="20"/>
          <w:szCs w:val="20"/>
        </w:rPr>
        <w:t>В целях рационального сокращения объема разрабатываемой документации и при условии выполнения графических изображений без применения средств механизации и автоматизации, допускается нижнюю часть ВОП и ОК использовать (на уровне 6 - 8 строк) под графические изображения или, при отсутствии графических изображений здесь следует размещать текстовую информацию соответствующего типа строки.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4"/>
      <w:bookmarkEnd w:id="65"/>
      <w:r>
        <w:rPr>
          <w:rFonts w:cs="Arial" w:ascii="Arial" w:hAnsi="Arial"/>
          <w:sz w:val="20"/>
          <w:szCs w:val="20"/>
        </w:rPr>
        <w:t>24. Выбор состава документов и правила оформления комплектов документов на единичные технологические процессы (операции) следует выполнять по ГОСТ 3.1119-83, на типовые и групповые технологические процессы (операции) по ГОСТ 3.1121-84.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24"/>
      <w:bookmarkStart w:id="67" w:name="sub_25"/>
      <w:bookmarkEnd w:id="66"/>
      <w:bookmarkEnd w:id="67"/>
      <w:r>
        <w:rPr>
          <w:rFonts w:cs="Arial" w:ascii="Arial" w:hAnsi="Arial"/>
          <w:sz w:val="20"/>
          <w:szCs w:val="20"/>
        </w:rPr>
        <w:t>25. При проектировании ОК и ВОП (отдельных) видов технического контроля (по "Общесоюзному классификатору технологических операций") следует графы строки со служебным символом "Р" изменить в соответствии с конкретными режимами данного вида контроля (см. рекомендуемое приложение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25"/>
      <w:bookmarkEnd w:id="6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6095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"Приложение 3. Примеры формирования строки "Р" отдельных видов технического контроля неразрушающего"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При проектировании OK отдельных видов технического контроля </w:t>
      </w:r>
      <w:hyperlink w:anchor="sub_8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графа</w:t>
        </w:r>
      </w:hyperlink>
      <w:r>
        <w:rPr>
          <w:rFonts w:cs="Arial" w:ascii="Arial" w:hAnsi="Arial"/>
          <w:sz w:val="20"/>
          <w:szCs w:val="20"/>
        </w:rPr>
        <w:t xml:space="preserve"> "Т_о/Т_в", в строке со служебным символом "Р", является обязательной. Размеры графы по </w:t>
      </w:r>
      <w:hyperlink w:anchor="sub_8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>, расположение по формам 2 и 2а.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 блок 6 по ГОСТ 3.1103-82 следует записывать наименование вида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типографском издании бланков с конкретными видами технического контроля формам документов следует присваивать последующие номера 3, 3а, 4, 4а, и т.д., в соответствии с порядком установленным в отрасли или на предприятии (в организации).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26"/>
      <w:bookmarkEnd w:id="69"/>
      <w:r>
        <w:rPr>
          <w:rFonts w:cs="Arial" w:ascii="Arial" w:hAnsi="Arial"/>
          <w:sz w:val="20"/>
          <w:szCs w:val="20"/>
        </w:rPr>
        <w:t>26. Пример оформления операции неразрушающего контроля проникающими веществами, выполненный на форме 2, приведен в рекомендуемом приложении 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26"/>
      <w:bookmarkEnd w:id="7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462145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"Приложение 4. Пример оформления операции неразрушающего контроля проникающими веществами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2007-02-05T21:34:00Z</dcterms:created>
  <dc:creator>Виктор</dc:creator>
  <dc:description/>
  <dc:language>ru-RU</dc:language>
  <cp:lastModifiedBy>Виктор</cp:lastModifiedBy>
  <dcterms:modified xsi:type="dcterms:W3CDTF">2007-02-05T21:34:00Z</dcterms:modified>
  <cp:revision>2</cp:revision>
  <dc:subject/>
  <dc:title/>
</cp:coreProperties>
</file>