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9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30974-2002</w:t>
        <w:br/>
        <w:t>"Соединения угловые деревянных брусчатых и бревенчатых малоэтажных зданий. Классификация, конструкции, размеры"</w:t>
        <w:br/>
        <w:t>(введен в действие постановлением Госстроя РФ от 2 сентября 2002 г. N 120)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Corner joins of wooden low rise buildings of bars and logs, structures,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2003-03-01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 Классификация и обозначения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 Конструкции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Типовые профили брусчатых и бревенчатых элементов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Соединения брусчатых и бревенчатых элементов по длине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Сведения о разработчиках стандарта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угловые и Т-образные соединения брусчатых и бревенчатых стен малоэтажных зданий различного назначения (далее - угловые соединения).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стандарта распространяются на угловые соединения заводского (например, угловые соединения типовых деревянных домов, бань и др.) и построечного изготовления (в том числе при реставрационных работах). В стандарте приведены также конструкции соединений брусьев и бревен по длине.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стандарта являются рекомендуемыми.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может быть использован для целей сертификации.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2292-88 Лесоматериалы круглые. Маркировка, сортировка, транспортирование, методы измерения и приемка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6782.1-75 Пилопродукция из древесины хвойных пород. Величина усушки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6782.2-75 Пилопродукция из древесины лиственных пород. Величина усушки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9462-88 Лесоматериалы круглые лиственных пород.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9463-88 Лесоматериалы круглые хвойных пород.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11047-90 Детали и изделия деревянные для малоэтажных жилых и общественных зданий.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26433.0-85 Система обеспечения точности геометрических параметров в строительстве. Правила выполнения измерений. Общие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26433.1-89 Система обеспечения точности геометрических параметров в строительстве. Правила выполнения измерений. Элементы заводского изготовления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26433.2-94 Система обеспечения точности геометрических параметров в строительстве. Правила выполнения измерений параметров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 Классификация и обозначения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 Угловые соединения классифицируют по виду соединяемых стеновых элементов, а также по видам и типам конструктивных решений.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1"/>
      <w:bookmarkStart w:id="11" w:name="sub_32"/>
      <w:bookmarkEnd w:id="10"/>
      <w:bookmarkEnd w:id="11"/>
      <w:r>
        <w:rPr>
          <w:rFonts w:cs="Arial" w:ascii="Arial" w:hAnsi="Arial"/>
          <w:sz w:val="20"/>
          <w:szCs w:val="20"/>
        </w:rPr>
        <w:t>3.2 По виду соединяемых стеновых элементов угловые соединения подразделяют на:</w:t>
      </w:r>
    </w:p>
    <w:p>
      <w:pPr>
        <w:pStyle w:val="Normal"/>
        <w:autoSpaceDE w:val="false"/>
        <w:ind w:firstLine="720"/>
        <w:jc w:val="both"/>
        <w:rPr/>
      </w:pPr>
      <w:bookmarkStart w:id="12" w:name="sub_32"/>
      <w:bookmarkEnd w:id="12"/>
      <w:r>
        <w:rPr>
          <w:rFonts w:cs="Arial" w:ascii="Arial" w:hAnsi="Arial"/>
          <w:sz w:val="20"/>
          <w:szCs w:val="20"/>
        </w:rPr>
        <w:t xml:space="preserve">соединения круглых лесоматериалов (окоренных бревен)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К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соединения оцилиндрованных (профилированных) бревен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Ц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соединения двухкантных брусьев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Б2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соединения трехкантных брусьев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Б3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соединения четырехкантных брусьев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Б4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3"/>
      <w:bookmarkEnd w:id="13"/>
      <w:r>
        <w:rPr>
          <w:rFonts w:cs="Arial" w:ascii="Arial" w:hAnsi="Arial"/>
          <w:sz w:val="20"/>
          <w:szCs w:val="20"/>
        </w:rPr>
        <w:t>3.3 По видам конструктивных решений угловые соединения подразделяют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3"/>
      <w:bookmarkEnd w:id="14"/>
      <w:r>
        <w:rPr>
          <w:rFonts w:cs="Arial" w:ascii="Arial" w:hAnsi="Arial"/>
          <w:sz w:val="20"/>
          <w:szCs w:val="20"/>
        </w:rPr>
        <w:t>соединения с остатком;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соединения без остатка;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соединения встык;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Т-образные соединения стен и простенков.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4"/>
      <w:bookmarkEnd w:id="15"/>
      <w:r>
        <w:rPr>
          <w:rFonts w:cs="Arial" w:ascii="Arial" w:hAnsi="Arial"/>
          <w:sz w:val="20"/>
          <w:szCs w:val="20"/>
        </w:rPr>
        <w:t>3.4 По типам конструкций угловые соединения подразделяют на предназначенные: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4"/>
      <w:bookmarkEnd w:id="16"/>
      <w:r>
        <w:rPr>
          <w:rFonts w:cs="Arial" w:ascii="Arial" w:hAnsi="Arial"/>
          <w:sz w:val="20"/>
          <w:szCs w:val="20"/>
        </w:rPr>
        <w:t>для бревенчатых стен с соединением с остатком: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"чашку"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Ч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"обло" (с замочным пазом)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О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бревенчатых и брусчатых стен с соединением без остатка: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"лапу"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Л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брусчатых стен с соединением "встык":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угла на шпонках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ВШ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угла с коренным шипом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ВК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брусчатых стен с соединением с остатком: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"обло" (с замочным пазом)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О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Т-образных соединений стен и простенков: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"обло" (с замочным пазом)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ТО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в "чашку"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ТЧ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симметричным трапециевидным шипом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ТСТШ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прямоугольным трапециевидным шипом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ТПТШ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соединение прямым пазом - </w:t>
      </w:r>
      <w:r>
        <w:rPr>
          <w:rFonts w:cs="Arial" w:ascii="Arial" w:hAnsi="Arial"/>
          <w:b/>
          <w:bCs/>
          <w:color w:val="000080"/>
          <w:sz w:val="20"/>
          <w:szCs w:val="20"/>
        </w:rPr>
        <w:t>ТПП</w:t>
      </w:r>
      <w:r>
        <w:rPr>
          <w:rFonts w:cs="Arial" w:ascii="Arial" w:hAnsi="Arial"/>
          <w:sz w:val="20"/>
          <w:szCs w:val="20"/>
        </w:rPr>
        <w:t xml:space="preserve"> 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5"/>
      <w:bookmarkEnd w:id="17"/>
      <w:r>
        <w:rPr>
          <w:rFonts w:cs="Arial" w:ascii="Arial" w:hAnsi="Arial"/>
          <w:sz w:val="20"/>
          <w:szCs w:val="20"/>
        </w:rPr>
        <w:t>3.5 Примеры условного обозначения: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5"/>
      <w:bookmarkEnd w:id="18"/>
      <w:r>
        <w:rPr>
          <w:rFonts w:cs="Arial" w:ascii="Arial" w:hAnsi="Arial"/>
          <w:sz w:val="20"/>
          <w:szCs w:val="20"/>
        </w:rPr>
        <w:t>К-Ч 24 ГОСТ 30974-2002 - угловое соединение круглых лесоматериалов в "чашку", толщина бревна - 24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Б4-О 18x14 ГОСТ 30974-2002 - угловое соединение четырехкантных брусьев в "обло" с размерами по толщине (высоте) - 180 мм, по ширине - 140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4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4 Конструкции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4"/>
      <w:bookmarkStart w:id="21" w:name="sub_4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2" w:name="sub_41"/>
      <w:bookmarkEnd w:id="22"/>
      <w:r>
        <w:rPr>
          <w:rFonts w:cs="Arial" w:ascii="Arial" w:hAnsi="Arial"/>
          <w:sz w:val="20"/>
          <w:szCs w:val="20"/>
        </w:rPr>
        <w:t xml:space="preserve">4.1 Конструкции и размеры угловых соединений устанавливают в проектной документации на строительство, а также в конструкторской и технологической документации. Примеры рекомендуемых типов и размеров угловых соединений приведены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3" w:name="sub_41"/>
      <w:bookmarkStart w:id="24" w:name="sub_42"/>
      <w:bookmarkEnd w:id="23"/>
      <w:bookmarkEnd w:id="24"/>
      <w:r>
        <w:rPr>
          <w:rFonts w:cs="Arial" w:ascii="Arial" w:hAnsi="Arial"/>
          <w:sz w:val="20"/>
          <w:szCs w:val="20"/>
        </w:rPr>
        <w:t xml:space="preserve">4.2 Примеры основных типовых профилей брусчатых и бревенчатых элементов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2"/>
      <w:bookmarkEnd w:id="25"/>
      <w:r>
        <w:rPr>
          <w:rFonts w:cs="Arial" w:ascii="Arial" w:hAnsi="Arial"/>
          <w:sz w:val="20"/>
          <w:szCs w:val="20"/>
        </w:rPr>
        <w:t>Рекомендуемые размеры по толщине (диаметру) бревен - от 14 см и выше. Рекомендуемые размеры брусьев по толщине (высоте) и ширине - от 100 до 260 мм для стен и 80 - 220 мм для простенков с градацией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Венцовые пазы брусьев и профилированных бревен могут иметь гребни, шпунты и канавки (в том числе под уплотнительные прокладки), предназначенные для повышения плотности и воздухонепроницаемости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Брусья должны иметь фаски или скругления с наружной стороны для отвода дождевой воды. Размер фасок - 20x20 мм. Для брусьев толщиной менее 180 мм размер фасок допускается принимать 15x15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3"/>
      <w:bookmarkEnd w:id="26"/>
      <w:r>
        <w:rPr>
          <w:rFonts w:cs="Arial" w:ascii="Arial" w:hAnsi="Arial"/>
          <w:sz w:val="20"/>
          <w:szCs w:val="20"/>
        </w:rPr>
        <w:t>4.3 При назначении размеров сечений брусьев следует учитывать припуски на величину усушки, определяемые в соответствии с ГОСТ 6782.1, ГОСТ 6782.2, и усадки, вызванной уплотнением материалов для заделки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3"/>
      <w:bookmarkStart w:id="28" w:name="sub_44"/>
      <w:bookmarkEnd w:id="27"/>
      <w:bookmarkEnd w:id="28"/>
      <w:r>
        <w:rPr>
          <w:rFonts w:cs="Arial" w:ascii="Arial" w:hAnsi="Arial"/>
          <w:sz w:val="20"/>
          <w:szCs w:val="20"/>
        </w:rPr>
        <w:t>4.4 Размеры толщины бревен принимают по ГОСТ 9463, ГОСТ 9462 с учетом требований ГОСТ 2292. Припуски на величину усушки бревен допускается принимать по размеру их диаметров (за вычетом размера высоты чашечного паза) с учетом требований ГОСТ 6782.1, ГОСТ 6782.2.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4"/>
      <w:bookmarkStart w:id="30" w:name="sub_45"/>
      <w:bookmarkEnd w:id="29"/>
      <w:bookmarkEnd w:id="30"/>
      <w:r>
        <w:rPr>
          <w:rFonts w:cs="Arial" w:ascii="Arial" w:hAnsi="Arial"/>
          <w:sz w:val="20"/>
          <w:szCs w:val="20"/>
        </w:rPr>
        <w:t>4.5 Предельные отклонения размеров сечений фрезерованных клееных брусьев не должны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5"/>
      <w:bookmarkEnd w:id="31"/>
      <w:r>
        <w:rPr>
          <w:rFonts w:cs="Arial" w:ascii="Arial" w:hAnsi="Arial"/>
          <w:sz w:val="20"/>
          <w:szCs w:val="20"/>
        </w:rPr>
        <w:t>по высоте +- 1,0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ширине +- 1,5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размеры +- 1,0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6"/>
      <w:bookmarkEnd w:id="32"/>
      <w:r>
        <w:rPr>
          <w:rFonts w:cs="Arial" w:ascii="Arial" w:hAnsi="Arial"/>
          <w:sz w:val="20"/>
          <w:szCs w:val="20"/>
        </w:rPr>
        <w:t>4.6 Геометрические размеры элементов и их соединений определяют с использованием методов, установленных в ГОСТ 26433.0 и ГОСТ 26433.1.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6"/>
      <w:bookmarkStart w:id="34" w:name="sub_47"/>
      <w:bookmarkEnd w:id="33"/>
      <w:bookmarkEnd w:id="34"/>
      <w:r>
        <w:rPr>
          <w:rFonts w:cs="Arial" w:ascii="Arial" w:hAnsi="Arial"/>
          <w:sz w:val="20"/>
          <w:szCs w:val="20"/>
        </w:rPr>
        <w:t>4.7 Угловые и Т-образные соединения брусьев с коренным шипом и на шпонках укрепляют деревянными шкантами (нагелями)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47"/>
      <w:bookmarkStart w:id="36" w:name="sub_47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элементов шириной до 140 мм - (20-25)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элементов шириной равной и более 140 мм - 30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Шкант устанавливают в центр углового соединения. Отверстие под шкант должно быть равным диаметру шканта.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Предельные отклонения диаметра шканта - (-0,5)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Предельные отклонения диаметра отверстия - +- 0,5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Шканты изготавливают из древесины дуба, ясеня, лиственницы, сосны, березы. Влажность древесины шкантов должна быть на 2-3% ниже влажности древесины элементов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8"/>
      <w:bookmarkEnd w:id="37"/>
      <w:r>
        <w:rPr>
          <w:rFonts w:cs="Arial" w:ascii="Arial" w:hAnsi="Arial"/>
          <w:sz w:val="20"/>
          <w:szCs w:val="20"/>
        </w:rPr>
        <w:t>4.8 Отклонения от отвесной линии соединений по высоте стены не должны превышать величин, рекомендованных ГОСТ 26433.2. При измерении отклонения от отвесной линии угловых соединений, а также их угловых размеров следует пользоваться правилами измерений по ГОСТ 26433.2 и ГОСТ 26433.1.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8"/>
      <w:bookmarkStart w:id="39" w:name="sub_49"/>
      <w:bookmarkEnd w:id="38"/>
      <w:bookmarkEnd w:id="39"/>
      <w:r>
        <w:rPr>
          <w:rFonts w:cs="Arial" w:ascii="Arial" w:hAnsi="Arial"/>
          <w:sz w:val="20"/>
          <w:szCs w:val="20"/>
        </w:rPr>
        <w:t>4.9 В местах сопряжения элементов следует предусматривать зазоры для установки изоляционных прокладок, компенсирующих изменения линейных размеров элементов стен от их усадки и усушки. В качестве изоляционных прокладок следует применять ленточные эластомерные и полимерные материалы, паклю, пенные утеплители-герметики, а также силиконовые (и аналогичные им) герметики по стандартам и техническим условиям,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9"/>
      <w:bookmarkStart w:id="41" w:name="sub_410"/>
      <w:bookmarkEnd w:id="40"/>
      <w:bookmarkEnd w:id="41"/>
      <w:r>
        <w:rPr>
          <w:rFonts w:cs="Arial" w:ascii="Arial" w:hAnsi="Arial"/>
          <w:sz w:val="20"/>
          <w:szCs w:val="20"/>
        </w:rPr>
        <w:t>4.10 Нормы ограничения пороков, порода и влажность древесины, требования к защитной обработке и клеевым соединениям, а также другие характеристики элементов стен должны отвечать требованиям ГОСТ 11047, конструкторской документации и условиям договора на поставку</w:t>
      </w:r>
    </w:p>
    <w:p>
      <w:pPr>
        <w:pStyle w:val="Normal"/>
        <w:autoSpaceDE w:val="false"/>
        <w:ind w:firstLine="720"/>
        <w:jc w:val="both"/>
        <w:rPr/>
      </w:pPr>
      <w:bookmarkStart w:id="42" w:name="sub_410"/>
      <w:bookmarkStart w:id="43" w:name="sub_411"/>
      <w:bookmarkEnd w:id="42"/>
      <w:bookmarkEnd w:id="43"/>
      <w:r>
        <w:rPr>
          <w:rFonts w:cs="Arial" w:ascii="Arial" w:hAnsi="Arial"/>
          <w:sz w:val="20"/>
          <w:szCs w:val="20"/>
        </w:rPr>
        <w:t xml:space="preserve">4.11 Примеры соединений брусчатых и бревенчатых элементов по длине приведены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 Соединения по длине могут быть усилены металлическими шиповыми пластинами, пластинами на гвоздях и др. В Т-образных соединениях брусчатых и бревенчатых элементов допускается производить их соединение по длине в месте замка. Соединение, как правило, должно быть невидимым. Сухие бревна и брусья допускается соединять по длине при помощи зубчатого клеевого соединения, размеры которого приводят в конструкторской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11"/>
      <w:bookmarkStart w:id="45" w:name="sub_412"/>
      <w:bookmarkEnd w:id="44"/>
      <w:bookmarkEnd w:id="45"/>
      <w:r>
        <w:rPr>
          <w:rFonts w:cs="Arial" w:ascii="Arial" w:hAnsi="Arial"/>
          <w:sz w:val="20"/>
          <w:szCs w:val="20"/>
        </w:rPr>
        <w:t>4.12 Элементы стен и простенков могут быть соединены по высоте при помощи винтовых тяг (компенсаторов). При этом конструкции тяг и размеры отверстий должны быть указаны в проектной и конструкторской документации.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412"/>
      <w:bookmarkStart w:id="47" w:name="sub_412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0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1 - Рекомендуемые типы и размеры угловых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000"/>
      <w:bookmarkStart w:id="50" w:name="sub_100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01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hyperlink w:anchor="sub_100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Тип соединения в "чашку"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001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002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hyperlink w:anchor="sub_10002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в "лапу"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002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Схема   элемента│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├────────────────┼─────────┬────────────────────────────────────────────┤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       │Диаметр, │                Размеры, мм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│см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├──────────┬─────────┬───────┬───────┬───────┤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│b        │c      │e      │f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│    99    │   74    │  49   │  49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│    113   │   85    │  57   │  57   │  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│    127   │   95    │  64   │  64   │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 141   │   106   │  71   │  71 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│    156   │   117   │  78   │  78 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│    170   │   127   │  85   │  85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    184   │   138   │  92   │  92 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│    198   │   148   │  99   │  99   │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│    212   │   159   │  106  │  106  │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│    226   │   170   │  113  │  113  │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   │    240   │   180   │  120  │  120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├─────────┼──────────┼─────────┼───────┼───────┼───────┤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│    255   │   191   │  127  │  127  │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├────────────────┴─────────┴──────────┴─────────┴───────┴───────┴───────┤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0013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hyperlink w:anchor="sub_10003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на прямоугольных шпонках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0013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003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hyperlink w:anchor="sub_10004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на шпонках "ласточкин хвост"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03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004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hyperlink w:anchor="sub_10005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с коренным шипом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004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005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10006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в односторонний замочный паз (в "обло")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005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006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10007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в двухсторонний замочный паз (в "обло")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1006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007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10008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в четырехсторонний замочный паз (в "обло")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007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08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10009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в четырехсторонний замочный паз (в "обло")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008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009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hyperlink w:anchor="sub_100010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симметричным трапециевидным шипом (открытым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009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hyperlink w:anchor="sub_100010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"сковороднем")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0010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hyperlink w:anchor="sub_100011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прямоугольным трапециевидным шипом (открытым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0010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hyperlink w:anchor="sub_100011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"полусковороднем")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0011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0012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симметричным трапециевидным шипом (глухим "сковороднем")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001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0012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100013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соединения прямоугольным трапециевидным шипом (глухим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012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hyperlink w:anchor="sub_100013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"полусковороднем")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drawing>
          <wp:inline distT="0" distB="0" distL="0" distR="0">
            <wp:extent cx="336042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7" w:name="sub_100001"/>
      <w:bookmarkEnd w:id="77"/>
      <w:r>
        <w:rPr>
          <w:rFonts w:cs="Arial" w:ascii="Arial" w:hAnsi="Arial"/>
          <w:sz w:val="20"/>
          <w:szCs w:val="20"/>
        </w:rPr>
        <w:t>"Тип соединения в "чашку"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8" w:name="sub_100001"/>
      <w:bookmarkEnd w:id="7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3113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9" w:name="sub_10002"/>
      <w:bookmarkEnd w:id="79"/>
      <w:r>
        <w:rPr>
          <w:rFonts w:cs="Arial" w:ascii="Arial" w:hAnsi="Arial"/>
          <w:sz w:val="20"/>
          <w:szCs w:val="20"/>
        </w:rPr>
        <w:t>"Тип соединения в "лапу"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0" w:name="sub_10002"/>
      <w:bookmarkEnd w:id="8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5049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1" w:name="sub_10003"/>
      <w:bookmarkEnd w:id="81"/>
      <w:r>
        <w:rPr>
          <w:rFonts w:cs="Arial" w:ascii="Arial" w:hAnsi="Arial"/>
          <w:sz w:val="20"/>
          <w:szCs w:val="20"/>
        </w:rPr>
        <w:t>"Тип соединения на прямоугольных шпонках"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2" w:name="sub_10003"/>
      <w:bookmarkEnd w:id="8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69540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3" w:name="sub_10004"/>
      <w:bookmarkEnd w:id="83"/>
      <w:r>
        <w:rPr>
          <w:rFonts w:cs="Arial" w:ascii="Arial" w:hAnsi="Arial"/>
          <w:sz w:val="20"/>
          <w:szCs w:val="20"/>
        </w:rPr>
        <w:t>"Тип соединения на шпонках "ласточкин хвост"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4" w:name="sub_10004"/>
      <w:bookmarkEnd w:id="8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2826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5" w:name="sub_10005"/>
      <w:bookmarkEnd w:id="85"/>
      <w:r>
        <w:rPr>
          <w:rFonts w:cs="Arial" w:ascii="Arial" w:hAnsi="Arial"/>
          <w:sz w:val="20"/>
          <w:szCs w:val="20"/>
        </w:rPr>
        <w:t>"Тип соединения с коренным шипом"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6" w:name="sub_10005"/>
      <w:bookmarkEnd w:id="8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7843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7" w:name="sub_10006"/>
      <w:bookmarkEnd w:id="87"/>
      <w:r>
        <w:rPr>
          <w:rFonts w:cs="Arial" w:ascii="Arial" w:hAnsi="Arial"/>
          <w:sz w:val="20"/>
          <w:szCs w:val="20"/>
        </w:rPr>
        <w:t>"Тип соединения в односторонний замочный паз (в "обло")"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8" w:name="sub_10006"/>
      <w:bookmarkEnd w:id="8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6192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9" w:name="sub_10007"/>
      <w:bookmarkEnd w:id="89"/>
      <w:r>
        <w:rPr>
          <w:rFonts w:cs="Arial" w:ascii="Arial" w:hAnsi="Arial"/>
          <w:sz w:val="20"/>
          <w:szCs w:val="20"/>
        </w:rPr>
        <w:t>"Тип соединения в двухсторонний замочный паз (в "обло")"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0" w:name="sub_10007"/>
      <w:bookmarkEnd w:id="9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5112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1" w:name="sub_10008"/>
      <w:bookmarkEnd w:id="91"/>
      <w:r>
        <w:rPr>
          <w:rFonts w:cs="Arial" w:ascii="Arial" w:hAnsi="Arial"/>
          <w:sz w:val="20"/>
          <w:szCs w:val="20"/>
        </w:rPr>
        <w:t>"Тип соединения в четырехсторонний замочный паз (в "обло")"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2" w:name="sub_10008"/>
      <w:bookmarkEnd w:id="9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5740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139"/>
        <w:jc w:val="both"/>
        <w:rPr>
          <w:rFonts w:ascii="Arial" w:hAnsi="Arial" w:cs="Arial"/>
          <w:sz w:val="20"/>
          <w:szCs w:val="20"/>
        </w:rPr>
      </w:pPr>
      <w:bookmarkStart w:id="93" w:name="sub_10009"/>
      <w:bookmarkEnd w:id="93"/>
      <w:r>
        <w:rPr>
          <w:rFonts w:cs="Arial" w:ascii="Arial" w:hAnsi="Arial"/>
          <w:sz w:val="20"/>
          <w:szCs w:val="20"/>
        </w:rPr>
        <w:t>"Тип соединения в четырехсторонний замочный паз (в "обло")"</w:t>
      </w:r>
    </w:p>
    <w:p>
      <w:pPr>
        <w:pStyle w:val="Normal"/>
        <w:autoSpaceDE w:val="false"/>
        <w:ind w:firstLine="139"/>
        <w:jc w:val="both"/>
        <w:rPr>
          <w:rFonts w:ascii="Arial" w:hAnsi="Arial" w:cs="Arial"/>
          <w:sz w:val="20"/>
          <w:szCs w:val="20"/>
        </w:rPr>
      </w:pPr>
      <w:bookmarkStart w:id="94" w:name="sub_10009"/>
      <w:bookmarkEnd w:id="9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68270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5" w:name="sub_100010"/>
      <w:bookmarkEnd w:id="95"/>
      <w:r>
        <w:rPr>
          <w:rFonts w:cs="Arial" w:ascii="Arial" w:hAnsi="Arial"/>
          <w:sz w:val="20"/>
          <w:szCs w:val="20"/>
        </w:rPr>
        <w:t>"Тип соединения симметричным трапециевидным шипом (открытым "сковороднем")"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6" w:name="sub_100010"/>
      <w:bookmarkEnd w:id="9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99385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7" w:name="sub_100011"/>
      <w:bookmarkEnd w:id="97"/>
      <w:r>
        <w:rPr>
          <w:rFonts w:cs="Arial" w:ascii="Arial" w:hAnsi="Arial"/>
          <w:sz w:val="20"/>
          <w:szCs w:val="20"/>
        </w:rPr>
        <w:t>"Тип соединения прямоугольным трапециевидным шипом (открытым "полусковороднем")"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8" w:name="sub_100011"/>
      <w:bookmarkEnd w:id="9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4795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9" w:name="sub_100012"/>
      <w:bookmarkEnd w:id="99"/>
      <w:r>
        <w:rPr>
          <w:rFonts w:cs="Arial" w:ascii="Arial" w:hAnsi="Arial"/>
          <w:sz w:val="20"/>
          <w:szCs w:val="20"/>
        </w:rPr>
        <w:t>"Тип соединения симметричным трапециевидным шипом (глухим "сковороднем")"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0" w:name="sub_100012"/>
      <w:bookmarkEnd w:id="10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1462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1" w:name="sub_100013"/>
      <w:bookmarkEnd w:id="101"/>
      <w:r>
        <w:rPr>
          <w:rFonts w:cs="Arial" w:ascii="Arial" w:hAnsi="Arial"/>
          <w:sz w:val="20"/>
          <w:szCs w:val="20"/>
        </w:rPr>
        <w:t>"Тип соединения прямоугольным трапециевидным шипом (глухим "полусковороднем")"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0013"/>
      <w:bookmarkStart w:id="103" w:name="sub_100013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4" w:name="sub_20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20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Типовые профили брусчатых и бревенчатых элементов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020060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"Рис. А.1 Типовые профили бревенчатых элементов с различными вариантами венцовых пазов"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9971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"Рис. А.2 Типовые профили брусчатых элементов с различными вариантами венцовых пазов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6" w:name="sub_3000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7" w:name="sub_3000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Соединения брусчатых и бревенчатых элементов по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Б.1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36240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3001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hyperlink w:anchor="sub_30001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продольного соединения с коренным шипом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3001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3002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hyperlink w:anchor="sub_30002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 продольного соединения на шпонках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3002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3003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hyperlink w:anchor="sub_30003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</w:t>
        </w:r>
      </w:hyperlink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hyperlink w:anchor="sub_30003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продольного соединения "в полдерева"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3003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3004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hyperlink w:anchor="sub_30004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Тип</w:t>
        </w:r>
      </w:hyperlink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hyperlink w:anchor="sub_30004">
        <w:r>
          <w:rPr>
            <w:rStyle w:val="Style15"/>
            <w:rFonts w:cs="Courier New" w:ascii="Courier New" w:hAnsi="Courier New"/>
            <w:b/>
            <w:bCs/>
            <w:color w:val="008000"/>
            <w:sz w:val="20"/>
            <w:szCs w:val="20"/>
            <w:u w:val="single"/>
            <w:lang w:val="ru-RU" w:eastAsia="ru-RU"/>
          </w:rPr>
          <w:t>продольного соединения "на косой замок</w:t>
        </w:r>
      </w:hyperlink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3004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Общий        вид│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Соотношение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размеров  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 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6" w:name="sub_30001"/>
      <w:bookmarkEnd w:id="116"/>
      <w:r>
        <w:rPr>
          <w:rFonts w:cs="Arial" w:ascii="Arial" w:hAnsi="Arial"/>
          <w:sz w:val="20"/>
          <w:szCs w:val="20"/>
        </w:rPr>
        <w:t>"Тип продольного соединения с коренным шипом"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7" w:name="sub_30001"/>
      <w:bookmarkEnd w:id="11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83510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8" w:name="sub_30002"/>
      <w:bookmarkEnd w:id="118"/>
      <w:r>
        <w:rPr>
          <w:rFonts w:cs="Arial" w:ascii="Arial" w:hAnsi="Arial"/>
          <w:sz w:val="20"/>
          <w:szCs w:val="20"/>
        </w:rPr>
        <w:t>"Тип продольного соединения на шпонках"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9" w:name="sub_30002"/>
      <w:bookmarkEnd w:id="11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73350" cy="358140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0" w:name="sub_30003"/>
      <w:bookmarkEnd w:id="120"/>
      <w:r>
        <w:rPr>
          <w:rFonts w:cs="Arial" w:ascii="Arial" w:hAnsi="Arial"/>
          <w:sz w:val="20"/>
          <w:szCs w:val="20"/>
        </w:rPr>
        <w:t>"Тип продольного соединения "в полдерева"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1" w:name="sub_30003"/>
      <w:bookmarkEnd w:id="12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81605" cy="3581400"/>
            <wp:effectExtent l="0" t="0" r="0" b="0"/>
            <wp:docPr id="19" name="Изображение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2" w:name="sub_30004"/>
      <w:bookmarkEnd w:id="122"/>
      <w:r>
        <w:rPr>
          <w:rFonts w:cs="Arial" w:ascii="Arial" w:hAnsi="Arial"/>
          <w:sz w:val="20"/>
          <w:szCs w:val="20"/>
        </w:rPr>
        <w:t>"Тип продольного соединения "на косой замок"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30004"/>
      <w:bookmarkStart w:id="124" w:name="sub_3000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5" w:name="sub_4000"/>
      <w:bookmarkEnd w:id="12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6" w:name="sub_400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Сведения о разработчиках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разработан рабочей группой специалистов в составе: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Г.Д. Кирюхин, ООО "ЛЕСКОНТ" (руководитель);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Н.В. Шведов, Госстрой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В.В. Кислый, МП "Дом"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М</w:t>
      </w:r>
      <w:r>
        <w:rPr>
          <w:rFonts w:cs="Arial" w:ascii="Arial" w:hAnsi="Arial"/>
          <w:sz w:val="20"/>
          <w:szCs w:val="20"/>
          <w:lang w:val="en-US"/>
        </w:rPr>
        <w:t>.</w:t>
      </w:r>
      <w:r>
        <w:rPr>
          <w:rFonts w:cs="Arial" w:ascii="Arial" w:hAnsi="Arial"/>
          <w:sz w:val="20"/>
          <w:szCs w:val="20"/>
        </w:rPr>
        <w:t>В</w:t>
      </w:r>
      <w:r>
        <w:rPr>
          <w:rFonts w:cs="Arial" w:ascii="Arial" w:hAnsi="Arial"/>
          <w:sz w:val="20"/>
          <w:szCs w:val="20"/>
          <w:lang w:val="en-US"/>
        </w:rPr>
        <w:t xml:space="preserve">. </w:t>
      </w:r>
      <w:r>
        <w:rPr>
          <w:rFonts w:cs="Arial" w:ascii="Arial" w:hAnsi="Arial"/>
          <w:sz w:val="20"/>
          <w:szCs w:val="20"/>
        </w:rPr>
        <w:t>Лившиц</w:t>
      </w:r>
      <w:r>
        <w:rPr>
          <w:rFonts w:cs="Arial" w:ascii="Arial" w:hAnsi="Arial"/>
          <w:sz w:val="20"/>
          <w:szCs w:val="20"/>
          <w:lang w:val="en-US"/>
        </w:rPr>
        <w:t>, "Global Edge";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М</w:t>
      </w:r>
      <w:r>
        <w:rPr>
          <w:rFonts w:cs="Arial" w:ascii="Arial" w:hAnsi="Arial"/>
          <w:sz w:val="20"/>
          <w:szCs w:val="20"/>
          <w:lang w:val="en-US"/>
        </w:rPr>
        <w:t>.</w:t>
      </w:r>
      <w:r>
        <w:rPr>
          <w:rFonts w:cs="Arial" w:ascii="Arial" w:hAnsi="Arial"/>
          <w:sz w:val="20"/>
          <w:szCs w:val="20"/>
        </w:rPr>
        <w:t>Ю</w:t>
      </w:r>
      <w:r>
        <w:rPr>
          <w:rFonts w:cs="Arial" w:ascii="Arial" w:hAnsi="Arial"/>
          <w:sz w:val="20"/>
          <w:szCs w:val="20"/>
          <w:lang w:val="en-US"/>
        </w:rPr>
        <w:t xml:space="preserve">. </w:t>
      </w:r>
      <w:r>
        <w:rPr>
          <w:rFonts w:cs="Arial" w:ascii="Arial" w:hAnsi="Arial"/>
          <w:sz w:val="20"/>
          <w:szCs w:val="20"/>
        </w:rPr>
        <w:t>Анкирский</w:t>
      </w:r>
      <w:r>
        <w:rPr>
          <w:rFonts w:cs="Arial" w:ascii="Arial" w:hAnsi="Arial"/>
          <w:sz w:val="20"/>
          <w:szCs w:val="20"/>
          <w:lang w:val="en-US"/>
        </w:rPr>
        <w:t>, "Global Edge";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А</w:t>
      </w:r>
      <w:r>
        <w:rPr>
          <w:rFonts w:cs="Arial" w:ascii="Arial" w:hAnsi="Arial"/>
          <w:sz w:val="20"/>
          <w:szCs w:val="20"/>
          <w:lang w:val="en-US"/>
        </w:rPr>
        <w:t xml:space="preserve">. </w:t>
      </w:r>
      <w:r>
        <w:rPr>
          <w:rFonts w:cs="Arial" w:ascii="Arial" w:hAnsi="Arial"/>
          <w:sz w:val="20"/>
          <w:szCs w:val="20"/>
        </w:rPr>
        <w:t>Раутайнен</w:t>
      </w:r>
      <w:r>
        <w:rPr>
          <w:rFonts w:cs="Arial" w:ascii="Arial" w:hAnsi="Arial"/>
          <w:sz w:val="20"/>
          <w:szCs w:val="20"/>
          <w:lang w:val="en-US"/>
        </w:rPr>
        <w:t>, "VTT building and transport";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М.Ю. Опочинский, ЗСК "ИНКОН";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С.Г. Каратаев, ЗСК "ИНКОН";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А.В. Ткаченко, ООО "Эколеспром";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Д.Н. Шведов, Центр по сертификации оконной и дверной техники;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И.Н. Медведев, НИУПЦ "Межрегиональный институт окна"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2007-02-07T20:24:00Z</dcterms:created>
  <dc:creator>Виктор</dc:creator>
  <dc:description/>
  <dc:language>ru-RU</dc:language>
  <cp:lastModifiedBy>Виктор</cp:lastModifiedBy>
  <dcterms:modified xsi:type="dcterms:W3CDTF">2007-02-07T20:32:00Z</dcterms:modified>
  <cp:revision>2</cp:revision>
  <dc:subject/>
  <dc:title/>
</cp:coreProperties>
</file>