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1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30247.2-97</w:t>
        <w:br/>
        <w:t>"Конструкции строительные. Методы испытаний на огнестойкость.</w:t>
        <w:br/>
        <w:t>Двери и ворота"</w:t>
        <w:br/>
        <w:t>(утв. постановлением Минстроя РФ от 21 февраля 1997 г. N 18-10)</w:t>
        <w:br/>
        <w:t>(с изменениями от 17 июня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110"/>
      <w:bookmarkStart w:id="2" w:name="sub_11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Elements of building constructions firetest method doors and gates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СТ СЭВ 3974-83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марта 1997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 Сущность метода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 Стендовое оборудование и измерительная аппаратура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 Температурный режим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 Образцы для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  Подготовка и проведение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9.  Предельные состояния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10. Оценка результатов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11. Обозначение пределов огнестойкости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12. Отчет (протокол)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13. Техника безопасности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А. Особенности  испытаний и оценки огнестойкости дверей шахт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лифтов (утратило силу)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метод испытания на огнестойкость дверей, люков и ворот (далее по тексту - дверей), предназначенных для заполнения проемов в стенах, перегородках и перекрытиях, а также дверей шахт лифтов.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Особенности испытаний и оценки огнестойкости дверей шахт лифтов изложены в обязательном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не распространяется на испытания дверей с площадью светопрозрачного заполнения 25% и более от площади дверного проема и на испытания дверей на дымопроницаемость.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2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200"/>
      <w:bookmarkStart w:id="8" w:name="sub_2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12.1.004-91 ССБТ. Пожарная безопасность.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12.1.019-79 ССБТ. Электробезопасность. Общие требования и номенклатура видов защиты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30247.0-94 Конструкции строительные. Методы испытания на огнестойкость.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30247.1-94 Конструкции строительные. Методы испытаний на огнестойкость. Несущие и ограждающие конструкции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Правила устройства и безопасной эксплуатации лифтов (ПУБЭЛ)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3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3.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300"/>
      <w:bookmarkStart w:id="11" w:name="sub_3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применяют следующий термин с соответствующим определением:</w:t>
      </w:r>
    </w:p>
    <w:p>
      <w:pPr>
        <w:pStyle w:val="Normal"/>
        <w:autoSpaceDE w:val="false"/>
        <w:ind w:firstLine="720"/>
        <w:jc w:val="both"/>
        <w:rPr/>
      </w:pPr>
      <w:bookmarkStart w:id="12" w:name="sub_301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дверь</w:t>
      </w:r>
      <w:r>
        <w:rPr>
          <w:rFonts w:cs="Arial" w:ascii="Arial" w:hAnsi="Arial"/>
          <w:sz w:val="20"/>
          <w:szCs w:val="20"/>
        </w:rPr>
        <w:t xml:space="preserve"> - конструктивный элемент, служащий для заполнения проемов в ограждениях и состоящий из подвижных и неподвижных элементов, включая элементы крепления к ограждениям.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301"/>
      <w:bookmarkStart w:id="14" w:name="sub_301"/>
      <w:bookmarkEnd w:id="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400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4. Сущность метода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400"/>
      <w:bookmarkStart w:id="17" w:name="sub_400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Сущность метода заключается в определении времени от начала одностороннего теплового воздействия до наступления одного или последовательно всех предельных состояний конструкции двери по огнестойкости при испытании в соответствии с настоящим стандартом.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500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5. Стендовое оборудование и измерительная аппаратура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500"/>
      <w:bookmarkStart w:id="20" w:name="sub_500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5.1. Для проведения испытаний используют: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испытательную печь с системой подачи и сжигания топлива (далее печь) - по ГОСТ 30247.0;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регулирующее устройство системы дымовых каналов, обеспечивающее избыточное давление в огневой камере печи - по ГОСТ 30247.1;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приспособление для установки образца двери на печи, обеспечивающее соблюдение условия крепления двери в проеме в соответствии с технической документацией;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системы измерения и регистрации параметров по ГОСТ 30247.0.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5.1.1. Печь должна обеспечивать возможность теплового воздействия на образец двери с одной стороны.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512"/>
      <w:bookmarkEnd w:id="21"/>
      <w:r>
        <w:rPr>
          <w:rFonts w:cs="Arial" w:ascii="Arial" w:hAnsi="Arial"/>
          <w:sz w:val="20"/>
          <w:szCs w:val="20"/>
        </w:rPr>
        <w:t>5.1.2. Приспособление (часть ограждающей конструкции), в которое установлен образец двери, должно иметь предел огнестойкости выше, чем испытываемая дверь.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512"/>
      <w:bookmarkStart w:id="23" w:name="sub_512"/>
      <w:bookmarkEnd w:id="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600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6. Температурный режим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600"/>
      <w:bookmarkStart w:id="26" w:name="sub_600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6.1. Температурный режим в печи должен соответствовать требованиям ГОСТ 30247.0.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700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7. Образцы для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700"/>
      <w:bookmarkStart w:id="29" w:name="sub_700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71"/>
      <w:bookmarkEnd w:id="30"/>
      <w:r>
        <w:rPr>
          <w:rFonts w:cs="Arial" w:ascii="Arial" w:hAnsi="Arial"/>
          <w:sz w:val="20"/>
          <w:szCs w:val="20"/>
        </w:rPr>
        <w:t>7.1. В том случае, когда при пожаре дверь может подвергаться тепловому воздействию с любой из двух сторон, изготавливают два одинаковых образца для проведения по одному испытанию при воздействии тепла с каждой стороны.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71"/>
      <w:bookmarkEnd w:id="31"/>
      <w:r>
        <w:rPr>
          <w:rFonts w:cs="Arial" w:ascii="Arial" w:hAnsi="Arial"/>
          <w:sz w:val="20"/>
          <w:szCs w:val="20"/>
        </w:rPr>
        <w:t>В случае, когда при пожаре дверь может подвергаться тепловому воздействию только с одной стороны, допускается изготавливать один образец для проведения испытания при воздействии тепла только с этой стороны.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72"/>
      <w:bookmarkEnd w:id="32"/>
      <w:r>
        <w:rPr>
          <w:rFonts w:cs="Arial" w:ascii="Arial" w:hAnsi="Arial"/>
          <w:sz w:val="20"/>
          <w:szCs w:val="20"/>
        </w:rPr>
        <w:t>7.2. Образцы для испытаний должны иметь проектные размеры. Для испытания дверей, проектные размеры которых превышают 2500 х 2500 мм, следует изготавливать образцы с уменьшенными до указанной величины размерами. При этом следует уменьшать только габаритные размеры в плоскости образца, а расстояния по вертикали между механизмами фиксации полотен (петлями, защелками и др.) в дверной коробке и между собой должны соответствовать технической документации на эти двери, число этих механизмов может быть сокращено.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72"/>
      <w:bookmarkEnd w:id="33"/>
      <w:r>
        <w:rPr>
          <w:rFonts w:cs="Arial" w:ascii="Arial" w:hAnsi="Arial"/>
          <w:sz w:val="20"/>
          <w:szCs w:val="20"/>
        </w:rPr>
        <w:t>7.3. Образцы для испытаний должны быть изготовлены, укомплектованы и собраны в соответствии с технической документацией. Они должны быть оснащены всеми устройствами (механизмами запирания, защелками, ручками, доводчиком и др.), которые используются в реальной конструкции двери.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7.4. Испытания проводятся после проверки работоспособности двери путем проведения 10 полных циклов открывания и закрывания.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7.5. Влажность материалов образца определяют по ГОСТ 30247.0.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7.6. Образцы дверей, представленные для испытаний, подвергают входному контролю, при котором: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выявляют комплектность каждого образца;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измеряют габаритные размеры и зазоры;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определяют влажность материалов (если существует возможность отбора проб).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Данные входного контроля заносятся в отчет (протокол)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7.7. Комплект поставки образца для испытания должен включать: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рабочие чертежи или эскизы двери и (или) образца;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техническое описание конструкции;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спецификацию используемых в двери материалов с указанием соответствующей нормативно-технической документации (ГОСТ, ТУ, МРТУ, инструкции и др.).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78"/>
      <w:bookmarkEnd w:id="34"/>
      <w:r>
        <w:rPr>
          <w:rFonts w:cs="Arial" w:ascii="Arial" w:hAnsi="Arial"/>
          <w:sz w:val="20"/>
          <w:szCs w:val="20"/>
        </w:rPr>
        <w:t>7.8. В техническом описании конструкции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78"/>
      <w:bookmarkEnd w:id="35"/>
      <w:r>
        <w:rPr>
          <w:rFonts w:cs="Arial" w:ascii="Arial" w:hAnsi="Arial"/>
          <w:sz w:val="20"/>
          <w:szCs w:val="20"/>
        </w:rPr>
        <w:t>- наименование, марку и назначение изделия;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фактические условия крепления образца по контуру;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сторону нагрева;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размеры дверного полотна, коробки, зазоров, основных узлов и деталей, включая толщину каждого составляющего слоя (в том числе изоляции и облицовки).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800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8. Подготовка и проведение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800"/>
      <w:bookmarkStart w:id="38" w:name="sub_800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8.1. Условия проведения испытаний - по ГОСТ 30247.0.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8.2. Крепление образца в ограждающую конструкцию должно соответствовать </w:t>
      </w:r>
      <w:hyperlink w:anchor="sub_7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7.8.</w:t>
        </w:r>
      </w:hyperlink>
      <w:r>
        <w:rPr>
          <w:rFonts w:cs="Arial" w:ascii="Arial" w:hAnsi="Arial"/>
          <w:sz w:val="20"/>
          <w:szCs w:val="20"/>
        </w:rPr>
        <w:t xml:space="preserve"> Если ограждающая конструкция не определена технической документацией, образец устанавливают в конструкцию из негорючего материала с учетом </w:t>
      </w:r>
      <w:hyperlink w:anchor="sub_5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5.1.2.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одновременном испытании двух образцов дверей расстояние между ними должно быть не менее двух толщин ограждающей конструкции, в которую они установлены.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8.3. Дверное полотно в коробке следует фиксировать защелкой, а при испытании самозакрывающейся двери следует устанавливать доводчик со стороны, предусмотренной технической документацией. Не допускается запирать дверь на замок.</w:t>
      </w:r>
    </w:p>
    <w:p>
      <w:pPr>
        <w:pStyle w:val="Normal"/>
        <w:autoSpaceDE w:val="false"/>
        <w:ind w:firstLine="720"/>
        <w:jc w:val="both"/>
        <w:rPr/>
      </w:pPr>
      <w:bookmarkStart w:id="39" w:name="sub_84"/>
      <w:bookmarkEnd w:id="39"/>
      <w:r>
        <w:rPr>
          <w:rFonts w:cs="Arial" w:ascii="Arial" w:hAnsi="Arial"/>
          <w:sz w:val="20"/>
          <w:szCs w:val="20"/>
        </w:rPr>
        <w:t xml:space="preserve">8.4. Термоэлектрические преобразователи (термопары) для измерения температуры необогреваемой поверхности устанавливают в соответствии со схемами, приведенными на </w:t>
      </w:r>
      <w:hyperlink w:anchor="sub_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рисунках 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84"/>
      <w:bookmarkStart w:id="41" w:name="sub_841"/>
      <w:bookmarkEnd w:id="40"/>
      <w:bookmarkEnd w:id="41"/>
      <w:r>
        <w:rPr>
          <w:rFonts w:cs="Arial" w:ascii="Arial" w:hAnsi="Arial"/>
          <w:sz w:val="20"/>
          <w:szCs w:val="20"/>
        </w:rPr>
        <w:t>а) посередине всей площади полотна однопольной или обоих полотен двупольной двери, но не совпадающих с местами расположения ребер жесткости или сквозных деталей (термопары 3, 16 для однопольной и 5, 6 для двупольной двери);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841"/>
      <w:bookmarkStart w:id="43" w:name="sub_842"/>
      <w:bookmarkEnd w:id="42"/>
      <w:bookmarkEnd w:id="43"/>
      <w:r>
        <w:rPr>
          <w:rFonts w:cs="Arial" w:ascii="Arial" w:hAnsi="Arial"/>
          <w:sz w:val="20"/>
          <w:szCs w:val="20"/>
        </w:rPr>
        <w:t>б) посередине каждой четверти площади полотна однопольной или обоих полотен двупольной двери, но не совпадающих с местами расположения ребер жесткости или сквозных деталей (термопары 1, 2, 4, 5, 14, 15, 17, 18 для однопольной и 1-4, 7-10 для двупольной двери);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842"/>
      <w:bookmarkStart w:id="45" w:name="sub_843"/>
      <w:bookmarkEnd w:id="44"/>
      <w:bookmarkEnd w:id="45"/>
      <w:r>
        <w:rPr>
          <w:rFonts w:cs="Arial" w:ascii="Arial" w:hAnsi="Arial"/>
          <w:sz w:val="20"/>
          <w:szCs w:val="20"/>
        </w:rPr>
        <w:t>в) на граничной линии по краям полотна однопольной или обоих полотен двупольной двери (термопары 8-11, 21-24 для однопольной двери и 15-22 для двупольной двери);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843"/>
      <w:bookmarkStart w:id="47" w:name="sub_844"/>
      <w:bookmarkEnd w:id="46"/>
      <w:bookmarkEnd w:id="47"/>
      <w:r>
        <w:rPr>
          <w:rFonts w:cs="Arial" w:ascii="Arial" w:hAnsi="Arial"/>
          <w:sz w:val="20"/>
          <w:szCs w:val="20"/>
        </w:rPr>
        <w:t>г) против ребер жесткости, если таковые имеются (термопары 6, 7, 19, 20 для однопольной двери и 11-14 для двупольной двери), кроме рамы полотна двери;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844"/>
      <w:bookmarkEnd w:id="4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46011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9" w:name="sub_111"/>
      <w:bookmarkEnd w:id="49"/>
      <w:r>
        <w:rPr>
          <w:rFonts w:cs="Arial" w:ascii="Arial" w:hAnsi="Arial"/>
          <w:sz w:val="20"/>
          <w:szCs w:val="20"/>
        </w:rPr>
        <w:t>"Рисунок 1. Схема установки термоэлектрических преобразователей (термопар) на необогреваемой поверхности однопольных дверей"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0" w:name="sub_111"/>
      <w:bookmarkEnd w:id="5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89699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/>
      </w:pPr>
      <w:bookmarkStart w:id="51" w:name="sub_112"/>
      <w:bookmarkEnd w:id="51"/>
      <w:r>
        <w:rPr>
          <w:rFonts w:cs="Arial" w:ascii="Arial" w:hAnsi="Arial"/>
          <w:sz w:val="20"/>
          <w:szCs w:val="20"/>
        </w:rPr>
        <w:t>"Рисунок 2. Схема установки термоэлектрических преобразователей (термопар) на необогреваемой поверхности двупольных дверей"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112"/>
      <w:bookmarkStart w:id="53" w:name="sub_112"/>
      <w:bookmarkEnd w:id="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845"/>
      <w:bookmarkEnd w:id="54"/>
      <w:r>
        <w:rPr>
          <w:rFonts w:cs="Arial" w:ascii="Arial" w:hAnsi="Arial"/>
          <w:sz w:val="20"/>
          <w:szCs w:val="20"/>
        </w:rPr>
        <w:t>д) в верхней и боковой точках дверной коробки (термопары 12, 13, 25, 26 для однодольной и 23-25 для двупольной двери).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845"/>
      <w:bookmarkEnd w:id="55"/>
      <w:r>
        <w:rPr>
          <w:rFonts w:cs="Arial" w:ascii="Arial" w:hAnsi="Arial"/>
          <w:sz w:val="20"/>
          <w:szCs w:val="20"/>
        </w:rPr>
        <w:t>8.5. Термопары не устанавливают на дверные ручки, петли и поверхность светопрозрачного заполнения полотна двери.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8.6. Температуру воздуха и скорость его движения в помещении во время испытания принимают по ГОСТ 30247.0.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8.7. В процессе испытания регистрируют: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температуру в печи - по ГОСТ 30247.0;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давление газов в печи - по ГОСТ 30247.1;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температуру на необогреваемой поверхности образца в точках по </w:t>
      </w:r>
      <w:hyperlink w:anchor="sub_8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8.4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время появления и характер развития в образце трещин, отверстий, щелей (зазоров), через которые могут проникать пламя или горячие газы на необогреваемую поверхность;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время начала разрушения образца или его частей (петель, механизмов фиксации, притворов, перекос полотна двери и др.);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время и характер изменения состояния материалов конструкции (взрывообразное разрушение, обугливание, воспламенение, выделение продуктов горения и др.);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8.8. Испытания проводят до наступления одного или последовательно всех предельных состояний.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6" w:name="sub_900"/>
      <w:bookmarkEnd w:id="56"/>
      <w:r>
        <w:rPr>
          <w:rFonts w:cs="Arial" w:ascii="Arial" w:hAnsi="Arial"/>
          <w:b/>
          <w:bCs/>
          <w:color w:val="000080"/>
          <w:sz w:val="20"/>
          <w:szCs w:val="20"/>
        </w:rPr>
        <w:t>9. Предельные состояния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7" w:name="sub_900"/>
      <w:bookmarkStart w:id="58" w:name="sub_900"/>
      <w:bookmarkEnd w:id="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9.1. При испытании дверей различают следующие предельные состояния.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911"/>
      <w:bookmarkEnd w:id="59"/>
      <w:r>
        <w:rPr>
          <w:rFonts w:cs="Arial" w:ascii="Arial" w:hAnsi="Arial"/>
          <w:sz w:val="20"/>
          <w:szCs w:val="20"/>
        </w:rPr>
        <w:t>9.1.1. Потеря целостности (Е) - по ГОСТ 30247.1 или выпадение дверного полотна из коробки или же самой коробки из ограждающей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911"/>
      <w:bookmarkEnd w:id="60"/>
      <w:r>
        <w:rPr>
          <w:rFonts w:cs="Arial" w:ascii="Arial" w:hAnsi="Arial"/>
          <w:sz w:val="20"/>
          <w:szCs w:val="20"/>
        </w:rPr>
        <w:t>9.1.2. Потеря теплоизолирующей способности I - вследствие повышения температуры на необогреваемой поверхности полотна двери в среднем более чем на 140°С или в любой точке этой поверхности на 180°С в сравнении с температурой конструкции до испытания или достижения температуры 220°С на коробке двери независимо от температуры конструкции до испытания.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1" w:name="sub_1100"/>
      <w:bookmarkEnd w:id="61"/>
      <w:r>
        <w:rPr>
          <w:rFonts w:cs="Arial" w:ascii="Arial" w:hAnsi="Arial"/>
          <w:b/>
          <w:bCs/>
          <w:color w:val="000080"/>
          <w:sz w:val="20"/>
          <w:szCs w:val="20"/>
        </w:rPr>
        <w:t>10. Оценка результатов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2" w:name="sub_1100"/>
      <w:bookmarkStart w:id="63" w:name="sub_1100"/>
      <w:bookmarkEnd w:id="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10.1. Потерю целостности определяют по </w:t>
      </w:r>
      <w:hyperlink w:anchor="sub_9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9.1.1.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10.2. Потеря теплоизолирующей способности.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10.2.1. Величину превышения первоначальной температуры на необогреваемой поверхности полотна двери на 140°С определяют как среднеарифметическое значение показаний термопар, установленных в точках, указанных в 8.4 а и б.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10.2.2. Величину превышения первоначальной температуры на необогреваемой поверхности полотна двери на 180°С определяют по показаниям термопар, установленных в точках, указанных в </w:t>
      </w:r>
      <w:hyperlink w:anchor="sub_8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8.4 а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8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б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8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в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84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10.2.3 Достижение температуры 220°С на необогреваемой поверхности коробки двери определяют по показаниям термопар, установленных в точках, указанных в </w:t>
      </w:r>
      <w:hyperlink w:anchor="sub_8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8.4 д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10.3 Предельное состояние по теплоизолирующей способности светопрозрачного заполнения дверного полотна площадью менее 25% не учитывают.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10.4 При испытании образцов дверей по </w:t>
      </w:r>
      <w:hyperlink w:anchor="sub_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7.1</w:t>
        </w:r>
      </w:hyperlink>
      <w:r>
        <w:rPr>
          <w:rFonts w:cs="Arial" w:ascii="Arial" w:hAnsi="Arial"/>
          <w:sz w:val="20"/>
          <w:szCs w:val="20"/>
        </w:rPr>
        <w:t xml:space="preserve"> за пределы огнестойкости принимают минимальные значения времени наступления предельных состояний.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10.5 Результаты испытаний, описанные в отчете (протоколе), действительны для дверей данного типа с отклонениями их габаритных размеров по высоте и ширине от +10 до - 30% с округлением в большую сторону до 50 мм и в меньшую - до 100 мм от вычисленных величин.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Результаты испытаний образцов дверей уменьшенных размеров действительны для дверей реальных размеров при соблюдении требований </w:t>
      </w:r>
      <w:hyperlink w:anchor="sub_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7.2.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" w:name="sub_1200"/>
      <w:bookmarkEnd w:id="64"/>
      <w:r>
        <w:rPr>
          <w:rFonts w:cs="Arial" w:ascii="Arial" w:hAnsi="Arial"/>
          <w:b/>
          <w:bCs/>
          <w:color w:val="000080"/>
          <w:sz w:val="20"/>
          <w:szCs w:val="20"/>
        </w:rPr>
        <w:t>11. Обозначение пределов огнестойкости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" w:name="sub_1200"/>
      <w:bookmarkStart w:id="66" w:name="sub_1200"/>
      <w:bookmarkEnd w:id="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11.1. Обозначение пределов огнестойкости принимают по ГОСТ 30247.0.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7" w:name="sub_1300"/>
      <w:bookmarkEnd w:id="67"/>
      <w:r>
        <w:rPr>
          <w:rFonts w:cs="Arial" w:ascii="Arial" w:hAnsi="Arial"/>
          <w:b/>
          <w:bCs/>
          <w:color w:val="000080"/>
          <w:sz w:val="20"/>
          <w:szCs w:val="20"/>
        </w:rPr>
        <w:t>12. Отчет (протокол)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8" w:name="sub_1300"/>
      <w:bookmarkStart w:id="69" w:name="sub_1300"/>
      <w:bookmarkEnd w:id="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12.1. По результатам испытаний составляют отчет (протокол) в соответствии с ГОСТ 30247.0.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0" w:name="sub_1400"/>
      <w:bookmarkEnd w:id="70"/>
      <w:r>
        <w:rPr>
          <w:rFonts w:cs="Arial" w:ascii="Arial" w:hAnsi="Arial"/>
          <w:b/>
          <w:bCs/>
          <w:color w:val="000080"/>
          <w:sz w:val="20"/>
          <w:szCs w:val="20"/>
        </w:rPr>
        <w:t>13. Техника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1" w:name="sub_1400"/>
      <w:bookmarkStart w:id="72" w:name="sub_1400"/>
      <w:bookmarkEnd w:id="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13.1 При испытании дверей на огнестойкость должны соблюдаться требования безопасности и производственной санитарии согласно ГОСТ 12.1.004; ГОСТ 12.1.019; ГОСТ 30247.0.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</w:rPr>
      </w:pPr>
      <w:bookmarkStart w:id="73" w:name="sub_1000"/>
      <w:bookmarkEnd w:id="73"/>
      <w:r>
        <w:rPr>
          <w:rFonts w:cs="Arial" w:ascii="Arial" w:hAnsi="Arial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</w:rPr>
      </w:pPr>
      <w:bookmarkStart w:id="74" w:name="sub_1000"/>
      <w:bookmarkEnd w:id="74"/>
      <w:r>
        <w:rPr>
          <w:rFonts w:cs="Arial" w:ascii="Arial" w:hAnsi="Arial"/>
        </w:rPr>
        <w:t>(обязательное)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5" w:name="sub_307796312"/>
      <w:bookmarkEnd w:id="75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17 июня 2002 г. N 59 приложение А к настоящему ГОСТ признано утратившим силу с 1 июля 2002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6" w:name="sub_307796312"/>
      <w:bookmarkEnd w:id="76"/>
      <w:r>
        <w:rPr>
          <w:rFonts w:cs="Arial" w:ascii="Arial" w:hAnsi="Arial"/>
          <w:i/>
          <w:iCs/>
          <w:color w:val="800080"/>
          <w:sz w:val="20"/>
          <w:szCs w:val="20"/>
        </w:rPr>
        <w:t>См. ГОСТ 30247.3-2002 "Конструкции строительные. Методы испытаний на огнестойкость. Двери шахт лифтов", утвержденный вышеупомянутым постановлением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Особенности испытаний и оценки огнестойкости дверей шахт лифтов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color w:val="808000"/>
          <w:sz w:val="20"/>
          <w:szCs w:val="20"/>
          <w:lang w:val="ru-RU" w:eastAsia="ru-RU"/>
        </w:rPr>
        <w:t xml:space="preserve">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Образцы для испытаний</w:t>
        </w:r>
      </w:hyperlink>
      <w:r>
        <w:rPr>
          <w:rFonts w:cs="Courier New" w:ascii="Courier New" w:hAnsi="Courier New"/>
          <w:color w:val="808000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color w:val="808000"/>
          <w:sz w:val="20"/>
          <w:szCs w:val="20"/>
          <w:lang w:val="ru-RU" w:eastAsia="ru-RU"/>
        </w:rPr>
        <w:t xml:space="preserve"> 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Подготовка и проведение испытаний</w:t>
        </w:r>
      </w:hyperlink>
      <w:r>
        <w:rPr>
          <w:rFonts w:cs="Courier New" w:ascii="Courier New" w:hAnsi="Courier New"/>
          <w:color w:val="808000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color w:val="808000"/>
          <w:sz w:val="20"/>
          <w:szCs w:val="20"/>
          <w:lang w:val="ru-RU" w:eastAsia="ru-RU"/>
        </w:rPr>
        <w:t xml:space="preserve"> </w:t>
      </w:r>
      <w:hyperlink w:anchor="sub_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Предельные состояния</w:t>
        </w:r>
      </w:hyperlink>
      <w:r>
        <w:rPr>
          <w:rFonts w:cs="Courier New" w:ascii="Courier New" w:hAnsi="Courier New"/>
          <w:color w:val="808000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color w:val="808000"/>
          <w:sz w:val="20"/>
          <w:szCs w:val="20"/>
          <w:lang w:val="ru-RU" w:eastAsia="ru-RU"/>
        </w:rPr>
        <w:t xml:space="preserve"> </w:t>
      </w:r>
      <w:hyperlink w:anchor="sub_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Оценка результатов испытаний</w:t>
        </w:r>
      </w:hyperlink>
      <w:r>
        <w:rPr>
          <w:rFonts w:cs="Courier New" w:ascii="Courier New" w:hAnsi="Courier New"/>
          <w:color w:val="808000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color w:val="808000"/>
          <w:sz w:val="20"/>
          <w:szCs w:val="20"/>
          <w:lang w:val="ru-RU" w:eastAsia="ru-RU"/>
        </w:rPr>
        <w:t xml:space="preserve"> </w:t>
      </w:r>
      <w:hyperlink w:anchor="sub_1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Дополнительные данные для внесения в отчет (протокол) испытания</w:t>
        </w:r>
      </w:hyperlink>
      <w:r>
        <w:rPr>
          <w:rFonts w:cs="Courier New" w:ascii="Courier New" w:hAnsi="Courier New"/>
          <w:color w:val="808000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7" w:name="sub_1001"/>
      <w:bookmarkEnd w:id="77"/>
      <w:r>
        <w:rPr>
          <w:rFonts w:cs="Arial" w:ascii="Arial" w:hAnsi="Arial"/>
          <w:b/>
          <w:bCs/>
          <w:sz w:val="20"/>
          <w:szCs w:val="20"/>
        </w:rPr>
        <w:t>1. Образцы для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8" w:name="sub_1001"/>
      <w:bookmarkStart w:id="79" w:name="sub_1001"/>
      <w:bookmarkEnd w:id="7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1.1 Испытанию подлежит один образец.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1.2 Комплект поставки образца для испытания должен включать: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- техническое описание конструкции двери;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- эскизы двери с указанием основных размеров и зазоров, расположения теплоизоляционных материалов, уплотнений и воздушных лабиринтов;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- спецификацию теплоизоляционных материалов;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- документ, заверенный контрольной службой завода-изготовителя, подтверждающий полное соответствие образца технической документации;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- строительное задание на проектирование шахты для установки лифта с типом дверей, которые подлежат испытанию;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- инструкцию по монтажу дверей шахты лифта, содержащую величины регламентированных зазоров и допустимых отклонений, а также методы их измерений.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0" w:name="sub_1002"/>
      <w:bookmarkEnd w:id="80"/>
      <w:r>
        <w:rPr>
          <w:rFonts w:cs="Arial" w:ascii="Arial" w:hAnsi="Arial"/>
          <w:b/>
          <w:bCs/>
          <w:sz w:val="20"/>
          <w:szCs w:val="20"/>
        </w:rPr>
        <w:t>2. Подготовка и проведение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1" w:name="sub_1002"/>
      <w:bookmarkStart w:id="82" w:name="sub_1002"/>
      <w:bookmarkEnd w:id="8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2.1. Образец монтируют на приспособлении, имитирующем стену шахты, выполненном по </w:t>
      </w:r>
      <w:hyperlink w:anchor="sub_512">
        <w:r>
          <w:rPr>
            <w:rStyle w:val="Style15"/>
            <w:rFonts w:cs="Arial" w:ascii="Arial" w:hAnsi="Arial"/>
            <w:u w:val="single"/>
          </w:rPr>
          <w:t>5.1.2.</w:t>
        </w:r>
      </w:hyperlink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2.2. Строительный проем приспособления должен иметь максимальные (в пределах допуска) размеры, соответствующие строительному заданию на проектирование шахты для установки лифта с данным типом дверей.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2.3. Монтаж образца на приспособлении должен быть выполнен специализированной организацией в соответствии с требованиями ПУБЭЛ и по инструкции производителя данного типа двери.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2.4. При монтаже образца контролируют регламентированные зазоры, при этом их величина должна быть максимальной в пределах допусков.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  <w:color w:val="808000"/>
        </w:rPr>
      </w:pPr>
      <w:r>
        <w:rPr>
          <w:rFonts w:cs="Arial" w:ascii="Arial" w:hAnsi="Arial"/>
        </w:rPr>
        <w:drawing>
          <wp:inline distT="0" distB="0" distL="0" distR="0">
            <wp:extent cx="354330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color w:val="808000"/>
          <w:sz w:val="20"/>
          <w:szCs w:val="20"/>
        </w:rPr>
      </w:pPr>
      <w:r>
        <w:rPr>
          <w:rFonts w:cs="Courier New" w:ascii="Courier New" w:hAnsi="Courier New"/>
          <w:color w:val="80800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3" w:name="sub_113"/>
      <w:bookmarkEnd w:id="83"/>
      <w:r>
        <w:rPr>
          <w:rFonts w:cs="Arial" w:ascii="Arial" w:hAnsi="Arial"/>
          <w:sz w:val="20"/>
          <w:szCs w:val="20"/>
        </w:rPr>
        <w:t>"Рисунок А1. Схема установки термоэлектрических преобразователей (термопар) на необогреваемой поверхности двери шахты лифта"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113"/>
      <w:bookmarkStart w:id="85" w:name="sub_113"/>
      <w:bookmarkEnd w:id="8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2.5. Приспособление с образцом устанавливают в проеме печи. Тепловое воздействие на образец двери должно быть со стороны, обращенной к посадочной (погрузочной) площадке.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2.6. Дверь шахты должна испытываться в закрытом состоянии и запертой на замок в соответствии с требованиями ПУБЭЛ.</w:t>
      </w:r>
    </w:p>
    <w:p>
      <w:pPr>
        <w:pStyle w:val="Normal"/>
        <w:autoSpaceDE w:val="false"/>
        <w:ind w:firstLine="698"/>
        <w:jc w:val="both"/>
        <w:rPr/>
      </w:pPr>
      <w:r>
        <w:rPr>
          <w:rFonts w:cs="Arial" w:ascii="Arial" w:hAnsi="Arial"/>
        </w:rPr>
        <w:t xml:space="preserve">2.7. Установку термоэлектрических преобразователей (термопар) для измерения температуры необогреваемой поверхности производят в соответствии со схемой, приведенной на </w:t>
      </w:r>
      <w:hyperlink w:anchor="sub_113">
        <w:r>
          <w:rPr>
            <w:rStyle w:val="Style15"/>
            <w:rFonts w:cs="Arial" w:ascii="Arial" w:hAnsi="Arial"/>
            <w:u w:val="single"/>
          </w:rPr>
          <w:t>рисунке А1</w:t>
        </w:r>
      </w:hyperlink>
      <w:r>
        <w:rPr>
          <w:rFonts w:cs="Arial" w:ascii="Arial" w:hAnsi="Arial"/>
        </w:rPr>
        <w:t>: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bookmarkStart w:id="86" w:name="sub_1271"/>
      <w:bookmarkEnd w:id="86"/>
      <w:r>
        <w:rPr>
          <w:rFonts w:cs="Arial" w:ascii="Arial" w:hAnsi="Arial"/>
        </w:rPr>
        <w:t>а) посередине всей площади двери, но не совпадающей с местами расположения притвора полотен, ребер жесткости или сквозных деталей (термопара 5);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bookmarkStart w:id="87" w:name="sub_1271"/>
      <w:bookmarkStart w:id="88" w:name="sub_1272"/>
      <w:bookmarkEnd w:id="87"/>
      <w:bookmarkEnd w:id="88"/>
      <w:r>
        <w:rPr>
          <w:rFonts w:cs="Arial" w:ascii="Arial" w:hAnsi="Arial"/>
        </w:rPr>
        <w:t>б) посередине каждой четверти площади двери, но не совпадающей с местами расположения ребер жесткости или сквозных деталей (термопары 1-4);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bookmarkStart w:id="89" w:name="sub_1272"/>
      <w:bookmarkEnd w:id="89"/>
      <w:r>
        <w:rPr>
          <w:rFonts w:cs="Arial" w:ascii="Arial" w:hAnsi="Arial"/>
        </w:rPr>
        <w:t>в) против ребер жесткости, если таковые имеются (термопары 6, 7).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0" w:name="sub_1003"/>
      <w:bookmarkEnd w:id="90"/>
      <w:r>
        <w:rPr>
          <w:rFonts w:cs="Arial" w:ascii="Arial" w:hAnsi="Arial"/>
          <w:b/>
          <w:bCs/>
          <w:sz w:val="20"/>
          <w:szCs w:val="20"/>
        </w:rPr>
        <w:t>3. Предельные состояния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1" w:name="sub_1003"/>
      <w:bookmarkStart w:id="92" w:name="sub_1003"/>
      <w:bookmarkEnd w:id="9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3.1. При испытании дверей шахт лифтов различают следующие предельные состояния.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3.1.1. Потеря целостности Е - по </w:t>
      </w:r>
      <w:hyperlink w:anchor="sub_911">
        <w:r>
          <w:rPr>
            <w:rStyle w:val="Style15"/>
            <w:rFonts w:cs="Arial" w:ascii="Arial" w:hAnsi="Arial"/>
            <w:u w:val="single"/>
          </w:rPr>
          <w:t>9.1.1.</w:t>
        </w:r>
      </w:hyperlink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3.1.2. Потеря теплоизолирующей способности I вследствие повышения температуры на необогреваемой поверхности полотна двери в среднем более чем на 280°С или в любой точке этой поверхности на 330°С в сравнении с температурой конструкции до испытания.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3" w:name="sub_1004"/>
      <w:bookmarkEnd w:id="93"/>
      <w:r>
        <w:rPr>
          <w:rFonts w:cs="Arial" w:ascii="Arial" w:hAnsi="Arial"/>
          <w:b/>
          <w:bCs/>
          <w:sz w:val="20"/>
          <w:szCs w:val="20"/>
        </w:rPr>
        <w:t>4. Оценка результатов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4" w:name="sub_1004"/>
      <w:bookmarkStart w:id="95" w:name="sub_1004"/>
      <w:bookmarkEnd w:id="9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4.1. Потерю целостности определяют по </w:t>
      </w:r>
      <w:hyperlink w:anchor="sub_911">
        <w:r>
          <w:rPr>
            <w:rStyle w:val="Style15"/>
            <w:rFonts w:cs="Arial" w:ascii="Arial" w:hAnsi="Arial"/>
            <w:u w:val="single"/>
          </w:rPr>
          <w:t>9.1.1.</w:t>
        </w:r>
      </w:hyperlink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4.2. Потеря теплоизолирующей способности:</w:t>
      </w:r>
    </w:p>
    <w:p>
      <w:pPr>
        <w:pStyle w:val="Normal"/>
        <w:autoSpaceDE w:val="false"/>
        <w:ind w:firstLine="698"/>
        <w:jc w:val="both"/>
        <w:rPr/>
      </w:pPr>
      <w:r>
        <w:rPr>
          <w:rFonts w:cs="Arial" w:ascii="Arial" w:hAnsi="Arial"/>
        </w:rPr>
        <w:t xml:space="preserve">4.2.1. Величину превышения первоначальной температуры на необогреваемой поверхности двери на 280°С определяют как среднеарифметическое значение показаний термопар, установленных в точках, указанных в </w:t>
      </w:r>
      <w:hyperlink w:anchor="sub_1271">
        <w:r>
          <w:rPr>
            <w:rStyle w:val="Style15"/>
            <w:rFonts w:cs="Arial" w:ascii="Arial" w:hAnsi="Arial"/>
            <w:u w:val="single"/>
          </w:rPr>
          <w:t>2.7 а</w:t>
        </w:r>
      </w:hyperlink>
      <w:r>
        <w:rPr>
          <w:rFonts w:cs="Arial" w:ascii="Arial" w:hAnsi="Arial"/>
        </w:rPr>
        <w:t xml:space="preserve"> и </w:t>
      </w:r>
      <w:hyperlink w:anchor="sub_1272">
        <w:r>
          <w:rPr>
            <w:rStyle w:val="Style15"/>
            <w:rFonts w:cs="Arial" w:ascii="Arial" w:hAnsi="Arial"/>
            <w:u w:val="single"/>
          </w:rPr>
          <w:t>б</w:t>
        </w:r>
      </w:hyperlink>
      <w:r>
        <w:rPr>
          <w:rFonts w:cs="Arial" w:ascii="Arial" w:hAnsi="Arial"/>
        </w:rPr>
        <w:t xml:space="preserve"> настоящего приложения.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4.2.2 Величину превышения первоначальной температуры на необогреваемой поверхности двери на 330°С определяют по показаниям термопар, установленных в точках, указанных в 2.7 а, б, в настоящего приложения.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4.3 За предел огнестойкости принимают минимальное значение времени наступления предельных состояний.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6" w:name="sub_1005"/>
      <w:bookmarkEnd w:id="96"/>
      <w:r>
        <w:rPr>
          <w:rFonts w:cs="Arial" w:ascii="Arial" w:hAnsi="Arial"/>
          <w:b/>
          <w:bCs/>
          <w:sz w:val="20"/>
          <w:szCs w:val="20"/>
        </w:rPr>
        <w:t>5. Дополнительные данные для внесения в отчет (протокол) испытания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7" w:name="sub_1005"/>
      <w:bookmarkStart w:id="98" w:name="sub_1005"/>
      <w:bookmarkEnd w:id="9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5.1. Сведения о представителе заказчика (производителя), присутствовавшем при проведении испытаний.</w:t>
      </w:r>
    </w:p>
    <w:p>
      <w:pPr>
        <w:pStyle w:val="Normal"/>
        <w:autoSpaceDE w:val="false"/>
        <w:ind w:firstLine="698"/>
        <w:jc w:val="both"/>
        <w:rPr>
          <w:rFonts w:ascii="Arial" w:hAnsi="Arial" w:cs="Arial"/>
        </w:rPr>
      </w:pPr>
      <w:r>
        <w:rPr>
          <w:rFonts w:cs="Arial" w:ascii="Arial" w:hAnsi="Arial"/>
        </w:rPr>
        <w:t>5.2. Инструкция производителя по проведению монтажа испытываемой двери шахты лифта.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2007-02-10T22:05:00Z</dcterms:created>
  <dc:creator>Виктор</dc:creator>
  <dc:description/>
  <dc:language>ru-RU</dc:language>
  <cp:lastModifiedBy>Виктор</cp:lastModifiedBy>
  <dcterms:modified xsi:type="dcterms:W3CDTF">2007-02-10T22:07:00Z</dcterms:modified>
  <cp:revision>2</cp:revision>
  <dc:subject/>
  <dc:title/>
</cp:coreProperties>
</file>