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30108-94</w:t>
        <w:br/>
        <w:t>"Материалы и изделия строительные.</w:t>
        <w:br/>
        <w:t>Определение удельной эффективной</w:t>
        <w:br/>
        <w:t>активности естественных радионуклидов"</w:t>
        <w:br/>
        <w:t>(введен в действие постановлением Госстроя РФ от 30 июня 1994 г. N 18-48)</w:t>
        <w:br/>
        <w:t>(с изменениями от 17 декабря 1997 г., 4 декабря 2000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Building materials and elements. Determination ofactivity of natural radioactive nuclei</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января 1995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Определения, обозначения и сокращения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Методы определения удельной эффективной активности  естественных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радионуклидов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Настоящий стандарт распространяется на неорганические сыпучие строительные материалы (щебень, гравий, песок, цемент, гипс и др.) и строительные изделия (плиты облицовочные, декоративные и другие изделия из природного камня, кирпич и камни стеновые), а также на отходы промышленного производства, используемые непосредственно в качестве строительных материалов или как сырье для их производства, и устанавливает методы определения удельной эффективной активности естественных радионуклидов для оценки строительных материалов и изделий в соответствии с требованиями, приведенными в </w:t>
      </w:r>
      <w:hyperlink w:anchor="sub_1000">
        <w:r>
          <w:rPr>
            <w:rStyle w:val="Style15"/>
            <w:rFonts w:cs="Arial" w:ascii="Arial" w:hAnsi="Arial"/>
            <w:sz w:val="20"/>
            <w:szCs w:val="20"/>
            <w:u w:val="single"/>
          </w:rPr>
          <w:t>приложении А</w:t>
        </w:r>
      </w:hyperlink>
      <w:r>
        <w:rPr>
          <w:rFonts w:cs="Arial" w:ascii="Arial" w:hAnsi="Arial"/>
          <w:sz w:val="20"/>
          <w:szCs w:val="20"/>
        </w:rPr>
        <w:t>, и порядок проведения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 w:name="sub_200"/>
      <w:bookmarkStart w:id="4" w:name="sub_288574796"/>
      <w:bookmarkEnd w:id="3"/>
      <w:bookmarkEnd w:id="4"/>
      <w:r>
        <w:rPr>
          <w:rFonts w:cs="Arial" w:ascii="Arial" w:hAnsi="Arial"/>
          <w:i/>
          <w:iCs/>
          <w:sz w:val="20"/>
          <w:szCs w:val="20"/>
        </w:rPr>
        <w:t>Изменением N 1, утвержденным постановлением Госстроя РФ от 17 декабря 1997 г. N 18-70, в раздел 2 настоящего ГОСТ внесены изменения</w:t>
      </w:r>
    </w:p>
    <w:p>
      <w:pPr>
        <w:pStyle w:val="Normal"/>
        <w:autoSpaceDE w:val="false"/>
        <w:ind w:start="139" w:firstLine="139"/>
        <w:jc w:val="both"/>
        <w:rPr>
          <w:rFonts w:ascii="Arial" w:hAnsi="Arial" w:cs="Arial"/>
          <w:i/>
          <w:i/>
          <w:iCs/>
          <w:sz w:val="20"/>
          <w:szCs w:val="20"/>
        </w:rPr>
      </w:pPr>
      <w:bookmarkStart w:id="5" w:name="sub_200"/>
      <w:bookmarkStart w:id="6" w:name="sub_288574796"/>
      <w:bookmarkEnd w:id="5"/>
      <w:bookmarkEnd w:id="6"/>
      <w:r>
        <w:rPr>
          <w:rFonts w:cs="Arial" w:ascii="Arial" w:hAnsi="Arial"/>
          <w:i/>
          <w:iCs/>
          <w:sz w:val="20"/>
          <w:szCs w:val="20"/>
        </w:rPr>
        <w:t>См. текст раздела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8.326-89 ГСИ. Метрологическая аттестация средств измерений.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8.513-84 ГСИ. Поверка средств измерений. Организация и порядок проведения</w:t>
      </w:r>
    </w:p>
    <w:p>
      <w:pPr>
        <w:pStyle w:val="Normal"/>
        <w:autoSpaceDE w:val="false"/>
        <w:ind w:firstLine="720"/>
        <w:jc w:val="both"/>
        <w:rPr>
          <w:rFonts w:ascii="Arial" w:hAnsi="Arial" w:cs="Arial"/>
          <w:sz w:val="20"/>
          <w:szCs w:val="20"/>
        </w:rPr>
      </w:pPr>
      <w:r>
        <w:rPr>
          <w:rFonts w:cs="Arial" w:ascii="Arial" w:hAnsi="Arial"/>
          <w:sz w:val="20"/>
          <w:szCs w:val="20"/>
        </w:rPr>
        <w:t>ГОСТ 24104-88 Весы лабораторные общего назначения и образцовые.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 w:name="sub_288587936"/>
      <w:bookmarkEnd w:id="7"/>
      <w:r>
        <w:rPr>
          <w:rFonts w:cs="Arial" w:ascii="Arial" w:hAnsi="Arial"/>
          <w:i/>
          <w:iCs/>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sz w:val="20"/>
          <w:szCs w:val="20"/>
        </w:rPr>
      </w:pPr>
      <w:bookmarkStart w:id="8" w:name="sub_288587936"/>
      <w:bookmarkStart w:id="9" w:name="sub_288587936"/>
      <w:bookmarkEnd w:id="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29329-92 Весы для статического взвешивания. Общие технические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 w:name="sub_300"/>
      <w:bookmarkEnd w:id="10"/>
      <w:r>
        <w:rPr>
          <w:rFonts w:cs="Arial" w:ascii="Arial" w:hAnsi="Arial"/>
          <w:b/>
          <w:bCs/>
          <w:sz w:val="20"/>
          <w:szCs w:val="20"/>
        </w:rPr>
        <w:t>3. Определения, обозначения и сокращения</w:t>
      </w:r>
    </w:p>
    <w:p>
      <w:pPr>
        <w:pStyle w:val="Normal"/>
        <w:autoSpaceDE w:val="false"/>
        <w:jc w:val="both"/>
        <w:rPr>
          <w:rFonts w:ascii="Courier New" w:hAnsi="Courier New" w:cs="Courier New"/>
          <w:b/>
          <w:b/>
          <w:bCs/>
          <w:sz w:val="20"/>
          <w:szCs w:val="20"/>
        </w:rPr>
      </w:pPr>
      <w:bookmarkStart w:id="11" w:name="sub_300"/>
      <w:bookmarkStart w:id="12" w:name="sub_300"/>
      <w:bookmarkEnd w:id="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 и обозначения:</w:t>
      </w:r>
    </w:p>
    <w:p>
      <w:pPr>
        <w:pStyle w:val="Normal"/>
        <w:autoSpaceDE w:val="false"/>
        <w:ind w:firstLine="720"/>
        <w:jc w:val="both"/>
        <w:rPr/>
      </w:pPr>
      <w:r>
        <w:rPr>
          <w:rFonts w:cs="Arial" w:ascii="Arial" w:hAnsi="Arial"/>
          <w:b/>
          <w:bCs/>
          <w:sz w:val="20"/>
          <w:szCs w:val="20"/>
        </w:rPr>
        <w:t>Естественные радионуклиды (ЕРН)</w:t>
      </w:r>
      <w:r>
        <w:rPr>
          <w:rFonts w:cs="Arial" w:ascii="Arial" w:hAnsi="Arial"/>
          <w:sz w:val="20"/>
          <w:szCs w:val="20"/>
        </w:rPr>
        <w:t xml:space="preserve"> - основные радиоактивные нуклиды природного происхождения, содержащиеся в строительных материалах: радий (226Ra), торий (232Th), калий 40К);</w:t>
      </w:r>
    </w:p>
    <w:p>
      <w:pPr>
        <w:pStyle w:val="Normal"/>
        <w:autoSpaceDE w:val="false"/>
        <w:ind w:firstLine="720"/>
        <w:jc w:val="both"/>
        <w:rPr/>
      </w:pPr>
      <w:r>
        <w:rPr>
          <w:rFonts w:cs="Arial" w:ascii="Arial" w:hAnsi="Arial"/>
          <w:b/>
          <w:bCs/>
          <w:sz w:val="20"/>
          <w:szCs w:val="20"/>
        </w:rPr>
        <w:t>Удельная активность радионуклида (А)</w:t>
      </w:r>
      <w:r>
        <w:rPr>
          <w:rFonts w:cs="Arial" w:ascii="Arial" w:hAnsi="Arial"/>
          <w:sz w:val="20"/>
          <w:szCs w:val="20"/>
        </w:rPr>
        <w:t xml:space="preserve"> - отношение активности радионуклида в образце к массе образца, Бк/кг;</w:t>
      </w:r>
    </w:p>
    <w:p>
      <w:pPr>
        <w:pStyle w:val="Normal"/>
        <w:autoSpaceDE w:val="false"/>
        <w:ind w:firstLine="720"/>
        <w:jc w:val="both"/>
        <w:rPr/>
      </w:pPr>
      <w:r>
        <w:rPr>
          <w:rFonts w:cs="Arial" w:ascii="Arial" w:hAnsi="Arial"/>
          <w:b/>
          <w:bCs/>
          <w:sz w:val="20"/>
          <w:szCs w:val="20"/>
        </w:rPr>
        <w:t>Удельная эффективная активность ЕРН (А_эфф)</w:t>
      </w:r>
      <w:r>
        <w:rPr>
          <w:rFonts w:cs="Arial" w:ascii="Arial" w:hAnsi="Arial"/>
          <w:sz w:val="20"/>
          <w:szCs w:val="20"/>
        </w:rPr>
        <w:t xml:space="preserve"> - суммарная удельная активность ЕРН в материале, определяемая с учетом их биологического воздействия на организм человека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r>
        <w:rPr>
          <w:rFonts w:cs="Courier New" w:ascii="Courier New" w:hAnsi="Courier New"/>
          <w:sz w:val="20"/>
          <w:szCs w:val="20"/>
          <w:lang w:val="en-US" w:eastAsia="ru-RU"/>
        </w:rPr>
        <w:t xml:space="preserve">   = A   + 1,31A   + 0,085A ,                (1)</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эфф</w:t>
      </w:r>
      <w:r>
        <w:rPr>
          <w:rFonts w:cs="Courier New" w:ascii="Courier New" w:hAnsi="Courier New"/>
          <w:sz w:val="20"/>
          <w:szCs w:val="20"/>
          <w:lang w:val="en-US" w:eastAsia="ru-RU"/>
        </w:rPr>
        <w:t xml:space="preserve">   Ra        Th         k</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где A  ,   А  ,   A   - удельные  активности  радия,  тория,   калия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Ra     Th     k    соответственно, Бк/кг.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 w:name="sub_400"/>
      <w:bookmarkEnd w:id="13"/>
      <w:r>
        <w:rPr>
          <w:rFonts w:cs="Arial" w:ascii="Arial" w:hAnsi="Arial"/>
          <w:b/>
          <w:bCs/>
          <w:sz w:val="20"/>
          <w:szCs w:val="20"/>
        </w:rPr>
        <w:t>4. Методы определения удельной эффективной активности</w:t>
        <w:br/>
        <w:t>естественных радионуклидов</w:t>
      </w:r>
    </w:p>
    <w:p>
      <w:pPr>
        <w:pStyle w:val="Normal"/>
        <w:autoSpaceDE w:val="false"/>
        <w:jc w:val="both"/>
        <w:rPr>
          <w:rFonts w:ascii="Courier New" w:hAnsi="Courier New" w:cs="Courier New"/>
          <w:b/>
          <w:b/>
          <w:bCs/>
          <w:sz w:val="20"/>
          <w:szCs w:val="20"/>
        </w:rPr>
      </w:pPr>
      <w:bookmarkStart w:id="14" w:name="sub_400"/>
      <w:bookmarkStart w:id="15" w:name="sub_400"/>
      <w:bookmarkEnd w:id="1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4.1. Экспрессный метод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sz w:val="20"/>
            <w:szCs w:val="20"/>
            <w:u w:val="single"/>
            <w:lang w:val="ru-RU" w:eastAsia="ru-RU"/>
          </w:rPr>
          <w:t>4.2. Лабораторный метод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экспрессный и лабораторный методы определения удельной эффективной активности ЕРН в строительных материалах и изделиях.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 w:name="sub_410"/>
      <w:bookmarkEnd w:id="16"/>
      <w:r>
        <w:rPr>
          <w:rFonts w:cs="Arial" w:ascii="Arial" w:hAnsi="Arial"/>
          <w:b/>
          <w:bCs/>
          <w:sz w:val="20"/>
          <w:szCs w:val="20"/>
        </w:rPr>
        <w:t>4.1. Экспрессный метод</w:t>
      </w:r>
    </w:p>
    <w:p>
      <w:pPr>
        <w:pStyle w:val="Normal"/>
        <w:autoSpaceDE w:val="false"/>
        <w:jc w:val="both"/>
        <w:rPr>
          <w:rFonts w:ascii="Courier New" w:hAnsi="Courier New" w:cs="Courier New"/>
          <w:b/>
          <w:b/>
          <w:bCs/>
          <w:sz w:val="20"/>
          <w:szCs w:val="20"/>
        </w:rPr>
      </w:pPr>
      <w:bookmarkStart w:id="17" w:name="sub_410"/>
      <w:bookmarkStart w:id="18" w:name="sub_410"/>
      <w:bookmarkEnd w:id="1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4.1.1. Назначение метода</w:t>
      </w:r>
    </w:p>
    <w:p>
      <w:pPr>
        <w:pStyle w:val="Normal"/>
        <w:autoSpaceDE w:val="false"/>
        <w:ind w:firstLine="720"/>
        <w:jc w:val="both"/>
        <w:rPr>
          <w:rFonts w:ascii="Arial" w:hAnsi="Arial" w:cs="Arial"/>
          <w:sz w:val="20"/>
          <w:szCs w:val="20"/>
        </w:rPr>
      </w:pPr>
      <w:r>
        <w:rPr>
          <w:rFonts w:cs="Arial" w:ascii="Arial" w:hAnsi="Arial"/>
          <w:sz w:val="20"/>
          <w:szCs w:val="20"/>
        </w:rPr>
        <w:t>Экспрессный метод предназначен для проведения:</w:t>
      </w:r>
    </w:p>
    <w:p>
      <w:pPr>
        <w:pStyle w:val="Normal"/>
        <w:autoSpaceDE w:val="false"/>
        <w:ind w:firstLine="720"/>
        <w:jc w:val="both"/>
        <w:rPr/>
      </w:pPr>
      <w:r>
        <w:rPr>
          <w:rFonts w:cs="Arial" w:ascii="Arial" w:hAnsi="Arial"/>
          <w:sz w:val="20"/>
          <w:szCs w:val="20"/>
        </w:rPr>
        <w:t>- периодического и входного контроля сыпучих строительных материалов и отходов промышленного производства (далее - сыпучих материалов), а также строительных изделий в соответствии с действующими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 предварительной оценки разрабатываемых горных пород в карьере (приложение Г).</w:t>
      </w:r>
    </w:p>
    <w:p>
      <w:pPr>
        <w:pStyle w:val="Normal"/>
        <w:autoSpaceDE w:val="false"/>
        <w:ind w:firstLine="720"/>
        <w:jc w:val="both"/>
        <w:rPr>
          <w:rFonts w:ascii="Arial" w:hAnsi="Arial" w:cs="Arial"/>
          <w:sz w:val="20"/>
          <w:szCs w:val="20"/>
        </w:rPr>
      </w:pPr>
      <w:r>
        <w:rPr>
          <w:rFonts w:cs="Arial" w:ascii="Arial" w:hAnsi="Arial"/>
          <w:sz w:val="20"/>
          <w:szCs w:val="20"/>
        </w:rPr>
        <w:t>Условием применения экспрессного метода является отсутствие загрязнения материалов и изделий техногенными радионуклидами.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4.1.2.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4.1.2.1. Переносные радиометры удельной эффективной активности ЕРН, использующие гамма-спектрометрический метод измерений (например, типа РКП-305МС), со следующими техническими характеристиками:</w:t>
      </w:r>
    </w:p>
    <w:p>
      <w:pPr>
        <w:pStyle w:val="Normal"/>
        <w:autoSpaceDE w:val="false"/>
        <w:ind w:firstLine="720"/>
        <w:jc w:val="both"/>
        <w:rPr>
          <w:rFonts w:ascii="Arial" w:hAnsi="Arial" w:cs="Arial"/>
          <w:sz w:val="20"/>
          <w:szCs w:val="20"/>
        </w:rPr>
      </w:pPr>
      <w:r>
        <w:rPr>
          <w:rFonts w:cs="Arial" w:ascii="Arial" w:hAnsi="Arial"/>
          <w:sz w:val="20"/>
          <w:szCs w:val="20"/>
        </w:rPr>
        <w:t>- нижний предел определения величины А_эфф не более 100 Бк/кг;</w:t>
      </w:r>
    </w:p>
    <w:p>
      <w:pPr>
        <w:pStyle w:val="Normal"/>
        <w:autoSpaceDE w:val="false"/>
        <w:ind w:firstLine="720"/>
        <w:jc w:val="both"/>
        <w:rPr>
          <w:rFonts w:ascii="Arial" w:hAnsi="Arial" w:cs="Arial"/>
          <w:sz w:val="20"/>
          <w:szCs w:val="20"/>
        </w:rPr>
      </w:pPr>
      <w:r>
        <w:rPr>
          <w:rFonts w:cs="Arial" w:ascii="Arial" w:hAnsi="Arial"/>
          <w:sz w:val="20"/>
          <w:szCs w:val="20"/>
        </w:rPr>
        <w:t>- относительная погрешность определения величины А_эфф не более 30%.</w:t>
      </w:r>
    </w:p>
    <w:p>
      <w:pPr>
        <w:pStyle w:val="Normal"/>
        <w:autoSpaceDE w:val="false"/>
        <w:ind w:firstLine="720"/>
        <w:jc w:val="both"/>
        <w:rPr>
          <w:rFonts w:ascii="Arial" w:hAnsi="Arial" w:cs="Arial"/>
          <w:sz w:val="20"/>
          <w:szCs w:val="20"/>
        </w:rPr>
      </w:pPr>
      <w:r>
        <w:rPr>
          <w:rFonts w:cs="Arial" w:ascii="Arial" w:hAnsi="Arial"/>
          <w:sz w:val="20"/>
          <w:szCs w:val="20"/>
        </w:rPr>
        <w:t>4.1.2.2. Контрольный радионуклидный источник активностью от 100 до 1000 Бк для проверки воспроизводимости показаний радиометра.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 w:name="sub_4123"/>
      <w:bookmarkStart w:id="20" w:name="sub_288591548"/>
      <w:bookmarkEnd w:id="19"/>
      <w:bookmarkEnd w:id="20"/>
      <w:r>
        <w:rPr>
          <w:rFonts w:cs="Arial" w:ascii="Arial" w:hAnsi="Arial"/>
          <w:i/>
          <w:iCs/>
          <w:sz w:val="20"/>
          <w:szCs w:val="20"/>
        </w:rPr>
        <w:t>Изменением N 1, утвержденным постановлением Госстроя РФ от 17 декабря 1997 г. N 18-70, в пункт 4.1.2.3 настоящего ГОСТ внесены изменения</w:t>
      </w:r>
    </w:p>
    <w:p>
      <w:pPr>
        <w:pStyle w:val="Normal"/>
        <w:autoSpaceDE w:val="false"/>
        <w:ind w:start="139" w:firstLine="139"/>
        <w:jc w:val="both"/>
        <w:rPr>
          <w:rFonts w:ascii="Arial" w:hAnsi="Arial" w:cs="Arial"/>
          <w:i/>
          <w:i/>
          <w:iCs/>
          <w:sz w:val="20"/>
          <w:szCs w:val="20"/>
        </w:rPr>
      </w:pPr>
      <w:bookmarkStart w:id="21" w:name="sub_4123"/>
      <w:bookmarkStart w:id="22" w:name="sub_288591548"/>
      <w:bookmarkEnd w:id="21"/>
      <w:bookmarkEnd w:id="22"/>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4.1.2.3. Применяемая радиометрическая аппаратура должна подвергаться обязательным государственным метрологическим испытаниям в соответствии с ГОСТ 8.326 и ГОСТ 8.513, подтверждаемым свидетельством о государственной метрологической аттестации, и комплектоваться аттестованными в установленном порядке методиками выполнения измерений, обеспечивающими введение необходимых поправок и оценку погрешности результатов в условиях реальных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4.1.3. Порядок подготовки аппаратуры к проведению измерений и</w:t>
      </w:r>
      <w:r>
        <w:rPr>
          <w:rFonts w:cs="Arial" w:ascii="Arial" w:hAnsi="Arial"/>
          <w:sz w:val="20"/>
          <w:szCs w:val="20"/>
        </w:rPr>
        <w:t xml:space="preserve"> </w:t>
      </w:r>
      <w:r>
        <w:rPr>
          <w:rFonts w:cs="Arial" w:ascii="Arial" w:hAnsi="Arial"/>
          <w:b/>
          <w:bCs/>
          <w:sz w:val="20"/>
          <w:szCs w:val="20"/>
        </w:rPr>
        <w:t>контроль ее работоспособности</w:t>
      </w:r>
    </w:p>
    <w:p>
      <w:pPr>
        <w:pStyle w:val="Normal"/>
        <w:autoSpaceDE w:val="false"/>
        <w:ind w:firstLine="720"/>
        <w:jc w:val="both"/>
        <w:rPr>
          <w:rFonts w:ascii="Arial" w:hAnsi="Arial" w:cs="Arial"/>
          <w:sz w:val="20"/>
          <w:szCs w:val="20"/>
        </w:rPr>
      </w:pPr>
      <w:r>
        <w:rPr>
          <w:rFonts w:cs="Arial" w:ascii="Arial" w:hAnsi="Arial"/>
          <w:sz w:val="20"/>
          <w:szCs w:val="20"/>
        </w:rPr>
        <w:t>Подготовку аппаратуры к проведению измерений проводят в соответствии с инструкцией по ее эксплуатации.</w:t>
      </w:r>
    </w:p>
    <w:p>
      <w:pPr>
        <w:pStyle w:val="Normal"/>
        <w:autoSpaceDE w:val="false"/>
        <w:ind w:firstLine="720"/>
        <w:jc w:val="both"/>
        <w:rPr>
          <w:rFonts w:ascii="Arial" w:hAnsi="Arial" w:cs="Arial"/>
          <w:sz w:val="20"/>
          <w:szCs w:val="20"/>
        </w:rPr>
      </w:pPr>
      <w:r>
        <w:rPr>
          <w:rFonts w:cs="Arial" w:ascii="Arial" w:hAnsi="Arial"/>
          <w:sz w:val="20"/>
          <w:szCs w:val="20"/>
        </w:rPr>
        <w:t>Для проверки работы аппаратуры перед началом и после выполнения рабочих измерений проводят измерения с помощью контрольного источника. Разница показаний между этими измерениями не должна превышать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4.1.4. Порядок проведения контроля</w:t>
      </w:r>
    </w:p>
    <w:p>
      <w:pPr>
        <w:pStyle w:val="Normal"/>
        <w:autoSpaceDE w:val="false"/>
        <w:ind w:firstLine="720"/>
        <w:jc w:val="both"/>
        <w:rPr>
          <w:rFonts w:ascii="Arial" w:hAnsi="Arial" w:cs="Arial"/>
          <w:sz w:val="20"/>
          <w:szCs w:val="20"/>
        </w:rPr>
      </w:pPr>
      <w:bookmarkStart w:id="23" w:name="sub_4141"/>
      <w:bookmarkEnd w:id="23"/>
      <w:r>
        <w:rPr>
          <w:rFonts w:cs="Arial" w:ascii="Arial" w:hAnsi="Arial"/>
          <w:sz w:val="20"/>
          <w:szCs w:val="20"/>
        </w:rPr>
        <w:t>4.1.4.1. При контроле сыпучих материалов на складе контрольные точки выбирают:</w:t>
      </w:r>
    </w:p>
    <w:p>
      <w:pPr>
        <w:pStyle w:val="Normal"/>
        <w:autoSpaceDE w:val="false"/>
        <w:ind w:firstLine="720"/>
        <w:jc w:val="both"/>
        <w:rPr>
          <w:rFonts w:ascii="Arial" w:hAnsi="Arial" w:cs="Arial"/>
          <w:sz w:val="20"/>
          <w:szCs w:val="20"/>
        </w:rPr>
      </w:pPr>
      <w:bookmarkStart w:id="24" w:name="sub_4141"/>
      <w:bookmarkEnd w:id="24"/>
      <w:r>
        <w:rPr>
          <w:rFonts w:cs="Arial" w:ascii="Arial" w:hAnsi="Arial"/>
          <w:sz w:val="20"/>
          <w:szCs w:val="20"/>
        </w:rPr>
        <w:t>- на конусах или штабелях - по периметрам горизонтальных сечений с интервалом не более 10 м, высота нижнего сечения от подошвы конуса или штабеля должна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 на карте намыва - в узлах прямоугольной сети 10 х 10 м.</w:t>
      </w:r>
    </w:p>
    <w:p>
      <w:pPr>
        <w:pStyle w:val="Normal"/>
        <w:autoSpaceDE w:val="false"/>
        <w:ind w:firstLine="720"/>
        <w:jc w:val="both"/>
        <w:rPr>
          <w:rFonts w:ascii="Arial" w:hAnsi="Arial" w:cs="Arial"/>
          <w:sz w:val="20"/>
          <w:szCs w:val="20"/>
        </w:rPr>
      </w:pPr>
      <w:bookmarkStart w:id="25" w:name="sub_4142"/>
      <w:bookmarkEnd w:id="25"/>
      <w:r>
        <w:rPr>
          <w:rFonts w:cs="Arial" w:ascii="Arial" w:hAnsi="Arial"/>
          <w:sz w:val="20"/>
          <w:szCs w:val="20"/>
        </w:rPr>
        <w:t>4.1.4.2. При входном контроле сыпучих строительных материалов контрольные точки выбирают в каждом транспортном средстве на расстоянии не менее 1 м от бортовой стенки:</w:t>
      </w:r>
    </w:p>
    <w:p>
      <w:pPr>
        <w:pStyle w:val="Normal"/>
        <w:autoSpaceDE w:val="false"/>
        <w:ind w:firstLine="720"/>
        <w:jc w:val="both"/>
        <w:rPr>
          <w:rFonts w:ascii="Arial" w:hAnsi="Arial" w:cs="Arial"/>
          <w:sz w:val="20"/>
          <w:szCs w:val="20"/>
        </w:rPr>
      </w:pPr>
      <w:bookmarkStart w:id="26" w:name="sub_4142"/>
      <w:bookmarkEnd w:id="26"/>
      <w:r>
        <w:rPr>
          <w:rFonts w:cs="Arial" w:ascii="Arial" w:hAnsi="Arial"/>
          <w:sz w:val="20"/>
          <w:szCs w:val="20"/>
        </w:rPr>
        <w:t>- в железнодорожном транспорте (полувагоне и платформе) - не менее двух точек;</w:t>
      </w:r>
    </w:p>
    <w:p>
      <w:pPr>
        <w:pStyle w:val="Normal"/>
        <w:autoSpaceDE w:val="false"/>
        <w:ind w:firstLine="720"/>
        <w:jc w:val="both"/>
        <w:rPr>
          <w:rFonts w:ascii="Arial" w:hAnsi="Arial" w:cs="Arial"/>
          <w:sz w:val="20"/>
          <w:szCs w:val="20"/>
        </w:rPr>
      </w:pPr>
      <w:r>
        <w:rPr>
          <w:rFonts w:cs="Arial" w:ascii="Arial" w:hAnsi="Arial"/>
          <w:sz w:val="20"/>
          <w:szCs w:val="20"/>
        </w:rPr>
        <w:t>- в автомобильном транспорте - одну точку в центре кузова;</w:t>
      </w:r>
    </w:p>
    <w:p>
      <w:pPr>
        <w:pStyle w:val="Normal"/>
        <w:autoSpaceDE w:val="false"/>
        <w:ind w:firstLine="720"/>
        <w:jc w:val="both"/>
        <w:rPr>
          <w:rFonts w:ascii="Arial" w:hAnsi="Arial" w:cs="Arial"/>
          <w:sz w:val="20"/>
          <w:szCs w:val="20"/>
        </w:rPr>
      </w:pPr>
      <w:r>
        <w:rPr>
          <w:rFonts w:cs="Arial" w:ascii="Arial" w:hAnsi="Arial"/>
          <w:sz w:val="20"/>
          <w:szCs w:val="20"/>
        </w:rPr>
        <w:t>- на водном транспорте (на барже - площадке или бункерных судах) - не менее двух точек, расположенных вдоль оси судна.</w:t>
      </w:r>
    </w:p>
    <w:p>
      <w:pPr>
        <w:pStyle w:val="Normal"/>
        <w:autoSpaceDE w:val="false"/>
        <w:ind w:firstLine="720"/>
        <w:jc w:val="both"/>
        <w:rPr>
          <w:rFonts w:ascii="Arial" w:hAnsi="Arial" w:cs="Arial"/>
          <w:sz w:val="20"/>
          <w:szCs w:val="20"/>
        </w:rPr>
      </w:pPr>
      <w:r>
        <w:rPr>
          <w:rFonts w:cs="Arial" w:ascii="Arial" w:hAnsi="Arial"/>
          <w:sz w:val="20"/>
          <w:szCs w:val="20"/>
        </w:rPr>
        <w:t>4.1.4.3. При проведении контроля строительных изделий из них формируют прямоугольную призму с основанием не менее 1,2 х 1,2 м, и высотой 0,5 м или выбирают поддон (пакет) изделий, уложенных не в "елочку", с размерами не менее указанных и в центре верхней плоскости изделий выбирают контрольную точку.</w:t>
      </w:r>
    </w:p>
    <w:p>
      <w:pPr>
        <w:pStyle w:val="Normal"/>
        <w:autoSpaceDE w:val="false"/>
        <w:ind w:firstLine="720"/>
        <w:jc w:val="both"/>
        <w:rPr>
          <w:rFonts w:ascii="Arial" w:hAnsi="Arial" w:cs="Arial"/>
          <w:sz w:val="20"/>
          <w:szCs w:val="20"/>
        </w:rPr>
      </w:pPr>
      <w:r>
        <w:rPr>
          <w:rFonts w:cs="Arial" w:ascii="Arial" w:hAnsi="Arial"/>
          <w:sz w:val="20"/>
          <w:szCs w:val="20"/>
        </w:rPr>
        <w:t>4.1.4.4. Измерения проводят путем установки блока детектирования радиометра в контрольной точке на ровной поверхности материала. За ровную принимают поверхность, на которой размеры выступов (впадин) не превышают диаметр блока детектирования.</w:t>
      </w:r>
    </w:p>
    <w:p>
      <w:pPr>
        <w:pStyle w:val="Normal"/>
        <w:autoSpaceDE w:val="false"/>
        <w:ind w:firstLine="720"/>
        <w:jc w:val="both"/>
        <w:rPr>
          <w:rFonts w:ascii="Arial" w:hAnsi="Arial" w:cs="Arial"/>
          <w:sz w:val="20"/>
          <w:szCs w:val="20"/>
        </w:rPr>
      </w:pPr>
      <w:r>
        <w:rPr>
          <w:rFonts w:cs="Arial" w:ascii="Arial" w:hAnsi="Arial"/>
          <w:sz w:val="20"/>
          <w:szCs w:val="20"/>
        </w:rPr>
        <w:t>В каждой контрольной точке проводят не менее трех последовательных измерений.</w:t>
      </w:r>
    </w:p>
    <w:p>
      <w:pPr>
        <w:pStyle w:val="Normal"/>
        <w:autoSpaceDE w:val="false"/>
        <w:ind w:firstLine="720"/>
        <w:jc w:val="both"/>
        <w:rPr>
          <w:rFonts w:ascii="Arial" w:hAnsi="Arial" w:cs="Arial"/>
          <w:sz w:val="20"/>
          <w:szCs w:val="20"/>
        </w:rPr>
      </w:pPr>
      <w:r>
        <w:rPr>
          <w:rFonts w:cs="Arial" w:ascii="Arial" w:hAnsi="Arial"/>
          <w:sz w:val="20"/>
          <w:szCs w:val="20"/>
        </w:rPr>
        <w:t>4.1.4.5. Для снижения влияния бокового излучения на результаты измерения должны проводиться на расстоянии не менее 20 м от зданий, сооружений, массивов горных пород и строительных материалов и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4.1.5. Правила обработки результатов измерений</w:t>
      </w:r>
    </w:p>
    <w:p>
      <w:pPr>
        <w:pStyle w:val="Normal"/>
        <w:autoSpaceDE w:val="false"/>
        <w:ind w:firstLine="720"/>
        <w:jc w:val="both"/>
        <w:rPr>
          <w:rFonts w:ascii="Arial" w:hAnsi="Arial" w:cs="Arial"/>
          <w:sz w:val="20"/>
          <w:szCs w:val="20"/>
        </w:rPr>
      </w:pPr>
      <w:r>
        <w:rPr>
          <w:rFonts w:cs="Arial" w:ascii="Arial" w:hAnsi="Arial"/>
          <w:sz w:val="20"/>
          <w:szCs w:val="20"/>
        </w:rPr>
        <w:t>4.1.5.1. За результат определения величины А_эфф в контрольной точке принимают значение, определяемое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 сумма [А      + Дельта],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эфф.т    n   i=1    эфф.i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i = 1, 2, ...,n      - количество измерений в данной точке (n&gt;=3);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значение величины А   при i-м измерении;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эфф.i                      эфф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абсолютная    погрешность    измерения,    оцениваемая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соответствии с методикой выполнения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4.1.5.2 За результат определения величины удельной эффективной активности ЕРН в партии материала (А_эфф.п) принимают максимальное из значений А_эфф.т.j, полученных при измерениях в контрольных точках данной партии.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b/>
          <w:bCs/>
          <w:sz w:val="20"/>
          <w:szCs w:val="20"/>
        </w:rPr>
        <w:t>4.1.6. Правила оформления результатов контроля</w:t>
      </w:r>
    </w:p>
    <w:p>
      <w:pPr>
        <w:pStyle w:val="Normal"/>
        <w:autoSpaceDE w:val="false"/>
        <w:ind w:firstLine="720"/>
        <w:jc w:val="both"/>
        <w:rPr/>
      </w:pPr>
      <w:r>
        <w:rPr>
          <w:rFonts w:cs="Arial" w:ascii="Arial" w:hAnsi="Arial"/>
          <w:sz w:val="20"/>
          <w:szCs w:val="20"/>
        </w:rPr>
        <w:t xml:space="preserve">Показания прибора и результаты контроля заносят в журнал по форме </w:t>
      </w:r>
      <w:hyperlink w:anchor="sub_2000">
        <w:r>
          <w:rPr>
            <w:rStyle w:val="Style15"/>
            <w:rFonts w:cs="Arial" w:ascii="Arial" w:hAnsi="Arial"/>
            <w:sz w:val="20"/>
            <w:szCs w:val="20"/>
            <w:u w:val="single"/>
          </w:rPr>
          <w:t>приложения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журнале регистрируют дату проведения контроля, наименование материала (изделия), привязку контрольных точек измерения, особенности условий измерений (расстояние от источника бокового излучения, температура воздуха и др.), показания прибора (значения удельной активности каждого радионуклида или удельной эффективной активности ЕРН в материале) с оценкой погрешности, результат определения величины А_эфф.п, предварительное заключение о классе материала.</w:t>
      </w:r>
    </w:p>
    <w:p>
      <w:pPr>
        <w:pStyle w:val="Normal"/>
        <w:autoSpaceDE w:val="false"/>
        <w:ind w:firstLine="720"/>
        <w:jc w:val="both"/>
        <w:rPr>
          <w:rFonts w:ascii="Arial" w:hAnsi="Arial" w:cs="Arial"/>
          <w:sz w:val="20"/>
          <w:szCs w:val="20"/>
        </w:rPr>
      </w:pPr>
      <w:r>
        <w:rPr>
          <w:rFonts w:cs="Arial" w:ascii="Arial" w:hAnsi="Arial"/>
          <w:sz w:val="20"/>
          <w:szCs w:val="20"/>
        </w:rPr>
        <w:t>В случае, если определенная при контроле величина А_эфф.п равна верхнему граничному значению, установленному для соответствующего класса, материал необходимо относить к следующему классу.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420"/>
      <w:bookmarkEnd w:id="27"/>
      <w:r>
        <w:rPr>
          <w:rFonts w:cs="Arial" w:ascii="Arial" w:hAnsi="Arial"/>
          <w:b/>
          <w:bCs/>
          <w:sz w:val="20"/>
          <w:szCs w:val="20"/>
        </w:rPr>
        <w:t>4.2. Лабораторный метод</w:t>
      </w:r>
    </w:p>
    <w:p>
      <w:pPr>
        <w:pStyle w:val="Normal"/>
        <w:autoSpaceDE w:val="false"/>
        <w:jc w:val="both"/>
        <w:rPr>
          <w:rFonts w:ascii="Courier New" w:hAnsi="Courier New" w:cs="Courier New"/>
          <w:b/>
          <w:b/>
          <w:bCs/>
          <w:sz w:val="20"/>
          <w:szCs w:val="20"/>
        </w:rPr>
      </w:pPr>
      <w:bookmarkStart w:id="28" w:name="sub_420"/>
      <w:bookmarkStart w:id="29" w:name="sub_420"/>
      <w:bookmarkEnd w:id="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4.2.1. Назначение метода</w:t>
      </w:r>
    </w:p>
    <w:p>
      <w:pPr>
        <w:pStyle w:val="Normal"/>
        <w:autoSpaceDE w:val="false"/>
        <w:ind w:firstLine="720"/>
        <w:jc w:val="both"/>
        <w:rPr>
          <w:rFonts w:ascii="Arial" w:hAnsi="Arial" w:cs="Arial"/>
          <w:sz w:val="20"/>
          <w:szCs w:val="20"/>
        </w:rPr>
      </w:pPr>
      <w:r>
        <w:rPr>
          <w:rFonts w:cs="Arial" w:ascii="Arial" w:hAnsi="Arial"/>
          <w:sz w:val="20"/>
          <w:szCs w:val="20"/>
        </w:rPr>
        <w:t>Лабораторный метод предназначен для:</w:t>
      </w:r>
    </w:p>
    <w:p>
      <w:pPr>
        <w:pStyle w:val="Normal"/>
        <w:autoSpaceDE w:val="false"/>
        <w:ind w:firstLine="720"/>
        <w:jc w:val="both"/>
        <w:rPr>
          <w:rFonts w:ascii="Arial" w:hAnsi="Arial" w:cs="Arial"/>
          <w:sz w:val="20"/>
          <w:szCs w:val="20"/>
        </w:rPr>
      </w:pPr>
      <w:r>
        <w:rPr>
          <w:rFonts w:cs="Arial" w:ascii="Arial" w:hAnsi="Arial"/>
          <w:sz w:val="20"/>
          <w:szCs w:val="20"/>
        </w:rPr>
        <w:t>- установления класса строительного материала (изделия);</w:t>
      </w:r>
    </w:p>
    <w:p>
      <w:pPr>
        <w:pStyle w:val="Normal"/>
        <w:autoSpaceDE w:val="false"/>
        <w:ind w:firstLine="720"/>
        <w:jc w:val="both"/>
        <w:rPr>
          <w:rFonts w:ascii="Arial" w:hAnsi="Arial" w:cs="Arial"/>
          <w:sz w:val="20"/>
          <w:szCs w:val="20"/>
        </w:rPr>
      </w:pPr>
      <w:r>
        <w:rPr>
          <w:rFonts w:cs="Arial" w:ascii="Arial" w:hAnsi="Arial"/>
          <w:sz w:val="20"/>
          <w:szCs w:val="20"/>
        </w:rPr>
        <w:t>- уточнения класса строительного материала (изделия) в случае получения граничных значений по экспрессному методу;</w:t>
      </w:r>
    </w:p>
    <w:p>
      <w:pPr>
        <w:pStyle w:val="Normal"/>
        <w:autoSpaceDE w:val="false"/>
        <w:ind w:firstLine="720"/>
        <w:jc w:val="both"/>
        <w:rPr>
          <w:rFonts w:ascii="Arial" w:hAnsi="Arial" w:cs="Arial"/>
          <w:sz w:val="20"/>
          <w:szCs w:val="20"/>
        </w:rPr>
      </w:pPr>
      <w:r>
        <w:rPr>
          <w:rFonts w:cs="Arial" w:ascii="Arial" w:hAnsi="Arial"/>
          <w:sz w:val="20"/>
          <w:szCs w:val="20"/>
        </w:rPr>
        <w:t>- сертификации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4.2.2.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4.2.2.1. Радиометрическая установка на основе стационарного гамма-спектрометра со следующими техническими характеристиками:</w:t>
      </w:r>
    </w:p>
    <w:p>
      <w:pPr>
        <w:pStyle w:val="Normal"/>
        <w:autoSpaceDE w:val="false"/>
        <w:ind w:firstLine="720"/>
        <w:jc w:val="both"/>
        <w:rPr>
          <w:rFonts w:ascii="Arial" w:hAnsi="Arial" w:cs="Arial"/>
          <w:sz w:val="20"/>
          <w:szCs w:val="20"/>
        </w:rPr>
      </w:pPr>
      <w:r>
        <w:rPr>
          <w:rFonts w:cs="Arial" w:ascii="Arial" w:hAnsi="Arial"/>
          <w:sz w:val="20"/>
          <w:szCs w:val="20"/>
        </w:rPr>
        <w:t>- диапазон энергии регистрируемого гамма-излучения от 0,1 до 3 МэВ;</w:t>
      </w:r>
    </w:p>
    <w:p>
      <w:pPr>
        <w:pStyle w:val="Normal"/>
        <w:autoSpaceDE w:val="false"/>
        <w:ind w:firstLine="720"/>
        <w:jc w:val="both"/>
        <w:rPr>
          <w:rFonts w:ascii="Arial" w:hAnsi="Arial" w:cs="Arial"/>
          <w:sz w:val="20"/>
          <w:szCs w:val="20"/>
        </w:rPr>
      </w:pPr>
      <w:r>
        <w:rPr>
          <w:rFonts w:cs="Arial" w:ascii="Arial" w:hAnsi="Arial"/>
          <w:sz w:val="20"/>
          <w:szCs w:val="20"/>
        </w:rPr>
        <w:t>- нижний предел определения удельной активности каждого ЕРН не более 50 Бк/кг;</w:t>
      </w:r>
    </w:p>
    <w:p>
      <w:pPr>
        <w:pStyle w:val="Normal"/>
        <w:autoSpaceDE w:val="false"/>
        <w:ind w:firstLine="720"/>
        <w:jc w:val="both"/>
        <w:rPr>
          <w:rFonts w:ascii="Arial" w:hAnsi="Arial" w:cs="Arial"/>
          <w:sz w:val="20"/>
          <w:szCs w:val="20"/>
        </w:rPr>
      </w:pPr>
      <w:r>
        <w:rPr>
          <w:rFonts w:cs="Arial" w:ascii="Arial" w:hAnsi="Arial"/>
          <w:sz w:val="20"/>
          <w:szCs w:val="20"/>
        </w:rPr>
        <w:t>- относительная погрешность определения удельной активности ЕРН не более 20% при доверительной вероятности 0,95.</w:t>
      </w:r>
    </w:p>
    <w:p>
      <w:pPr>
        <w:pStyle w:val="Normal"/>
        <w:autoSpaceDE w:val="false"/>
        <w:ind w:firstLine="720"/>
        <w:jc w:val="both"/>
        <w:rPr>
          <w:rFonts w:ascii="Arial" w:hAnsi="Arial" w:cs="Arial"/>
          <w:sz w:val="20"/>
          <w:szCs w:val="20"/>
        </w:rPr>
      </w:pPr>
      <w:r>
        <w:rPr>
          <w:rFonts w:cs="Arial" w:ascii="Arial" w:hAnsi="Arial"/>
          <w:sz w:val="20"/>
          <w:szCs w:val="20"/>
        </w:rPr>
        <w:t>4.2.2.2. Комплект аттестованных мер (стандартных образцов) удельной активности ЕРН.</w:t>
      </w:r>
    </w:p>
    <w:p>
      <w:pPr>
        <w:pStyle w:val="Normal"/>
        <w:autoSpaceDE w:val="false"/>
        <w:ind w:firstLine="720"/>
        <w:jc w:val="both"/>
        <w:rPr>
          <w:rFonts w:ascii="Arial" w:hAnsi="Arial" w:cs="Arial"/>
          <w:sz w:val="20"/>
          <w:szCs w:val="20"/>
        </w:rPr>
      </w:pPr>
      <w:r>
        <w:rPr>
          <w:rFonts w:cs="Arial" w:ascii="Arial" w:hAnsi="Arial"/>
          <w:sz w:val="20"/>
          <w:szCs w:val="20"/>
        </w:rPr>
        <w:t>4.2.2.3.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 набор контейнеров для навесок материала установленного объема с крышками;</w:t>
      </w:r>
    </w:p>
    <w:p>
      <w:pPr>
        <w:pStyle w:val="Normal"/>
        <w:autoSpaceDE w:val="false"/>
        <w:ind w:firstLine="720"/>
        <w:jc w:val="both"/>
        <w:rPr>
          <w:rFonts w:ascii="Arial" w:hAnsi="Arial" w:cs="Arial"/>
          <w:sz w:val="20"/>
          <w:szCs w:val="20"/>
        </w:rPr>
      </w:pPr>
      <w:r>
        <w:rPr>
          <w:rFonts w:cs="Arial" w:ascii="Arial" w:hAnsi="Arial"/>
          <w:sz w:val="20"/>
          <w:szCs w:val="20"/>
        </w:rPr>
        <w:t>- лабораторная дробилка;</w:t>
      </w:r>
    </w:p>
    <w:p>
      <w:pPr>
        <w:pStyle w:val="Normal"/>
        <w:autoSpaceDE w:val="false"/>
        <w:ind w:firstLine="720"/>
        <w:jc w:val="both"/>
        <w:rPr>
          <w:rFonts w:ascii="Arial" w:hAnsi="Arial" w:cs="Arial"/>
          <w:sz w:val="20"/>
          <w:szCs w:val="20"/>
        </w:rPr>
      </w:pPr>
      <w:r>
        <w:rPr>
          <w:rFonts w:cs="Arial" w:ascii="Arial" w:hAnsi="Arial"/>
          <w:sz w:val="20"/>
          <w:szCs w:val="20"/>
        </w:rPr>
        <w:t>- контрольное сито с круглыми отверстиями диаметром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0" w:name="sub_42235"/>
      <w:bookmarkStart w:id="31" w:name="sub_288597516"/>
      <w:bookmarkEnd w:id="30"/>
      <w:bookmarkEnd w:id="31"/>
      <w:r>
        <w:rPr>
          <w:rFonts w:cs="Arial" w:ascii="Arial" w:hAnsi="Arial"/>
          <w:i/>
          <w:iCs/>
          <w:sz w:val="20"/>
          <w:szCs w:val="20"/>
        </w:rPr>
        <w:t>Изменением N 1, утвержденным постановлением Госстроя РФ от 17 декабря 1997 г. N 18-70, в пятый абзац пункта 4.2.2.3 настоящего ГОСТ внесены изменения</w:t>
      </w:r>
    </w:p>
    <w:p>
      <w:pPr>
        <w:pStyle w:val="Normal"/>
        <w:autoSpaceDE w:val="false"/>
        <w:ind w:start="139" w:firstLine="139"/>
        <w:jc w:val="both"/>
        <w:rPr>
          <w:rFonts w:ascii="Arial" w:hAnsi="Arial" w:cs="Arial"/>
          <w:i/>
          <w:i/>
          <w:iCs/>
          <w:sz w:val="20"/>
          <w:szCs w:val="20"/>
        </w:rPr>
      </w:pPr>
      <w:bookmarkStart w:id="32" w:name="sub_42235"/>
      <w:bookmarkStart w:id="33" w:name="sub_288597516"/>
      <w:bookmarkEnd w:id="32"/>
      <w:bookmarkEnd w:id="33"/>
      <w:r>
        <w:rPr>
          <w:rFonts w:cs="Arial" w:ascii="Arial" w:hAnsi="Arial"/>
          <w:i/>
          <w:iCs/>
          <w:sz w:val="20"/>
          <w:szCs w:val="20"/>
        </w:rPr>
        <w:t>См. текст абзаца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сушильный шкаф;</w:t>
      </w:r>
    </w:p>
    <w:p>
      <w:pPr>
        <w:pStyle w:val="Normal"/>
        <w:autoSpaceDE w:val="false"/>
        <w:ind w:firstLine="720"/>
        <w:jc w:val="both"/>
        <w:rPr>
          <w:rFonts w:ascii="Arial" w:hAnsi="Arial" w:cs="Arial"/>
          <w:sz w:val="20"/>
          <w:szCs w:val="20"/>
        </w:rPr>
      </w:pPr>
      <w:r>
        <w:rPr>
          <w:rFonts w:cs="Arial" w:ascii="Arial" w:hAnsi="Arial"/>
          <w:sz w:val="20"/>
          <w:szCs w:val="20"/>
        </w:rPr>
        <w:t>- весы настольные циферблатные по ГОСТ 29329 или лабораторные по ГОСТ 24104.</w:t>
      </w:r>
    </w:p>
    <w:p>
      <w:pPr>
        <w:pStyle w:val="Normal"/>
        <w:autoSpaceDE w:val="false"/>
        <w:ind w:firstLine="720"/>
        <w:jc w:val="both"/>
        <w:rPr>
          <w:rFonts w:ascii="Arial" w:hAnsi="Arial" w:cs="Arial"/>
          <w:sz w:val="20"/>
          <w:szCs w:val="20"/>
        </w:rPr>
      </w:pPr>
      <w:r>
        <w:rPr>
          <w:rFonts w:cs="Arial" w:ascii="Arial" w:hAnsi="Arial"/>
          <w:sz w:val="20"/>
          <w:szCs w:val="20"/>
        </w:rPr>
        <w:t>4.2.2.4. Радиометрическая установка должна иметь свидетельство о государственной метрологической аттестации и аттестованную в установленном порядке методику выполнения измерений удельной активности ЕРН.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4.2.3. Порядок подготовки аппаратуры к проведению контроля</w:t>
      </w:r>
    </w:p>
    <w:p>
      <w:pPr>
        <w:pStyle w:val="Normal"/>
        <w:autoSpaceDE w:val="false"/>
        <w:ind w:firstLine="720"/>
        <w:jc w:val="both"/>
        <w:rPr>
          <w:rFonts w:ascii="Arial" w:hAnsi="Arial" w:cs="Arial"/>
          <w:sz w:val="20"/>
          <w:szCs w:val="20"/>
        </w:rPr>
      </w:pPr>
      <w:r>
        <w:rPr>
          <w:rFonts w:cs="Arial" w:ascii="Arial" w:hAnsi="Arial"/>
          <w:sz w:val="20"/>
          <w:szCs w:val="20"/>
        </w:rPr>
        <w:t>Подготовку радиометрической установки к измерениям и измерения проводят в соответствии с методикой выполнения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4.2.4. Порядок проведения контроля</w:t>
      </w:r>
    </w:p>
    <w:p>
      <w:pPr>
        <w:pStyle w:val="Normal"/>
        <w:autoSpaceDE w:val="false"/>
        <w:ind w:firstLine="720"/>
        <w:jc w:val="both"/>
        <w:rPr>
          <w:rFonts w:ascii="Arial" w:hAnsi="Arial" w:cs="Arial"/>
          <w:sz w:val="20"/>
          <w:szCs w:val="20"/>
        </w:rPr>
      </w:pPr>
      <w:r>
        <w:rPr>
          <w:rFonts w:cs="Arial" w:ascii="Arial" w:hAnsi="Arial"/>
          <w:b/>
          <w:bCs/>
          <w:sz w:val="20"/>
          <w:szCs w:val="20"/>
        </w:rPr>
        <w:t>4.2.4.1. Отбор и подготовка проб</w:t>
      </w:r>
    </w:p>
    <w:p>
      <w:pPr>
        <w:pStyle w:val="Normal"/>
        <w:autoSpaceDE w:val="false"/>
        <w:ind w:firstLine="720"/>
        <w:jc w:val="both"/>
        <w:rPr>
          <w:rFonts w:ascii="Arial" w:hAnsi="Arial" w:cs="Arial"/>
          <w:sz w:val="20"/>
          <w:szCs w:val="20"/>
        </w:rPr>
      </w:pPr>
      <w:r>
        <w:rPr>
          <w:rFonts w:cs="Arial" w:ascii="Arial" w:hAnsi="Arial"/>
          <w:sz w:val="20"/>
          <w:szCs w:val="20"/>
        </w:rPr>
        <w:t>Определение удельных активностей ЕРН в сыпучих материалах проводят на навесках, отобранных из представительной пробы.</w:t>
      </w:r>
    </w:p>
    <w:p>
      <w:pPr>
        <w:pStyle w:val="Normal"/>
        <w:autoSpaceDE w:val="false"/>
        <w:ind w:firstLine="720"/>
        <w:jc w:val="both"/>
        <w:rPr/>
      </w:pPr>
      <w:r>
        <w:rPr>
          <w:rFonts w:cs="Arial" w:ascii="Arial" w:hAnsi="Arial"/>
          <w:sz w:val="20"/>
          <w:szCs w:val="20"/>
        </w:rPr>
        <w:t xml:space="preserve">Представительную пробу получают путем перемешивания и квартования не менее 10 точечных проб, отобранных из контрольных точек, указанных в </w:t>
      </w:r>
      <w:hyperlink w:anchor="sub_4141">
        <w:r>
          <w:rPr>
            <w:rStyle w:val="Style15"/>
            <w:rFonts w:cs="Arial" w:ascii="Arial" w:hAnsi="Arial"/>
            <w:sz w:val="20"/>
            <w:szCs w:val="20"/>
            <w:u w:val="single"/>
          </w:rPr>
          <w:t>4.1.4.1</w:t>
        </w:r>
      </w:hyperlink>
      <w:r>
        <w:rPr>
          <w:rFonts w:cs="Arial" w:ascii="Arial" w:hAnsi="Arial"/>
          <w:sz w:val="20"/>
          <w:szCs w:val="20"/>
        </w:rPr>
        <w:t xml:space="preserve"> и </w:t>
      </w:r>
      <w:hyperlink w:anchor="sub_4142">
        <w:r>
          <w:rPr>
            <w:rStyle w:val="Style15"/>
            <w:rFonts w:cs="Arial" w:ascii="Arial" w:hAnsi="Arial"/>
            <w:sz w:val="20"/>
            <w:szCs w:val="20"/>
            <w:u w:val="single"/>
          </w:rPr>
          <w:t>4.1.4.2</w:t>
        </w:r>
      </w:hyperlink>
      <w:r>
        <w:rPr>
          <w:rFonts w:cs="Arial" w:ascii="Arial" w:hAnsi="Arial"/>
          <w:sz w:val="20"/>
          <w:szCs w:val="20"/>
        </w:rPr>
        <w:t>. Отбор проб производят в соответствии с требованиями действующих нормативных документов. Представительную пробу с размером зерен более 5 мм измельчают до размеров зерен менее 5 мм. В зависимости от объема применяемого в радиометрической установке контейнера пробу массой от 2,5 до 10 кг упаковывают в двойной мешок, между стенками которого помещают паспорт пробы с наименованием материала, адреса предприятия, направившего пробу, места и даты отбора пробы.</w:t>
      </w:r>
    </w:p>
    <w:p>
      <w:pPr>
        <w:pStyle w:val="Normal"/>
        <w:autoSpaceDE w:val="false"/>
        <w:ind w:firstLine="720"/>
        <w:jc w:val="both"/>
        <w:rPr>
          <w:rFonts w:ascii="Arial" w:hAnsi="Arial" w:cs="Arial"/>
          <w:sz w:val="20"/>
          <w:szCs w:val="20"/>
        </w:rPr>
      </w:pPr>
      <w:r>
        <w:rPr>
          <w:rFonts w:cs="Arial" w:ascii="Arial" w:hAnsi="Arial"/>
          <w:sz w:val="20"/>
          <w:szCs w:val="20"/>
        </w:rPr>
        <w:t>Определение удельных активностей ЕРН в строительных изделиях и облицовочных материалах из природного камня проводят также на навесках, отобранных из представительной пробы.</w:t>
      </w:r>
    </w:p>
    <w:p>
      <w:pPr>
        <w:pStyle w:val="Normal"/>
        <w:autoSpaceDE w:val="false"/>
        <w:ind w:firstLine="720"/>
        <w:jc w:val="both"/>
        <w:rPr/>
      </w:pPr>
      <w:r>
        <w:rPr>
          <w:rFonts w:cs="Arial" w:ascii="Arial" w:hAnsi="Arial"/>
          <w:sz w:val="20"/>
          <w:szCs w:val="20"/>
        </w:rPr>
        <w:t>Представительную пробу массой от 2,5 до 10 кг получают путем измельчения изделий (кирпича, плит, околов природного камня, полученных при производстве облицовочных материалов), отобранных при приемке партии согласно действующим нормативным документам. Допускается использование материала, полученного при определении предела прочности при сжатии, растяжении или изгибе изделий, или специально приготовленных образцов.</w:t>
      </w:r>
    </w:p>
    <w:p>
      <w:pPr>
        <w:pStyle w:val="Normal"/>
        <w:autoSpaceDE w:val="false"/>
        <w:ind w:firstLine="720"/>
        <w:jc w:val="both"/>
        <w:rPr>
          <w:rFonts w:ascii="Arial" w:hAnsi="Arial" w:cs="Arial"/>
          <w:sz w:val="20"/>
          <w:szCs w:val="20"/>
        </w:rPr>
      </w:pPr>
      <w:r>
        <w:rPr>
          <w:rFonts w:cs="Arial" w:ascii="Arial" w:hAnsi="Arial"/>
          <w:sz w:val="20"/>
          <w:szCs w:val="20"/>
        </w:rPr>
        <w:t>Представительную пробу с размером зерен менее 5 мм упаковывают в двойной мешок, как указано выше.</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удельных активностей ЕРН полученные представительные пробы высушивают до постоянной массы, затем заполняют пять контейнеров и контейнеры взвешивают. Насыпную плотность определяют путем деления массы навески в каждом контейнере на объем контейнера.</w:t>
      </w:r>
    </w:p>
    <w:p>
      <w:pPr>
        <w:pStyle w:val="Normal"/>
        <w:autoSpaceDE w:val="false"/>
        <w:ind w:firstLine="720"/>
        <w:jc w:val="both"/>
        <w:rPr>
          <w:rFonts w:ascii="Arial" w:hAnsi="Arial" w:cs="Arial"/>
          <w:sz w:val="20"/>
          <w:szCs w:val="20"/>
        </w:rPr>
      </w:pPr>
      <w:r>
        <w:rPr>
          <w:rFonts w:cs="Arial" w:ascii="Arial" w:hAnsi="Arial"/>
          <w:sz w:val="20"/>
          <w:szCs w:val="20"/>
        </w:rPr>
        <w:t>Контейнеры герметично закрывают, маркируют и выдерживают в комнатных условиях в течение времени, установленного методикой выполнения измерений для получения радиоактивного равновесия ЕРН.</w:t>
      </w:r>
    </w:p>
    <w:p>
      <w:pPr>
        <w:pStyle w:val="Normal"/>
        <w:autoSpaceDE w:val="false"/>
        <w:ind w:firstLine="720"/>
        <w:jc w:val="both"/>
        <w:rPr>
          <w:rFonts w:ascii="Arial" w:hAnsi="Arial" w:cs="Arial"/>
          <w:sz w:val="20"/>
          <w:szCs w:val="20"/>
        </w:rPr>
      </w:pPr>
      <w:r>
        <w:rPr>
          <w:rFonts w:cs="Arial" w:ascii="Arial" w:hAnsi="Arial"/>
          <w:sz w:val="20"/>
          <w:szCs w:val="20"/>
        </w:rPr>
        <w:t>4.2.4.2. Контейнеры с навесками последовательно устанавливают в радиометрическую установку и проводят измерения в соответствии с методикой выполнения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4.2.5. Правила обработки и оформления результатов измерений и</w:t>
      </w:r>
      <w:r>
        <w:rPr>
          <w:rFonts w:cs="Arial" w:ascii="Arial" w:hAnsi="Arial"/>
          <w:sz w:val="20"/>
          <w:szCs w:val="20"/>
        </w:rPr>
        <w:t xml:space="preserve"> </w:t>
      </w:r>
      <w:r>
        <w:rPr>
          <w:rFonts w:cs="Arial" w:ascii="Arial" w:hAnsi="Arial"/>
          <w:b/>
          <w:bCs/>
          <w:sz w:val="20"/>
          <w:szCs w:val="20"/>
        </w:rPr>
        <w:t>контроля</w:t>
      </w:r>
    </w:p>
    <w:p>
      <w:pPr>
        <w:pStyle w:val="Normal"/>
        <w:autoSpaceDE w:val="false"/>
        <w:ind w:firstLine="720"/>
        <w:jc w:val="both"/>
        <w:rPr>
          <w:rFonts w:ascii="Arial" w:hAnsi="Arial" w:cs="Arial"/>
          <w:sz w:val="20"/>
          <w:szCs w:val="20"/>
        </w:rPr>
      </w:pPr>
      <w:r>
        <w:rPr>
          <w:rFonts w:cs="Arial" w:ascii="Arial" w:hAnsi="Arial"/>
          <w:sz w:val="20"/>
          <w:szCs w:val="20"/>
        </w:rPr>
        <w:t>4.2.5.1. Обработку результатов и оценку погрешности измерений производят в соответствии с методикой выполнения измерений отдельно для каждой навески и для каждого из ЕРН.</w:t>
      </w:r>
    </w:p>
    <w:p>
      <w:pPr>
        <w:pStyle w:val="Normal"/>
        <w:autoSpaceDE w:val="false"/>
        <w:ind w:firstLine="720"/>
        <w:jc w:val="both"/>
        <w:rPr>
          <w:rFonts w:ascii="Arial" w:hAnsi="Arial" w:cs="Arial"/>
          <w:sz w:val="20"/>
          <w:szCs w:val="20"/>
        </w:rPr>
      </w:pPr>
      <w:r>
        <w:rPr>
          <w:rFonts w:cs="Arial" w:ascii="Arial" w:hAnsi="Arial"/>
          <w:sz w:val="20"/>
          <w:szCs w:val="20"/>
        </w:rPr>
        <w:t>4.2.5.2. В качестве результатов измерений удельных активностей ЕРН в представительной пробе принимают средние арифметические значения удельных активностей каждого радионуклида (А_j) по пяти навескам: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 сумма A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n   i=1   ij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i = 1, 2, ...,n - номер навески.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Абсолютную погрешность определения величины А_j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сумма[A   - n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ij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1,7 кв.корень [──────────────────────── + aльфа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n-1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aльфа   - абсолютная погрешность определения удельной активности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j-го  радионуклида  в  навесках  пробы,  оцениваемая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соответствии  с  методикой  выполнения  измерений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радиометрической установке.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4.2.5.3. Значение удельной эффективной активности ЕРН (А_эфф) для представительной пробы вычисляют в соответствии с формулой (1) с использованием значений А_j, для каждого радионуклида.</w:t>
      </w:r>
    </w:p>
    <w:p>
      <w:pPr>
        <w:pStyle w:val="Normal"/>
        <w:autoSpaceDE w:val="false"/>
        <w:ind w:firstLine="720"/>
        <w:jc w:val="both"/>
        <w:rPr>
          <w:rFonts w:ascii="Arial" w:hAnsi="Arial" w:cs="Arial"/>
          <w:sz w:val="20"/>
          <w:szCs w:val="20"/>
        </w:rPr>
      </w:pPr>
      <w:r>
        <w:rPr>
          <w:rFonts w:cs="Arial" w:ascii="Arial" w:hAnsi="Arial"/>
          <w:sz w:val="20"/>
          <w:szCs w:val="20"/>
        </w:rPr>
        <w:t>Абсолютную погрешность определения значений А_эфф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кв.корень[Дельта   + 1,7 x Дельта   + 0,007 x Дельта]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Ra               Th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4.2.5.4. За результат определения удельной эффективной активности ЕРН в контролируемом материале и установления класса материала принимают значение, определяемое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 Дельта.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эфф.м    эфф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4.2.5.5. Результаты определения удельной эффективной активности ЕРН в материалах заносят в журнал, в котором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 наименование материала;</w:t>
      </w:r>
    </w:p>
    <w:p>
      <w:pPr>
        <w:pStyle w:val="Normal"/>
        <w:autoSpaceDE w:val="false"/>
        <w:ind w:firstLine="720"/>
        <w:jc w:val="both"/>
        <w:rPr>
          <w:rFonts w:ascii="Arial" w:hAnsi="Arial" w:cs="Arial"/>
          <w:sz w:val="20"/>
          <w:szCs w:val="20"/>
        </w:rPr>
      </w:pPr>
      <w:r>
        <w:rPr>
          <w:rFonts w:cs="Arial" w:ascii="Arial" w:hAnsi="Arial"/>
          <w:sz w:val="20"/>
          <w:szCs w:val="20"/>
        </w:rPr>
        <w:t>- наименование предприятия-изготовителя или предприятия-потребителя;</w:t>
      </w:r>
    </w:p>
    <w:p>
      <w:pPr>
        <w:pStyle w:val="Normal"/>
        <w:autoSpaceDE w:val="false"/>
        <w:ind w:firstLine="720"/>
        <w:jc w:val="both"/>
        <w:rPr>
          <w:rFonts w:ascii="Arial" w:hAnsi="Arial" w:cs="Arial"/>
          <w:sz w:val="20"/>
          <w:szCs w:val="20"/>
        </w:rPr>
      </w:pPr>
      <w:r>
        <w:rPr>
          <w:rFonts w:cs="Arial" w:ascii="Arial" w:hAnsi="Arial"/>
          <w:sz w:val="20"/>
          <w:szCs w:val="20"/>
        </w:rPr>
        <w:t>- местоположение точек отбора пробы;</w:t>
      </w:r>
    </w:p>
    <w:p>
      <w:pPr>
        <w:pStyle w:val="Normal"/>
        <w:autoSpaceDE w:val="false"/>
        <w:ind w:firstLine="720"/>
        <w:jc w:val="both"/>
        <w:rPr>
          <w:rFonts w:ascii="Arial" w:hAnsi="Arial" w:cs="Arial"/>
          <w:sz w:val="20"/>
          <w:szCs w:val="20"/>
        </w:rPr>
      </w:pPr>
      <w:r>
        <w:rPr>
          <w:rFonts w:cs="Arial" w:ascii="Arial" w:hAnsi="Arial"/>
          <w:sz w:val="20"/>
          <w:szCs w:val="20"/>
        </w:rPr>
        <w:t>- даты отбора пробы и проведения измерений;</w:t>
      </w:r>
    </w:p>
    <w:p>
      <w:pPr>
        <w:pStyle w:val="Normal"/>
        <w:autoSpaceDE w:val="false"/>
        <w:ind w:firstLine="720"/>
        <w:jc w:val="both"/>
        <w:rPr>
          <w:rFonts w:ascii="Arial" w:hAnsi="Arial" w:cs="Arial"/>
          <w:sz w:val="20"/>
          <w:szCs w:val="20"/>
        </w:rPr>
      </w:pPr>
      <w:r>
        <w:rPr>
          <w:rFonts w:cs="Arial" w:ascii="Arial" w:hAnsi="Arial"/>
          <w:sz w:val="20"/>
          <w:szCs w:val="20"/>
        </w:rPr>
        <w:t>- удельные активности радия, калия, тория с погрешностями;</w:t>
      </w:r>
    </w:p>
    <w:p>
      <w:pPr>
        <w:pStyle w:val="Normal"/>
        <w:autoSpaceDE w:val="false"/>
        <w:ind w:firstLine="720"/>
        <w:jc w:val="both"/>
        <w:rPr>
          <w:rFonts w:ascii="Arial" w:hAnsi="Arial" w:cs="Arial"/>
          <w:sz w:val="20"/>
          <w:szCs w:val="20"/>
        </w:rPr>
      </w:pPr>
      <w:r>
        <w:rPr>
          <w:rFonts w:cs="Arial" w:ascii="Arial" w:hAnsi="Arial"/>
          <w:sz w:val="20"/>
          <w:szCs w:val="20"/>
        </w:rPr>
        <w:t>- удельная эффективная активность с погрешностью;</w:t>
      </w:r>
    </w:p>
    <w:p>
      <w:pPr>
        <w:pStyle w:val="Normal"/>
        <w:autoSpaceDE w:val="false"/>
        <w:ind w:firstLine="720"/>
        <w:jc w:val="both"/>
        <w:rPr>
          <w:rFonts w:ascii="Arial" w:hAnsi="Arial" w:cs="Arial"/>
          <w:sz w:val="20"/>
          <w:szCs w:val="20"/>
        </w:rPr>
      </w:pPr>
      <w:r>
        <w:rPr>
          <w:rFonts w:cs="Arial" w:ascii="Arial" w:hAnsi="Arial"/>
          <w:sz w:val="20"/>
          <w:szCs w:val="20"/>
        </w:rPr>
        <w:t>- фамилия, должность и подпись лица, проводившего измерения.</w:t>
      </w:r>
    </w:p>
    <w:p>
      <w:pPr>
        <w:pStyle w:val="Normal"/>
        <w:autoSpaceDE w:val="false"/>
        <w:ind w:firstLine="720"/>
        <w:jc w:val="both"/>
        <w:rPr/>
      </w:pPr>
      <w:r>
        <w:rPr>
          <w:rFonts w:cs="Arial" w:ascii="Arial" w:hAnsi="Arial"/>
          <w:sz w:val="20"/>
          <w:szCs w:val="20"/>
        </w:rPr>
        <w:t xml:space="preserve">4.2.5.6. Результаты испытания материала оформляют в виде протокола испытаний по форме, приведенной в </w:t>
      </w:r>
      <w:hyperlink w:anchor="sub_3000">
        <w:r>
          <w:rPr>
            <w:rStyle w:val="Style15"/>
            <w:rFonts w:cs="Arial" w:ascii="Arial" w:hAnsi="Arial"/>
            <w:sz w:val="20"/>
            <w:szCs w:val="20"/>
            <w:u w:val="single"/>
          </w:rPr>
          <w:t>приложении В</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Критерии   для   принятия   решения    об   использовании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строительных материалов согласно гигиеническим нормативам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Журнал радиационного  контроля   строительных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(изделий)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Протокол испытаний  по  определению  удельной эффективной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активности ЕРН в строительных материалах (изделиях)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Г. Определение удельной эффективной активности горных  пород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карьере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 w:name="sub_1000"/>
      <w:bookmarkEnd w:id="34"/>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35" w:name="sub_1000"/>
      <w:bookmarkEnd w:id="35"/>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6" w:name="sub_288605972"/>
      <w:bookmarkEnd w:id="36"/>
      <w:r>
        <w:rPr>
          <w:rFonts w:cs="Arial" w:ascii="Arial" w:hAnsi="Arial"/>
          <w:i/>
          <w:iCs/>
          <w:sz w:val="20"/>
          <w:szCs w:val="20"/>
        </w:rPr>
        <w:t>Изменением N 2, утвержденным постановлением Госстроя РФ от 4 декабря 2000 г. N 115, в приложение А настоящего ГОСТ внесены изменения</w:t>
      </w:r>
    </w:p>
    <w:p>
      <w:pPr>
        <w:pStyle w:val="Normal"/>
        <w:autoSpaceDE w:val="false"/>
        <w:ind w:start="139" w:firstLine="139"/>
        <w:jc w:val="both"/>
        <w:rPr>
          <w:rFonts w:ascii="Arial" w:hAnsi="Arial" w:cs="Arial"/>
          <w:i/>
          <w:i/>
          <w:iCs/>
          <w:sz w:val="20"/>
          <w:szCs w:val="20"/>
        </w:rPr>
      </w:pPr>
      <w:bookmarkStart w:id="37" w:name="sub_288605972"/>
      <w:bookmarkEnd w:id="37"/>
      <w:r>
        <w:rPr>
          <w:rFonts w:cs="Arial" w:ascii="Arial" w:hAnsi="Arial"/>
          <w:i/>
          <w:iCs/>
          <w:sz w:val="20"/>
          <w:szCs w:val="20"/>
        </w:rPr>
        <w:t>См. текст приложения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Критерии для принятия решения об использовании строительных материалов согласно гигиеническим нормативам (Временные критерии для организации контроля и принятия решений, утвержденные Главным государственным санитарным врачом СССР А.И.Кондрусевым, N 5789-91 от 10.06.91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bookmarkStart w:id="38" w:name="sub_1100"/>
      <w:bookmarkEnd w:id="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 w:name="sub_1100"/>
      <w:bookmarkEnd w:id="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эффективная │  Класс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активность (А_эфф),  │  материала  │        Область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Бк/кг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370               │      I      │Все виды 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370 до 740       │      II     │Дорожное  строительство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населенных пунктов и зон перспекти-│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вной застройки, строительство прои-│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зводственных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740 до 1500       │      III    │Дорожное строительство вне населен-│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пунктов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1500 до 4000     │      IV     │Вопрос об  использовании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решается  по согласованию с Госком-│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санэпиднадзором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 w:name="sub_2000"/>
      <w:bookmarkEnd w:id="40"/>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41" w:name="sub_2000"/>
      <w:bookmarkEnd w:id="4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Журнал радиационного контроля строительных материалов</w:t>
        <w:br/>
        <w:t>(изделий)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Измеряемый материал, партия, транспортное средство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Оператор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│Привязка │Условия  │Результаты измерения в точке │А_эфф.т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контроль-│контроль-│измере-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точ- │ной точки│ний,     │номер  │показания│погрешность│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j     │         │t°С,     │измере-│радиомет-│Дельта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влажность│ния i  │ра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       │А_эфф.i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 определения  удельной   эффективной   активности   ЕРН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строительных материалах (изделиях) Аэфф.п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Заключение о классе материала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 w:name="sub_3000"/>
      <w:bookmarkEnd w:id="42"/>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43" w:name="sub_3000"/>
      <w:bookmarkEnd w:id="4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Протокол испытаний</w:t>
        <w:br/>
        <w:t>по определению удельной эффективной активности ЕРН</w:t>
        <w:br/>
        <w:t>в строительных материалах (изделиях)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Наименование организации и подразделения, проводившего измерения, номер аттестата аккредитации (свидетельства о государственной метрологической аттестации радиометрической установки)</w:t>
      </w:r>
    </w:p>
    <w:p>
      <w:pPr>
        <w:pStyle w:val="Normal"/>
        <w:autoSpaceDE w:val="false"/>
        <w:ind w:firstLine="720"/>
        <w:jc w:val="both"/>
        <w:rPr>
          <w:rFonts w:ascii="Arial" w:hAnsi="Arial" w:cs="Arial"/>
          <w:sz w:val="20"/>
          <w:szCs w:val="20"/>
        </w:rPr>
      </w:pPr>
      <w:r>
        <w:rPr>
          <w:rFonts w:cs="Arial" w:ascii="Arial" w:hAnsi="Arial"/>
          <w:sz w:val="20"/>
          <w:szCs w:val="20"/>
        </w:rPr>
        <w:t>2. Дата проведения измерения</w:t>
      </w:r>
    </w:p>
    <w:p>
      <w:pPr>
        <w:pStyle w:val="Normal"/>
        <w:autoSpaceDE w:val="false"/>
        <w:ind w:firstLine="720"/>
        <w:jc w:val="both"/>
        <w:rPr>
          <w:rFonts w:ascii="Arial" w:hAnsi="Arial" w:cs="Arial"/>
          <w:sz w:val="20"/>
          <w:szCs w:val="20"/>
        </w:rPr>
      </w:pPr>
      <w:r>
        <w:rPr>
          <w:rFonts w:cs="Arial" w:ascii="Arial" w:hAnsi="Arial"/>
          <w:sz w:val="20"/>
          <w:szCs w:val="20"/>
        </w:rPr>
        <w:t>3. Метод измерения</w:t>
      </w:r>
    </w:p>
    <w:p>
      <w:pPr>
        <w:pStyle w:val="Normal"/>
        <w:autoSpaceDE w:val="false"/>
        <w:ind w:firstLine="720"/>
        <w:jc w:val="both"/>
        <w:rPr>
          <w:rFonts w:ascii="Arial" w:hAnsi="Arial" w:cs="Arial"/>
          <w:sz w:val="20"/>
          <w:szCs w:val="20"/>
        </w:rPr>
      </w:pPr>
      <w:r>
        <w:rPr>
          <w:rFonts w:cs="Arial" w:ascii="Arial" w:hAnsi="Arial"/>
          <w:sz w:val="20"/>
          <w:szCs w:val="20"/>
        </w:rPr>
        <w:t>4. Наименование материала (ГОСТ, ТУ)</w:t>
      </w:r>
    </w:p>
    <w:p>
      <w:pPr>
        <w:pStyle w:val="Normal"/>
        <w:autoSpaceDE w:val="false"/>
        <w:ind w:firstLine="720"/>
        <w:jc w:val="both"/>
        <w:rPr>
          <w:rFonts w:ascii="Arial" w:hAnsi="Arial" w:cs="Arial"/>
          <w:sz w:val="20"/>
          <w:szCs w:val="20"/>
        </w:rPr>
      </w:pPr>
      <w:r>
        <w:rPr>
          <w:rFonts w:cs="Arial" w:ascii="Arial" w:hAnsi="Arial"/>
          <w:sz w:val="20"/>
          <w:szCs w:val="20"/>
        </w:rPr>
        <w:t>5. Наименование предприятия-изготовителя или предприятия-потребителя</w:t>
      </w:r>
    </w:p>
    <w:p>
      <w:pPr>
        <w:pStyle w:val="Normal"/>
        <w:autoSpaceDE w:val="false"/>
        <w:ind w:firstLine="720"/>
        <w:jc w:val="both"/>
        <w:rPr>
          <w:rFonts w:ascii="Arial" w:hAnsi="Arial" w:cs="Arial"/>
          <w:sz w:val="20"/>
          <w:szCs w:val="20"/>
        </w:rPr>
      </w:pPr>
      <w:r>
        <w:rPr>
          <w:rFonts w:cs="Arial" w:ascii="Arial" w:hAnsi="Arial"/>
          <w:sz w:val="20"/>
          <w:szCs w:val="20"/>
        </w:rPr>
        <w:t>6. Количество и местоположение контрольных точек</w:t>
      </w:r>
    </w:p>
    <w:p>
      <w:pPr>
        <w:pStyle w:val="Normal"/>
        <w:autoSpaceDE w:val="false"/>
        <w:ind w:firstLine="720"/>
        <w:jc w:val="both"/>
        <w:rPr>
          <w:rFonts w:ascii="Arial" w:hAnsi="Arial" w:cs="Arial"/>
          <w:sz w:val="20"/>
          <w:szCs w:val="20"/>
        </w:rPr>
      </w:pPr>
      <w:r>
        <w:rPr>
          <w:rFonts w:cs="Arial" w:ascii="Arial" w:hAnsi="Arial"/>
          <w:sz w:val="20"/>
          <w:szCs w:val="20"/>
        </w:rPr>
        <w:t>7. Результаты измерений представительной пробы (номер протокола испытаний по рабочему журналу)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наве-  │ Удельная активность, Бк/кг   │Погрешность  │  А_эфф.м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          ├──────────┬──────────┬────────┤определения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226Ra   │  232Th   │  40K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Данные об активностях приводятся с указанием погрешностей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Заключение о классе материала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Должность и подпись лица, ответственного за проведение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 w:name="sub_4000"/>
      <w:bookmarkEnd w:id="44"/>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45" w:name="sub_4000"/>
      <w:bookmarkEnd w:id="4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удельной эффективной активности</w:t>
        <w:br/>
        <w:t>горных пород в карьере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Контрольные точки по дну карьера располагают в узлах прямоугольной сети 10 х 10 м.</w:t>
      </w:r>
    </w:p>
    <w:p>
      <w:pPr>
        <w:pStyle w:val="Normal"/>
        <w:autoSpaceDE w:val="false"/>
        <w:ind w:firstLine="720"/>
        <w:jc w:val="both"/>
        <w:rPr>
          <w:rFonts w:ascii="Arial" w:hAnsi="Arial" w:cs="Arial"/>
          <w:sz w:val="20"/>
          <w:szCs w:val="20"/>
        </w:rPr>
      </w:pPr>
      <w:r>
        <w:rPr>
          <w:rFonts w:cs="Arial" w:ascii="Arial" w:hAnsi="Arial"/>
          <w:sz w:val="20"/>
          <w:szCs w:val="20"/>
        </w:rPr>
        <w:t>Контрольные точки на кровле и подошве уступа располагают вдоль профиля с интервалом не более 10 м. Расстояние между профилями должно быть от 5 до 10 м, расстояние профиля от края уступа - от 1 до 5 м.</w:t>
      </w:r>
    </w:p>
    <w:p>
      <w:pPr>
        <w:pStyle w:val="Normal"/>
        <w:autoSpaceDE w:val="false"/>
        <w:ind w:firstLine="720"/>
        <w:jc w:val="both"/>
        <w:rPr>
          <w:rFonts w:ascii="Arial" w:hAnsi="Arial" w:cs="Arial"/>
          <w:sz w:val="20"/>
          <w:szCs w:val="20"/>
        </w:rPr>
      </w:pPr>
      <w:r>
        <w:rPr>
          <w:rFonts w:cs="Arial" w:ascii="Arial" w:hAnsi="Arial"/>
          <w:sz w:val="20"/>
          <w:szCs w:val="20"/>
        </w:rPr>
        <w:t>Для учета влияния бокового излучения от уступов высотой более 1 м измеренную величину А_эфф следует разделить на приведенный ниже поправочный коэффициент.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 конт-│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рольной точкой  и отко-│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сом уступа, м          │     0   │   1   │   5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Поправочный коэффициент│    1,5  │  1,45 │  1,28  │  1,1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Контрольные точки на откосе уступа располагают по профилю вдоль фронта работ с интервалом не более 10 м при высоте профиля от подошвы уступа не менее 1 м. Поправочный коэффициент при высоте 1 м равен 1,45.</w:t>
      </w:r>
    </w:p>
    <w:p>
      <w:pPr>
        <w:pStyle w:val="Normal"/>
        <w:autoSpaceDE w:val="false"/>
        <w:ind w:firstLine="720"/>
        <w:jc w:val="both"/>
        <w:rPr/>
      </w:pPr>
      <w:r>
        <w:rPr>
          <w:rFonts w:cs="Arial" w:ascii="Arial" w:hAnsi="Arial"/>
          <w:sz w:val="20"/>
          <w:szCs w:val="20"/>
        </w:rPr>
        <w:t xml:space="preserve">При значениях А_эфф &gt; 370 Бк/кг интервал опробования следует уменьшить для оконтуривания аномальных участков с целью отнесения пород ко II, III или IV классам строительных материалов в соответствии с требованиями, приведенными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2007-02-27T14:18:00Z</dcterms:created>
  <dc:creator>VIKTOR</dc:creator>
  <dc:description/>
  <dc:language>ru-RU</dc:language>
  <cp:lastModifiedBy>VIKTOR</cp:lastModifiedBy>
  <dcterms:modified xsi:type="dcterms:W3CDTF">2007-03-13T07:44:00Z</dcterms:modified>
  <cp:revision>3</cp:revision>
  <dc:subject/>
  <dc:title/>
</cp:coreProperties>
</file>