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28840-90</w:t>
        <w:br/>
        <w:t>"Машины для испытания материалов на растяжение, сжатие и изгиб. Общие технические требования"</w:t>
        <w:br/>
        <w:t>(утв. постановлением Госстандарта СССР от 29 декабря 1990 г. N 3530)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Machines for tension, compression and bending testing of materials. General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1993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7762-74, ГОСТ 7855-84, ГОСТ 8905-82, ГОСТ ЭД1 8905-87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машины для испытания материалов на растяжение, сжатие и изгиб при статических режимах нагружения (разрывные, сжатия и универсальные) согласно стандартизованным в СССР методам испытаний материалов, перечисленным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организационно-методических документов дан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машины специального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Требования разд. 2 (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2.2 - 2.4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2.11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2.13</w:t>
        </w:r>
      </w:hyperlink>
      <w:r>
        <w:rPr>
          <w:rFonts w:cs="Arial" w:ascii="Arial" w:hAnsi="Arial"/>
          <w:sz w:val="20"/>
          <w:szCs w:val="20"/>
        </w:rPr>
        <w:t xml:space="preserve">),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Машины по виду деформации, сообщаемой образцу в процессе испытания,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разрывные (растяжение);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прессы (сжатие);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универсальные (растяжение, сжатие, изгиб).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По способу силовозбуждения (виду привода) машины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электромеханические;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электрогидравлические.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По типу силоизмерительного устройства машины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с маятниковым (рычажно-маятниковым) силоизмерителем;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торсионным силоизмерителем;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электрическим (тензорезисторным, вибрационно-частотным и др.) силоизмерителем.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По виду испытываемых материалов машины подразделяют в соответствии со следующими кодами ОКП (общесоюзного классификатора промышленной продукции) на машины: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для испытания образцов металлов - 72 7111;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испытания строительных материалов - 42 7121;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испытания полимерных материалов - 42 7151;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испытания текстильных материалов - 42 7131 (материалов легкой промышленности).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проведения испытаний нескольких видов материалов на одной модели указывают в ТУ на выпуск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5"/>
      <w:bookmarkEnd w:id="11"/>
      <w:r>
        <w:rPr>
          <w:rFonts w:cs="Arial" w:ascii="Arial" w:hAnsi="Arial"/>
          <w:sz w:val="20"/>
          <w:szCs w:val="20"/>
        </w:rPr>
        <w:t>1.5. Компоновочные схемы и составные части машин должны соответствовать принципам блочно-модульного конструирования (модульного формирования техники).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5"/>
      <w:bookmarkStart w:id="13" w:name="sub_15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 Основные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" w:name="sub_21"/>
      <w:bookmarkEnd w:id="17"/>
      <w:r>
        <w:rPr>
          <w:rFonts w:cs="Arial" w:ascii="Arial" w:hAnsi="Arial"/>
          <w:sz w:val="20"/>
          <w:szCs w:val="20"/>
        </w:rPr>
        <w:t xml:space="preserve">2.1. Ряды наибольших предельных нагрузок и группы машин по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2.3</w:t>
        </w:r>
      </w:hyperlink>
      <w:r>
        <w:rPr>
          <w:rFonts w:cs="Arial" w:ascii="Arial" w:hAnsi="Arial"/>
          <w:sz w:val="20"/>
          <w:szCs w:val="20"/>
        </w:rPr>
        <w:t xml:space="preserve">, разработанных и выпускаемых промышленностью, с указанием классификационных признаков по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1.1 - 1.4</w:t>
        </w:r>
      </w:hyperlink>
      <w:r>
        <w:rPr>
          <w:rFonts w:cs="Arial" w:ascii="Arial" w:hAnsi="Arial"/>
          <w:sz w:val="20"/>
          <w:szCs w:val="20"/>
        </w:rPr>
        <w:t xml:space="preserve"> указаны в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21"/>
      <w:bookmarkStart w:id="19" w:name="sub_2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111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11"/>
      <w:bookmarkStart w:id="22" w:name="sub_1111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───┬───────────┬─────────┬───────────────┬────────────────────────┬──────────────────────────────────────┬───────────────────┬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Вид машин │ Код ОКП │    Способ     │Тип   силоизмерительного│     Вид испытываемого материала      │    Наибольшая     │Группа 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     │         │силовозбуждения│       устройства       │                                      │    предельная     │по    пределу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(вид привода) │                        │                                      │нагрузка,  кН  (ряд│ допустимой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├───────┬───────┼────────┬───────┬───────┼──────┬───────────────┬─────┬─────────┤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типоразмеров)   │погрешности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элект- │элект- │маятни- │торсио-│элект- │метал-│  полимерные   │стро-│материалы│                   │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ромеха-│рогид- │ ковый  │ нный  │ричес- │  лы  │   материалы   │ите- │ легкой  │                   │  нагрузки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ничес- │равли- │        │       │  кий  │      ├───────┬───────┤льные│промышле-│                   │  (усилий)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│ческий │        │       │       │      │пласт- │резина │мате-│ нности, │                   │  (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 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 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│       │риалы│текстиль-│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───┼───────────┼─────────┼───────┼───────┼────────┼───────┼───────┼──────┼───────┼───────┼─────┼─────────┼───────────────────┼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Разрывные │ 42 7111 │   +   │   -   │   +    │   -   │   -   │  +   │   -   │   -   │  -  │    -    │0,5; 1,0; 5; 10;   │0-У; 1-У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20; 50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    "     │ 42 7111 │   +   │   -   │   -    │   -   │   +   │  +   │   -   │   -   │  -  │    -    │0,5; 5; 10; 20; 50 │0-У; 1-У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     "     │ 42 7111 │   -   │   +   │   -    │   +   │   -   │  +   │   -   │   -   │  -  │    -    │100; 200; 500; 1000│0-У; 1-У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     "     │ 42 7131 │   +   │   -   │   +    │   -   │   -   │  -   │   -   │   -   │  -  │    +    │0,05; 0,5; 1,0;    │1-У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2,5;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3; 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     "     │ 42 7151 │   +   │   -   │   -    │   -   │   +   │  -   │   -   │   -   │  -  │    -    │0,5; 5; 50; 100    │0-У; 1-У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     "     │ 42 7151 │   +   │   -   │   +    │   -   │   -   │  -   │   -   │   +   │  -  │    -    │0,01; 0,05; 0,5; 5;│0-У; 1-У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10; 20; 50;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  Прессы   │ 42 7121 │   -   │   +   │   -    │   +   │   +   │  -   │   -   │   -   │  +  │    -    │10; 20; 50; 100;   │1-У; 2-У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200; 500; 1000;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2000; 5000; 10000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│Универсаль-│ 42 7151 │   +   │   -   │   -    │   -   │   +   │  +   │   +   │   -   │  -  │    -    │100                │0-У; 1-У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        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     "     │ 42 7111 │   -   │   +   │   -    │   -   │   +   │  +   │   -   │   -   │  -  │    -    │500                │0-У; 1-У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7111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7151 │       │       │        │       │       │      │       │       │     │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        │         │       │       │        │       │       │      │       │       │     │         │             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Знак "+" означает наличие у машины классификационного ризнака, указанного в соответствующей графе.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"/>
      <w:bookmarkEnd w:id="23"/>
      <w:r>
        <w:rPr>
          <w:rFonts w:cs="Arial" w:ascii="Arial" w:hAnsi="Arial"/>
          <w:sz w:val="20"/>
          <w:szCs w:val="20"/>
        </w:rPr>
        <w:t>2.2. Значения наибольших предельных нагрузок и диапазонов нагружения вновь разрабатываемых машин должны выбираться из ряда 1,0 х 10(n); 2,0 x 10(n); 2,5 x 10(n); 3,0 x 10(n); 5,0 x 10(n) кН, где n целое положительное или отрицательное число, или 0.</w:t>
      </w:r>
    </w:p>
    <w:p>
      <w:pPr>
        <w:pStyle w:val="Normal"/>
        <w:autoSpaceDE w:val="false"/>
        <w:ind w:firstLine="720"/>
        <w:jc w:val="both"/>
        <w:rPr/>
      </w:pPr>
      <w:bookmarkStart w:id="24" w:name="sub_22"/>
      <w:bookmarkStart w:id="25" w:name="sub_23"/>
      <w:bookmarkEnd w:id="24"/>
      <w:bookmarkEnd w:id="25"/>
      <w:r>
        <w:rPr>
          <w:rFonts w:cs="Arial" w:ascii="Arial" w:hAnsi="Arial"/>
          <w:sz w:val="20"/>
          <w:szCs w:val="20"/>
        </w:rPr>
        <w:t xml:space="preserve">2.3. Пределы допускаемой погрешности измерения нагрузки при прямом ходе (в процентах от измеряемой нагрузки) и разделение на группы по этому параметру приведены в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3"/>
      <w:bookmarkStart w:id="27" w:name="sub_23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1112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12"/>
      <w:bookmarkStart w:id="30" w:name="sub_1112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машин              │  0-У  │  1-У  │  2-У  │  3-У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   допускаемой      погрешности│+- 0,5 │+- 1,0 │+- 2,0 │+- 3,0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нагрузки (усилий) при  прямом│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ходе, %, от измеряемой нагрузки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" w:name="sub_24"/>
      <w:bookmarkEnd w:id="31"/>
      <w:r>
        <w:rPr>
          <w:rFonts w:cs="Arial" w:ascii="Arial" w:hAnsi="Arial"/>
          <w:sz w:val="20"/>
          <w:szCs w:val="20"/>
        </w:rPr>
        <w:t xml:space="preserve">2.4. Пределы допускаемой погрешности измерения деформации (удлинения) и разделение машин на группы по этому параметру приведены в 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4"/>
      <w:bookmarkStart w:id="33" w:name="sub_24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1113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113"/>
      <w:bookmarkStart w:id="36" w:name="sub_1113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машин по точности измерения│Предел   допускаемой     погрешности│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   (удлинения)   образца│измерения деформации (удлинения), %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верхнего   предела    диапазона│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1-Д                │               +- 1,0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2-Д                │               +- 2,0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3-Д                │               +- 3,0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5-Д                │               +- 5,0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Группы точности, значения пределов допускаемой погрешности измерения деформации (удлинения) и диапазон измеряемых деформаций (удлинений) устанавливают в ТУ на выпуск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машин с термокриокамерами значения пределов допускаемой погрешности и диапазон измеряемых удлинений устанавливают в ТУ по согласованию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 01.01.95 предел допускаемой погрешности при измерении деформации (удлинения) устанавливают в процентах от измеряемой величины удлинения.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5"/>
      <w:bookmarkEnd w:id="37"/>
      <w:r>
        <w:rPr>
          <w:rFonts w:cs="Arial" w:ascii="Arial" w:hAnsi="Arial"/>
          <w:sz w:val="20"/>
          <w:szCs w:val="20"/>
        </w:rPr>
        <w:t>2.5. Значения масштабов записи деформации (удлинения) образца и перемещения активного захвата выбирают из ряда: 2000:1; 1000:1; 500:1; 100:1; 50:1; 20:1; 10:1; 5:1; 2:1; 1:1; 1:2; 1:5; 1:10 и устанавливают по согласованию с заказчиком в технических условиях на выпуск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5"/>
      <w:bookmarkStart w:id="39" w:name="sub_26"/>
      <w:bookmarkEnd w:id="38"/>
      <w:bookmarkEnd w:id="39"/>
      <w:r>
        <w:rPr>
          <w:rFonts w:cs="Arial" w:ascii="Arial" w:hAnsi="Arial"/>
          <w:sz w:val="20"/>
          <w:szCs w:val="20"/>
        </w:rPr>
        <w:t>2.6. Предел допускаемой погрешности измерения и записи деформации в машинах, оснащенных электрическими измерителями деформации, не должен превышать +-2,0% от верхнего предела диапазона измерителя деформации и устанавливается в ТУ по согласованию с заказчиком в соответствии с нормами точности используемых стандартизованных устройств записи и регистрации показаний.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6"/>
      <w:bookmarkStart w:id="41" w:name="sub_27"/>
      <w:bookmarkEnd w:id="40"/>
      <w:bookmarkEnd w:id="41"/>
      <w:r>
        <w:rPr>
          <w:rFonts w:cs="Arial" w:ascii="Arial" w:hAnsi="Arial"/>
          <w:sz w:val="20"/>
          <w:szCs w:val="20"/>
        </w:rPr>
        <w:t>2.7. Предел допускаемой погрешности записи перемещения активного захвата не должен превышать +-3,0% измеряемого значения величины при длине записанного самопишущим устройством отрезка по координате "перемещение" св. 30 мм, при длине записанного отрезка до 30 мм - +-1 мм при масштабах записи до 50:1 и +-2 мм - при масштабе записи 100:1.</w:t>
      </w:r>
    </w:p>
    <w:p>
      <w:pPr>
        <w:pStyle w:val="Normal"/>
        <w:autoSpaceDE w:val="false"/>
        <w:ind w:firstLine="720"/>
        <w:jc w:val="both"/>
        <w:rPr/>
      </w:pPr>
      <w:bookmarkStart w:id="42" w:name="sub_27"/>
      <w:bookmarkStart w:id="43" w:name="sub_28"/>
      <w:bookmarkEnd w:id="42"/>
      <w:bookmarkEnd w:id="43"/>
      <w:r>
        <w:rPr>
          <w:rFonts w:cs="Arial" w:ascii="Arial" w:hAnsi="Arial"/>
          <w:sz w:val="20"/>
          <w:szCs w:val="20"/>
        </w:rPr>
        <w:t xml:space="preserve">2.8. Значения отношений наибольшей предельной нагрузки к наименьшей и разделение машин на группы по этому параметру указаны в </w:t>
      </w:r>
      <w:hyperlink w:anchor="sub_1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8"/>
      <w:bookmarkStart w:id="45" w:name="sub_28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1114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114"/>
      <w:bookmarkStart w:id="48" w:name="sub_1114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┌──────────────────────┬──────┬──────┬─────┬────┬────┬──────┬────┬──────┐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машин     │ 1-О  │ 2-О  │ 3-О │4-О │5-О │ 6-О  │7-О │ 8-О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├──────────────────────┼──────┼──────┼─────┼────┼────┼──────┼────┼──────┤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Отношение   наибольшей│10000 │ 5000 │1000 │500 │200 │ 100  │ 50 │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предельной нагрузки  к│      │      │     │    │    │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наименьшей            │      │      │     │    │    │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│      │     │    │    │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└──────────────────────┴──────┴──────┴─────┴────┴────┴──────┴────┴──────┘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Группу и значение отношения наибольшей предельной нагрузки к наименьшей устанавливают по согласованию с потребителем и указывают в ТУ на выпуск 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9" w:name="sub_29"/>
      <w:bookmarkEnd w:id="49"/>
      <w:r>
        <w:rPr>
          <w:rFonts w:cs="Arial" w:ascii="Arial" w:hAnsi="Arial"/>
          <w:sz w:val="20"/>
          <w:szCs w:val="20"/>
        </w:rPr>
        <w:t xml:space="preserve">2.9. Диапазон регулирования скоростей перемещения активного захвата без нагрузки и разделение машин на группы по этому параметру указаны в </w:t>
      </w:r>
      <w:hyperlink w:anchor="sub_1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5.</w:t>
        </w:r>
      </w:hyperlink>
      <w:r>
        <w:rPr>
          <w:rFonts w:cs="Arial" w:ascii="Arial" w:hAnsi="Arial"/>
          <w:sz w:val="20"/>
          <w:szCs w:val="20"/>
        </w:rPr>
        <w:t xml:space="preserve"> Группу, наибольшую скорость и диапазон скоростей указывают в ТУ на выпуск машин.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9"/>
      <w:bookmarkStart w:id="51" w:name="sub_29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1115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15"/>
      <w:bookmarkStart w:id="54" w:name="sub_1115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машин           │Отношение   наибольшей      скорости│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    активного  захвата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наименьшей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1-С                │               100000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2-С                │               50000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3-С                │               10000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4-С                │                1000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5-С                │                100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6-С                │                 10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Допускается использование других диапазонов регулирования скоростей, выбираемых из ряда 1 х 10(n), где n равно 0 или любому целому числу.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Значения наибольших скоростей перемещения активного захвата устанавливают в диапазоне от 2 до 1000 мм/мин.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Заглавные буквы в обозначениях групп машин в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1 - 5</w:t>
        </w:r>
      </w:hyperlink>
      <w:r>
        <w:rPr>
          <w:rFonts w:cs="Arial" w:ascii="Arial" w:hAnsi="Arial"/>
          <w:sz w:val="20"/>
          <w:szCs w:val="20"/>
        </w:rPr>
        <w:t xml:space="preserve"> означают: У - нагрузка (усилие), Д - деформация, О - диапазон нагрузок; С - диапазон регулирования скоростей.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5" w:name="sub_210"/>
      <w:bookmarkEnd w:id="55"/>
      <w:r>
        <w:rPr>
          <w:rFonts w:cs="Arial" w:ascii="Arial" w:hAnsi="Arial"/>
          <w:sz w:val="20"/>
          <w:szCs w:val="20"/>
        </w:rPr>
        <w:t xml:space="preserve">2.10. В разрывных и универсальных машинах по требованию заказчика должна быть обеспечена возможность установки термокриокамер для проведения испытаний при повышенных и пониженных температурах. Пределы и точность регулирования повышенных и пониженных температур по согласованию с заказчиком устанавливают в ТУ на машины в соответствии с требованиями стандартов на методы испытаний материалов, указанных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0"/>
      <w:bookmarkStart w:id="57" w:name="sub_211"/>
      <w:bookmarkEnd w:id="56"/>
      <w:bookmarkEnd w:id="57"/>
      <w:r>
        <w:rPr>
          <w:rFonts w:cs="Arial" w:ascii="Arial" w:hAnsi="Arial"/>
          <w:sz w:val="20"/>
          <w:szCs w:val="20"/>
        </w:rPr>
        <w:t>2.11. Вероятность безотказной работы машин за заданную наработку выбирают из ряда: 0,80; 0,85; 0,90; 0,92; 0,94. Заданную наработку выбирают из ряда: 250; 500; 750; 1000; 1500; 2000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1"/>
      <w:bookmarkEnd w:id="58"/>
      <w:r>
        <w:rPr>
          <w:rFonts w:cs="Arial" w:ascii="Arial" w:hAnsi="Arial"/>
          <w:sz w:val="20"/>
          <w:szCs w:val="20"/>
        </w:rPr>
        <w:t>Конкретные значения вероятности безотказной работы, заданной наработки и критериев отказов устанавливают по согласованию заказчика и изготовителя в ТУ на выпуск машин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вероятности безотказной работы 0,92; 0,94 устанавливают для машин без учета надежности электронной и вычислительной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12"/>
      <w:bookmarkEnd w:id="59"/>
      <w:r>
        <w:rPr>
          <w:rFonts w:cs="Arial" w:ascii="Arial" w:hAnsi="Arial"/>
          <w:sz w:val="20"/>
          <w:szCs w:val="20"/>
        </w:rPr>
        <w:t>2.12. Полный средний срок службы машин должен быть не менее 15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2"/>
      <w:bookmarkStart w:id="61" w:name="sub_213"/>
      <w:bookmarkEnd w:id="60"/>
      <w:bookmarkEnd w:id="61"/>
      <w:r>
        <w:rPr>
          <w:rFonts w:cs="Arial" w:ascii="Arial" w:hAnsi="Arial"/>
          <w:sz w:val="20"/>
          <w:szCs w:val="20"/>
        </w:rPr>
        <w:t>2.13. Масса машин и потребляемая мощность должны быть указаны в технических условиях на выпуск машин, согласованных в установленном порядке с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13"/>
      <w:bookmarkStart w:id="63" w:name="sub_214"/>
      <w:bookmarkEnd w:id="62"/>
      <w:bookmarkEnd w:id="63"/>
      <w:r>
        <w:rPr>
          <w:rFonts w:cs="Arial" w:ascii="Arial" w:hAnsi="Arial"/>
          <w:sz w:val="20"/>
          <w:szCs w:val="20"/>
        </w:rPr>
        <w:t>2.14. Исполнение и категория машин по условиям эксплуатации должны устанавливаться в технических условиях на выпуск машин и соответствовать требованиям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14"/>
      <w:bookmarkStart w:id="65" w:name="sub_215"/>
      <w:bookmarkEnd w:id="64"/>
      <w:bookmarkEnd w:id="65"/>
      <w:r>
        <w:rPr>
          <w:rFonts w:cs="Arial" w:ascii="Arial" w:hAnsi="Arial"/>
          <w:sz w:val="20"/>
          <w:szCs w:val="20"/>
        </w:rPr>
        <w:t>2.15. Машины, предназначенные для экспорта, должны изготовляться в соответствии с требованиями ГОСТ 15151, технических условий на машины конкретного типоразмера и заказа-наряда внешнеторговой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15"/>
      <w:bookmarkStart w:id="67" w:name="sub_216"/>
      <w:bookmarkEnd w:id="66"/>
      <w:bookmarkEnd w:id="67"/>
      <w:r>
        <w:rPr>
          <w:rFonts w:cs="Arial" w:ascii="Arial" w:hAnsi="Arial"/>
          <w:sz w:val="20"/>
          <w:szCs w:val="20"/>
        </w:rPr>
        <w:t>2.16. Лакокрасочные покрытия наружных и внутренних поверхностей - по ГОСТ 9.032.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16"/>
      <w:bookmarkStart w:id="69" w:name="sub_216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3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3. Параметры, обеспечивающие совместимость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300"/>
      <w:bookmarkStart w:id="72" w:name="sub_3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"/>
      <w:bookmarkEnd w:id="73"/>
      <w:r>
        <w:rPr>
          <w:rFonts w:cs="Arial" w:ascii="Arial" w:hAnsi="Arial"/>
          <w:sz w:val="20"/>
          <w:szCs w:val="20"/>
        </w:rPr>
        <w:t>3.1. Выходные сигналы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"/>
      <w:bookmarkStart w:id="75" w:name="sub_311"/>
      <w:bookmarkEnd w:id="74"/>
      <w:bookmarkEnd w:id="75"/>
      <w:r>
        <w:rPr>
          <w:rFonts w:cs="Arial" w:ascii="Arial" w:hAnsi="Arial"/>
          <w:sz w:val="20"/>
          <w:szCs w:val="20"/>
        </w:rPr>
        <w:t>3.1.1. Основные параметры электрических входных и выходных сигналов тока и напряжений должны устанавливаться в технических условиях и соответствовать требованиям ГОСТ 26.011.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11"/>
      <w:bookmarkStart w:id="77" w:name="sub_312"/>
      <w:bookmarkEnd w:id="76"/>
      <w:bookmarkEnd w:id="77"/>
      <w:r>
        <w:rPr>
          <w:rFonts w:cs="Arial" w:ascii="Arial" w:hAnsi="Arial"/>
          <w:sz w:val="20"/>
          <w:szCs w:val="20"/>
        </w:rPr>
        <w:t>3.1.2. В машинах с электрическим силоизмерителем должен быть обеспечен выход на ЭВМ или цифропечатающее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12"/>
      <w:bookmarkStart w:id="79" w:name="sub_32"/>
      <w:bookmarkEnd w:id="78"/>
      <w:bookmarkEnd w:id="79"/>
      <w:r>
        <w:rPr>
          <w:rFonts w:cs="Arial" w:ascii="Arial" w:hAnsi="Arial"/>
          <w:sz w:val="20"/>
          <w:szCs w:val="20"/>
        </w:rPr>
        <w:t>3.2. Параметры питания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2"/>
      <w:bookmarkStart w:id="81" w:name="sub_321"/>
      <w:bookmarkEnd w:id="80"/>
      <w:bookmarkEnd w:id="81"/>
      <w:r>
        <w:rPr>
          <w:rFonts w:cs="Arial" w:ascii="Arial" w:hAnsi="Arial"/>
          <w:sz w:val="20"/>
          <w:szCs w:val="20"/>
        </w:rPr>
        <w:t>3.2.1. Значения номинальных напряжений, их допустимых отклонений и частот переменного электрического питания машин должны указываться в технических условиях и соответствовать требованиям ГОСТ 21128.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21"/>
      <w:bookmarkStart w:id="83" w:name="sub_321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4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4.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400"/>
      <w:bookmarkStart w:id="86" w:name="sub_400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1"/>
      <w:bookmarkEnd w:id="87"/>
      <w:r>
        <w:rPr>
          <w:rFonts w:cs="Arial" w:ascii="Arial" w:hAnsi="Arial"/>
          <w:sz w:val="20"/>
          <w:szCs w:val="20"/>
        </w:rPr>
        <w:t>4.1. Общие требования безопасности к конструкции машин должны соответствовать ГОСТ 12.2.003.</w:t>
      </w:r>
    </w:p>
    <w:p>
      <w:pPr>
        <w:pStyle w:val="Normal"/>
        <w:autoSpaceDE w:val="false"/>
        <w:ind w:firstLine="720"/>
        <w:jc w:val="both"/>
        <w:rPr/>
      </w:pPr>
      <w:bookmarkStart w:id="88" w:name="sub_41"/>
      <w:bookmarkStart w:id="89" w:name="sub_42"/>
      <w:bookmarkEnd w:id="88"/>
      <w:bookmarkEnd w:id="89"/>
      <w:r>
        <w:rPr>
          <w:rFonts w:cs="Arial" w:ascii="Arial" w:hAnsi="Arial"/>
          <w:sz w:val="20"/>
          <w:szCs w:val="20"/>
        </w:rPr>
        <w:t>4.2. Общие требования безопасности к электрооборудованию машин в зависимости от конструкции должны соответствовать ГОСТ 12.2.007.0 и (или) ГОСТ 22789</w:t>
      </w:r>
      <w:hyperlink w:anchor="sub_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2"/>
      <w:bookmarkStart w:id="91" w:name="sub_43"/>
      <w:bookmarkEnd w:id="90"/>
      <w:bookmarkEnd w:id="91"/>
      <w:r>
        <w:rPr>
          <w:rFonts w:cs="Arial" w:ascii="Arial" w:hAnsi="Arial"/>
          <w:sz w:val="20"/>
          <w:szCs w:val="20"/>
        </w:rPr>
        <w:t>4.3. Значения шумовых характеристик должны устанавливаться в технических условиях и соответствовать требованиям ГОСТ 12.1.003.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3"/>
      <w:bookmarkStart w:id="93" w:name="sub_43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901"/>
      <w:bookmarkEnd w:id="94"/>
      <w:r>
        <w:rPr>
          <w:rFonts w:cs="Arial" w:ascii="Arial" w:hAnsi="Arial"/>
          <w:sz w:val="20"/>
          <w:szCs w:val="20"/>
        </w:rPr>
        <w:t>* На территории Российской Федерации действует ГОСТ Р 51321.1-2000 (здесь и далее).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901"/>
      <w:bookmarkStart w:id="96" w:name="sub_901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7" w:name="sub_10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10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стандартов на методы испытаний материалов</w:t>
        <w:br/>
        <w:t>(металлы, полимерные материалы, строительные материалы, текстильные материалы на растяжение, сжатие, изгиб)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1497       Металлы. Методы испытания на растяжение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9651       Металлы. Методы испытаний на растяжение при  повышенных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14019      Металлы. Методы испытания на изгиб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11150      Металлы. Методы испытаний на растяжение при  пониженных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25.503     Расчеты и испытания на прочность.  Методы  механических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металлов. Метод испытания на сжатие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4648       Пластмассы. Метод испытания на статический изгиб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4651       Пластмассы. Метод испытания на сжатие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11262      Пластмассы. Метод испытания на растяжение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270        Резина. Метод определения упругопрочностных свойств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20014      Резины  пористые.  Методы   определения   сопротивления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23020      Резина.  Метод  определения   работы     разрушения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11721      Резина пористая.  Метод  определения  упругопрочностных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при растяжении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10180      Бетоны. Методы  определения  прочности  по  контрольным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6611.2     Нити текстильные. Методы определения разрывной нагрузки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удлинения при разрыве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3813 (ИСО  Материалы текстильные. Ткани и штучные изделия.  Методы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5081-77),       определения разрывных характеристик при растяжении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ИСО 5082-82)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265        Резина. Методы испытаний на кратковременное статическое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28570      Бетоны.  Методы  определения  прочности  по   образцам,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отобранным из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200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20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организационно-методических и общетехнических стандартов, необходимых при разработке технических заданий и технических условий на конкретные типы машин, рекомендаций МОЗМ, стандартов ИСО и СЭВ по разрывным и универсальным машинам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1.2        Межгосударственная  система  стандартизации.  Стандарты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межгосударственные,   правила   и       рекомендации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межгосударственной стандартизации. Порядок  разработки,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принятия, применения, обновления и отмены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2.601      Единая    система     конструкторской    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8.001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Государственная система обеспечения единства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 и   порядок   проведения   государственных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средств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8.383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Государственная система обеспечения единства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Государственные испытания средств  измерений.  Основные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9.032      Единая система защиты от коррозии и старения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изделий. Покрытия лакокрасочные. Группы,  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и обозначения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14192     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2991       Ящики дощатые неразборные для грузов массой до 500 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12997      Изделия ГСП.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26.011     Средства измерений  и  автоматизации.  Сигналы   тока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  электрические  и  непрерывные     входные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21128      Системы     электроснабжения,     сети,      источники,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преобразователи  и  приемники  электрической   энергии.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Номинальные напряжения до 1000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20504      Система унифицированных типовых конструкций  агрегатных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комплексов ГСП.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15150      Машины,   приборы   и   другие   технические  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Исполнения   для   различных   климатических   районов.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Категории,    условия    эксплуатации,       хранения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 в  части  воздействия  климатических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факторов внешней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10354      Пленка полиэтиленовая.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22352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Гарантии  изготовителя.   Установление   и   исчисление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гарантийных сроков в стандартах и технических условиях.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14254 (МЭК Степени защиты, обеспечиваемые оболочками (код IP)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529-89)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16842</w:t>
      </w:r>
      <w:hyperlink w:anchor="sub_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Радиопомехи индустриальные. Методы испытаний источников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индустриальных радиопомех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12.1.030   Система      стандартов             безопасности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Электробезопасность. Защитное заземление, зануление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12.1.038   Система      стандартов             безопасности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Электробезопасность.  Предельно   допустимые  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напряжений прикосновения и токов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12.2.003   Система  стандартов  безопасности  труда. 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производственное. 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12.2.007.0 Система   стандартов   безопасности   труда.   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электротехнические. 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22789      Устройства комплектные низковольтные. Общие 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и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12.3.019   Система  стандартов  безопасности  труда.   Испытания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электрические. 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Нормы 1-72-9-72 Общесоюзные нормы допустимых индустриальных радиопомех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15846      Продукция, отправляемая  в  районы  Крайнего   Севера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приравненные к  ним  местности.  Упаковка,  маркировка,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356        Арматура и  детали  трубопроводов.  Давления  условные,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пробные и рабочие. Ряды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26.010     Средства измерений и автоматизации.  Сигналы  частотные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непрерывные входные и выходные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20.57.406  Комплексная   система   контроля   качества.   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электронной   техники,    квантовой       электроники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электротехнические.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15151      Машины,  приборы  и  другие  технические    изделия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районов  с  тропическим  климатом.  Общие   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16272      Пленка      поливинилхлоридная       пластифицированная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РД 50-690       Методические указания.  Надежность  в  технике.  Методы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показателей  надежности  по   экспериментальным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24297      Входной контроль продукции.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902"/>
      <w:bookmarkEnd w:id="101"/>
      <w:r>
        <w:rPr>
          <w:rFonts w:cs="Arial" w:ascii="Arial" w:hAnsi="Arial"/>
          <w:sz w:val="20"/>
          <w:szCs w:val="20"/>
        </w:rPr>
        <w:t>* На территории Российской Федерации действуют ПР 50.2.009-94.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902"/>
      <w:bookmarkStart w:id="103" w:name="sub_903"/>
      <w:bookmarkEnd w:id="102"/>
      <w:bookmarkEnd w:id="103"/>
      <w:r>
        <w:rPr>
          <w:rFonts w:cs="Arial" w:ascii="Arial" w:hAnsi="Arial"/>
          <w:sz w:val="20"/>
          <w:szCs w:val="20"/>
        </w:rPr>
        <w:t>** На территории Российской Федерации не действует.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903"/>
      <w:bookmarkStart w:id="105" w:name="sub_903"/>
      <w:bookmarkEnd w:id="105"/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2007-02-10T21:19:00Z</dcterms:created>
  <dc:creator>Виктор</dc:creator>
  <dc:description/>
  <dc:language>ru-RU</dc:language>
  <cp:lastModifiedBy>Виктор</cp:lastModifiedBy>
  <dcterms:modified xsi:type="dcterms:W3CDTF">2007-02-10T21:19:00Z</dcterms:modified>
  <cp:revision>2</cp:revision>
  <dc:subject/>
  <dc:title/>
</cp:coreProperties>
</file>