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2.785-70</w:t>
        <w:br/>
        <w:t>"Единая система конструкторской документации.</w:t>
        <w:br/>
        <w:t>Обозначения условные графические. Арматура трубопроводная"</w:t>
        <w:br/>
        <w:t>(утв. постановлением Комитета стандартов, мер и измерительных приборов при Совете Министров СССР от 6 апреля 1970 г. N 451)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Graphic designations. Pipeline accessories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действие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1971 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11628-65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части трубопроводной арматуры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ГОСТ 3463-46 в части трубопроводной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условные графические обозначения трубопроводной арматуры в схемах и чертежах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гидравлические и пневматические приводы и изделия основного производства авиационной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Размеры обозначений стандартом не устанавливаются.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Обозначения арматуры в зависимости от типа соединения и вида управления выполняют на основе комбинирования обозначений настоящего стандарта и обозначений, установленных соответствующими стандартами Единой системы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130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31"/>
      <w:bookmarkEnd w:id="6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3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91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32"/>
      <w:bookmarkEnd w:id="8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1)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32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96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33"/>
      <w:bookmarkEnd w:id="10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2)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33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030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34"/>
      <w:bookmarkEnd w:id="12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3)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34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90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35"/>
      <w:bookmarkEnd w:id="14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4)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35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01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36"/>
      <w:bookmarkEnd w:id="16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5)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36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1193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37"/>
      <w:bookmarkEnd w:id="18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(Продолжение 6)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37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5066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38"/>
      <w:bookmarkEnd w:id="20"/>
      <w:r>
        <w:rPr>
          <w:rFonts w:cs="Arial" w:ascii="Arial" w:hAnsi="Arial"/>
          <w:sz w:val="20"/>
          <w:szCs w:val="20"/>
        </w:rPr>
        <w:t>"Таблица. Обозначения арматуры в зависимости от типа соединения и вида управления" (Окончание)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8"/>
      <w:bookmarkStart w:id="22" w:name="sub_38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2007-02-07T18:34:00Z</dcterms:created>
  <dc:creator>Виктор</dc:creator>
  <dc:description/>
  <dc:language>ru-RU</dc:language>
  <cp:lastModifiedBy>Виктор</cp:lastModifiedBy>
  <dcterms:modified xsi:type="dcterms:W3CDTF">2007-02-07T18:34:00Z</dcterms:modified>
  <cp:revision>2</cp:revision>
  <dc:subject/>
  <dc:title/>
</cp:coreProperties>
</file>