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27751-88 (СТ СЭВ 384-87)</w:t>
        <w:br/>
        <w:t>"Надежность строительных конструкций и оснований. Основные положения по расчету"</w:t>
        <w:br/>
        <w:t>(утв. и введен в действие постановлением Госстроя СССР от 25 марта 1988 г. N 48)</w:t>
        <w:br/>
        <w:t>(с изменениями от 21 декабря 1993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Reliability of the constractions and the foundations. Principal rules of the calculations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54011856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30 июня 2003 г. N 129 настоящий ГОСТ признан не действующим на территории РФ с 1 января 2004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540118564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письму Минюста РФ от 18 марта 2004 г. N 07/2934-ЮД вышеназванному постановлению отказано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 развитие настоящего ГОСТ разработаны Строительные нормы и правила СНиП II-23-81 "Стальные конструкции"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Основы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и расчетные значения прочностных и других  характеристик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 и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Нормативные и расчетные значения нагрузок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Учет условий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Учет ответственности зданий и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Пояснение основных понятий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Основы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Строительные конструкции и основания должны быть запроектированы таким образом, чтобы они обладали достаточной надежностью при возведении и эксплуатации с учетом, при необходимости, особых воздействий (например, в результате землетрясения, наводнения, пожара, взрыва).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 Основным свойством, определяющим </w:t>
      </w:r>
      <w:hyperlink w:anchor="sub_100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надежность</w:t>
        </w:r>
      </w:hyperlink>
      <w:r>
        <w:rPr>
          <w:rFonts w:cs="Arial" w:ascii="Arial" w:hAnsi="Arial"/>
          <w:sz w:val="20"/>
          <w:szCs w:val="20"/>
        </w:rPr>
        <w:t xml:space="preserve"> строительных конструкций, зданий и сооружений в целом, является безотказность их работы - способность сохранять заданные эксплуатационные качества в течение определенного срока службы.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Строительные конструкции и основания следует рассчитывать по методу </w:t>
      </w:r>
      <w:hyperlink w:anchor="sub_10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предельных состояний</w:t>
        </w:r>
      </w:hyperlink>
      <w:r>
        <w:rPr>
          <w:rFonts w:cs="Arial" w:ascii="Arial" w:hAnsi="Arial"/>
          <w:sz w:val="20"/>
          <w:szCs w:val="20"/>
        </w:rPr>
        <w:t>, основные положения которого должны быть направлены на обеспечение безотказной работы конструкций и оснований с учетом изменчивости свойств материалов, грунтов, нагрузок и воздействий, геометрических характеристик конструкций, условий их работы, а также степени ответственности (и народнохозяйственной значимости) проектируемых объектов, определяемой материальным и социальным ущербом при нарушении их работоспособности.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Предельные состояния подразделяются на две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включает предельные состояния, которые ведут к полной непригодности к эксплуатации конструкций, оснований (зданий или сооружений в целом) или к полной (частичной) потере несущей способности зданий и сооружений в целом;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вторая группа включает предельные состояния, затрудняющие </w:t>
      </w:r>
      <w:hyperlink w:anchor="sub_10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нормальную эксплуатацию</w:t>
        </w:r>
      </w:hyperlink>
      <w:r>
        <w:rPr>
          <w:rFonts w:cs="Arial" w:ascii="Arial" w:hAnsi="Arial"/>
          <w:sz w:val="20"/>
          <w:szCs w:val="20"/>
        </w:rPr>
        <w:t xml:space="preserve"> конструкций (оснований) или уменьшающие долговечность зданий (сооружений) по сравнению с предусматриваемым сроком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состояния первой группы характеризуются: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разрушением любого характера (например, пластическим, хрупким, усталостным) (1а);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потерей устойчивости формы, приводящей к полной непригодности к эксплуатации (1b);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потерей устойчивости положения (1с);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переходом в изменяемую систему (1d);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качественным изменением конфигурации (1е);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другими явлениями, при которых возникает необходимость прекращения эксплуатации (например, чрезмерными деформациями в результате ползучести, пластичности, сдвига в соединениях, раскрытия трещин, а также образованием трещин) (1f).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состояния второй группы характеризуются: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достижением предельных деформаций конструкции (например, предельных прогибов, поворотов) или предельных деформаций основания (2а);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достижением предельных уровней колебаний конструкций или оснований (2b);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образованием трещин (2с);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достижением предельных раскрытий или длин трещин (2d);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потерей устойчивости формы, приводящей к затруднению </w:t>
      </w:r>
      <w:hyperlink w:anchor="sub_10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нормальной эксплуатации</w:t>
        </w:r>
      </w:hyperlink>
      <w:r>
        <w:rPr>
          <w:rFonts w:cs="Arial" w:ascii="Arial" w:hAnsi="Arial"/>
          <w:sz w:val="20"/>
          <w:szCs w:val="20"/>
        </w:rPr>
        <w:t xml:space="preserve"> (2е);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другими явлениями, при которых возникает необходимость временного ограничения </w:t>
      </w:r>
      <w:hyperlink w:anchor="sub_10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эксплуатации здания</w:t>
        </w:r>
      </w:hyperlink>
      <w:r>
        <w:rPr>
          <w:rFonts w:cs="Arial" w:ascii="Arial" w:hAnsi="Arial"/>
          <w:sz w:val="20"/>
          <w:szCs w:val="20"/>
        </w:rPr>
        <w:t xml:space="preserve"> или сооружения из-за неприемлемого снижения их срока службы (например, коррозионные повреждения) (2f).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состояния, по которым требуется выполнять расчеты, определяются стандартами на проектирование.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Расчет по </w:t>
      </w:r>
      <w:hyperlink w:anchor="sub_10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предельным состояниям</w:t>
        </w:r>
      </w:hyperlink>
      <w:r>
        <w:rPr>
          <w:rFonts w:cs="Arial" w:ascii="Arial" w:hAnsi="Arial"/>
          <w:sz w:val="20"/>
          <w:szCs w:val="20"/>
        </w:rPr>
        <w:t xml:space="preserve"> имеет целью обеспечить надежность здания или сооружения в течение всего его срока службы, а также при производстве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обеспечения надежности заключаются в том, чтобы расчетные значения нагрузок или ими вызванных усилий, напряжений, деформаций, перемещений, раскрытий трещин не превышали соответствующих им предельных значений, устанавливаемых нормами проектирования конструкций или оснований.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Расчетные модели (в том числе расчетные схемы, основные предпосылки расчета) конструкций и оснований должны отражать действительные условия работы зданий или сооружений, отвечающие рассматриваемой </w:t>
      </w:r>
      <w:hyperlink w:anchor="sub_10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расчетной ситуации</w:t>
        </w:r>
      </w:hyperlink>
      <w:r>
        <w:rPr>
          <w:rFonts w:cs="Arial" w:ascii="Arial" w:hAnsi="Arial"/>
          <w:sz w:val="20"/>
          <w:szCs w:val="20"/>
        </w:rPr>
        <w:t>. При этом должны учитываться факторы, определяющие напряженное и деформированное состояния, особенности взаимодействия элементов конструкций между собой и с основанием, пространственная работа конструкций, геометрическая и физическая нелинейности, пластические и реологические свойства материалов и грунтов, наличие трещин в железобетонных конструкциях, возможные отклонения геометрических размеров от их номинальных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возведении новых зданий и сооружений, примыкающих к ранее построенным (или возводимых в непосредственной близости к ним), необходимо учитывать возможное их взаимное влияние.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При отсутствии надежных теоретических методов расчета или проверенных ранее аналогичных решений расчет конструкций и оснований может производиться на основе специально поставленных теоретических или экспериментальных исследований на моделях или натурных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Расчет конструкций, для которых нормы проектирования не содержат указаний по определению усилий и напряжений с учетом неупругих деформаций, производится в предположении их упругой работы; при этом сечения допускается рассчитывать с учетом неупругих деформаций.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Расчет оснований должен выполняться с использованием механических параметров грунтов (например, их прочностных, деформационных характеристик). В расчетах допускается использовать и другие параметры, характеризующие взаимодействие конструкций с основанием и устанавливаемые опытным путем.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При расчете конструкций должны рассматривться следующие </w:t>
      </w:r>
      <w:hyperlink w:anchor="sub_10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расчетные ситуации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установившаяся, имеющая продолжительность того же порядка, что и срок службы строительного объема (например, эксплуатация между двумя капитальными ремонтами или изменениями технологического процесса);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переходная, имеющая небольшую по сравнению со сроком службы строительного объекта продолжительность (например, возведение здания, капитальный ремонт, реконструкция);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аварийная, имеющая малую вероятность появления и небольшую продолжительность, но являющаяся весьма важной с точки зрении последствий достижения </w:t>
      </w:r>
      <w:hyperlink w:anchor="sub_10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предельных состояний</w:t>
        </w:r>
      </w:hyperlink>
      <w:r>
        <w:rPr>
          <w:rFonts w:cs="Arial" w:ascii="Arial" w:hAnsi="Arial"/>
          <w:sz w:val="20"/>
          <w:szCs w:val="20"/>
        </w:rPr>
        <w:t>, возможных при ней (например, ситуация, возникающая в связи со взрывом, столкновением, аварией оборудования, пожаром, а также непосредственно после отказа какого-либо элемента конструкции).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Расчетные ситуации характеризуются расчетной схемой конструкции, видами нагрузок, значениями коэффициентов условий работы и коэффициентов надежности, перечнем предельных состояний, которые должны рассматриваться в данной ситуации.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2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и расчетные значения прочностных и других</w:t>
        <w:br/>
        <w:t>характеристик материалов и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200"/>
      <w:bookmarkStart w:id="7" w:name="sub_2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Основными параметрами прочности материалов являются нормативные значения их прочностных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Обеспеченность нормативных значений прочностных характеристик материала, прошедшего приемочный контроль или сортировку, должна, как правило, быть не менее 0,95.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Кроме нормативных значений прочностных характеристик, могут устанавливаться также нормативные значения других характеристик материалов (например, плотностей, модулей упругости, коэффициентов трения, ползучести, усадки), принимаемые, как правило, равными их математическому ожиданию.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Если величины, характеризующие свойства материала и грунтов, являются функциями других величин или находятся в корреляционной зависимости от них, то нормативные значения характеристик материалов и грунтов могут быть получены расчетным путем с использованием зависимостей, устанавливаемых нормами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 расчете конструкций, работающих при высоких или низких температурах, повышенной влажности, при повторных воздействиях, следует учитывать изменения физико-механических свойств материалов (прочности, упругости, вязкости) и других явлений (например, ползучести, усадки).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Основными параметрами механических свойств грунтов являются нормативные или расчетные значения прочностных, деформационных и других физико-механических характеристик грунтов.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2.6. Нормативные значения характеристик грунта или параметров, определяющих взаимодействие фундаментов с грунтом, принимаются равными, как правило, их математическому ожиданию.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Нормативные значения характеристик грунтов или параметров, указанных в п.1.9, устанавливают на основе данных инженерных изысканий, выполняемых для проектируемого здания или сооружения, или на основе опыта проектирования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Возможные отклонения прочностных и других характеристик материалов и грунтов в неблагоприятную сторону от их нормативных значений учитываются коэффициентами надежности по материалу гамма-m и грунту гамма-q. Значения коэффициентов гамма-m и гамма-q могут быть различными для различных предельных состояний.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Расчетным значением характеристики материала или грунта является значение, получаемое делением нормативного значения характеристики на коэффициент надежности по материалу или грунту. В обоснованных случаях расчетные значения характеристик грунта могут определяться непосредственно по экспериментальным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3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3. Нормативные и расчетные значения нагрузок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300"/>
      <w:bookmarkStart w:id="10" w:name="sub_3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Основными характеристиками нагрузок являются их нормативные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Нормативные значения нагрузок определяются: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нагрузок от собственного веса - по проектным значениям геометрических и конструктивных параметров и по средним значениям плотности с учетом имеющихся данных предприятий-изготовителей об ожидаемой массе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атмосферных нагрузок (например, ветровой, снеговой, гололедной, волновой, ледовой) и воздействий (например, температурных, влажностных) - по наибольшим годовым значениям, соответсствующим определенному среднему периоду их превышения; нормативные значения атмосферных нагрузок, которые могут вызывать в конструкциях динамические усилия или деформации, должны определяться с учетом динамических явлений и динамических характеристик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технологических статических нагрузок (например, от оборудования, приборов, материалов, обстановки, людей) - по ожидаемым наибольшим значениям для предусмотренных условий изготовления, эксплуатации или производства работ, с учетом паспортных данных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технологических динамических нагрузок (от движущихся механизмов, машин, транспортных средств) - по значениям параметров, определяющим динамические нагрузки, или по значениям масс и геометрических размеров движущегося механизма или частей машины в соответствии с ее кинематической схемой и режимом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сейсмических и взрывных воздействий, а также для нагрузок, вызываемых резкими нарушениями технологического процесса, временной неисправностью или поломкой оборудования, в том числе наездом транспортных средств - в соответствии с требованиями специальных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3.2. Возможное отклонение нагрузок в неблагоприятную (большую или меньшую) сторону от их нормативных значений вследствие изменчивости нагрузок или отступлений от условий </w:t>
      </w:r>
      <w:hyperlink w:anchor="sub_100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нормальной эксплуатации</w:t>
        </w:r>
      </w:hyperlink>
      <w:r>
        <w:rPr>
          <w:rFonts w:cs="Arial" w:ascii="Arial" w:hAnsi="Arial"/>
          <w:sz w:val="20"/>
          <w:szCs w:val="20"/>
        </w:rPr>
        <w:t xml:space="preserve"> учитывается коэффициентами надежности по нагрузке гамма-f. Значения коэффициентов гамма-f могут быть различными для различных </w:t>
      </w:r>
      <w:hyperlink w:anchor="sub_10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предельных состояний</w:t>
        </w:r>
      </w:hyperlink>
      <w:r>
        <w:rPr>
          <w:rFonts w:cs="Arial" w:ascii="Arial" w:hAnsi="Arial"/>
          <w:sz w:val="20"/>
          <w:szCs w:val="20"/>
        </w:rPr>
        <w:t xml:space="preserve"> и различных </w:t>
      </w:r>
      <w:hyperlink w:anchor="sub_10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расчетных ситуаций.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Расчетное значение нагрузки получается путем умножения нормативного значения на соответствующий коэффициент надежности по нагрузке.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статистических данных расчетные значения нагрузок допускается определять непосредственно по заданной вероятности их превышения.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 определении нормативных и расчетных значений нагрузок, изменяющихся во времени, допускается учитывать предусматриваемый срок службы здания или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Конструкции и основания следует рассчитывать с учетом возможных неблагоприятных сочетаний нагрузок (для сечений элементов, конструкций и их соединений либо для всего здания или сооружения в целом). Уменьшение вероятности одновременного превышения несколькими нагрузками их расчетных значений по сравнению с вероятностью превышения одной нагрузкой ее расчетного значения учитывается коэффициентами сочетаний нагрузок пси.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Под "несколькими нагрузками" следует понимать как несколько нагрузок разных видов (например, снеговых и ветровых), так и несколько нагрузок одного вида (например, несколько грузоподъемных мостовых кранов, нагрузок от людей, мебели, оборудования на нескольких перекрытиях в многоэтажных зданиях, несколько однородных нагрузок в зависимости от размера грузовой площади рассчитываемого элемента).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4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4. Учет условий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400"/>
      <w:bookmarkStart w:id="13" w:name="sub_4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Возможные отклонения принятой расчетной модели от реальных условий работы элементов конструкций, соединений, зданий и сооружений и их оснований, а также изменения свойств материалов вследствие влияния температуры, влажности, длительности воздействия, его многократной повторяемости и другх факторов, не отражаемых непосредственно в расчетах, учитываются коэффициентами условий работы гамма-d.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Коэффициенты условий работы могут учитывать факторы, которые еще не имеют приемлемого аналитического описания, такие, как влияние коррозии, агрессии среды, биологических воздействий.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Коэффициенты условий работы и способ их введения в расчет устанавливаются на основе экспериментальных и теоретичаских данных о действительной работе материалов, конструкций и оснований в условиях эксплуатации и производства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500"/>
      <w:bookmarkStart w:id="15" w:name="sub_540160248"/>
      <w:bookmarkEnd w:id="14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21 декабря 1993 г. N 18-54 раздел 5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500"/>
      <w:bookmarkStart w:id="17" w:name="sub_540160248"/>
      <w:bookmarkEnd w:id="1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См. текст раздела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 Учет ответственности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1"/>
      <w:bookmarkEnd w:id="18"/>
      <w:r>
        <w:rPr>
          <w:rFonts w:cs="Arial" w:ascii="Arial" w:hAnsi="Arial"/>
          <w:sz w:val="20"/>
          <w:szCs w:val="20"/>
        </w:rPr>
        <w:t>5.1. Для учета ответственности зданий и сооружений, характеризуемой экономическими, социальными и экологическими последствиями их отказов, устанавливаются три уровня: I - повышенный, II - нормальный, III - пониженный.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1"/>
      <w:bookmarkEnd w:id="19"/>
      <w:r>
        <w:rPr>
          <w:rFonts w:cs="Arial" w:ascii="Arial" w:hAnsi="Arial"/>
          <w:sz w:val="20"/>
          <w:szCs w:val="20"/>
        </w:rPr>
        <w:t>Повышенный уровень ответственности следует принимать для зданий и сооружений, отказы которых могут привести к тяжелым экономическим, социальным и экологическим последствиям (резервуары для нефти и нефтепродуктов вместимостью 10000 м2 и более, магистральные трубопроводы, производственные здания с пролетами 100 м и более, а также уникальные здания и сооружения).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Нормальный уровень ответственности следует принимать для зданий и сооружений массового строительства (жилые, общественные, производственные, сельскохозяйственные здания и сооружения).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Пониженный уровень ответственности следует принимать для сооружений сезонного или вспомогательного назначения (парники, теплицы, летние павильоны, небольшие склады и подобные сооружения).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При расчете несущих конструкций и оснований следует учитывать коэффициент надежности и ответственности гамма_п, принимаемый равным: для I уровня ответственности - более 0,95, но не более 1,2; для II уровня - менее 0,95, для III уровня менее 0,95, - но не менее 0,8.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коэффициент надежности по ответственности следует умножать нагрузочный эффект (внутренние силы и перемещения конструкций и оснований, вызываемые нагрузками и воздействиями).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Настоящий пункт не распространяется на здания и сооружения, учет ответственности которых установлен в соответствующих нормативных документах.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Уровни ответственности зданий и сооружений следует учитывать также при определении требований к долговечности зданий и сооружений, номенклатуры и объема инженерных изысканий для строительства, установления правил приемки, испытаний, эксплуатации и технической диагностики строительных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Отнесение объекта к конкретному уровню ответственности и выбор значений коэффициента гамма_п производится генеральным проектировщиком по согласованию с заказчиком".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0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Пояснение основных понятий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1001"/>
      <w:bookmarkEnd w:id="22"/>
      <w:r>
        <w:rPr>
          <w:rFonts w:cs="Arial" w:ascii="Arial" w:hAnsi="Arial"/>
          <w:sz w:val="20"/>
          <w:szCs w:val="20"/>
        </w:rPr>
        <w:t xml:space="preserve">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состояния</w:t>
      </w:r>
      <w:r>
        <w:rPr>
          <w:rFonts w:cs="Arial" w:ascii="Arial" w:hAnsi="Arial"/>
          <w:sz w:val="20"/>
          <w:szCs w:val="20"/>
        </w:rPr>
        <w:t xml:space="preserve"> - состояния, при которых конструкция, основание (здание или сооружение в целом) перестают удовлетворять заданным эксплуатационным требованиям или требованиям при производстве работ (возведении).</w:t>
      </w:r>
    </w:p>
    <w:p>
      <w:pPr>
        <w:pStyle w:val="Normal"/>
        <w:autoSpaceDE w:val="false"/>
        <w:ind w:firstLine="720"/>
        <w:jc w:val="both"/>
        <w:rPr/>
      </w:pPr>
      <w:bookmarkStart w:id="23" w:name="sub_1001"/>
      <w:bookmarkStart w:id="24" w:name="sub_1002"/>
      <w:bookmarkEnd w:id="23"/>
      <w:bookmarkEnd w:id="24"/>
      <w:r>
        <w:rPr>
          <w:rFonts w:cs="Arial" w:ascii="Arial" w:hAnsi="Arial"/>
          <w:sz w:val="20"/>
          <w:szCs w:val="20"/>
        </w:rPr>
        <w:t xml:space="preserve">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Эксплуатация здания или сооружения</w:t>
      </w:r>
      <w:r>
        <w:rPr>
          <w:rFonts w:cs="Arial" w:ascii="Arial" w:hAnsi="Arial"/>
          <w:sz w:val="20"/>
          <w:szCs w:val="20"/>
        </w:rPr>
        <w:t xml:space="preserve"> - использование здания или сооружения по функциональному назначению с проведением необходимых мероприятий по сохранению состояния конструкций, при котором они способны выполнять заданные функции с параметрами, установленными требованиями технической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25" w:name="sub_1002"/>
      <w:bookmarkStart w:id="26" w:name="sub_1003"/>
      <w:bookmarkEnd w:id="25"/>
      <w:bookmarkEnd w:id="26"/>
      <w:r>
        <w:rPr>
          <w:rFonts w:cs="Arial" w:ascii="Arial" w:hAnsi="Arial"/>
          <w:sz w:val="20"/>
          <w:szCs w:val="20"/>
        </w:rPr>
        <w:t xml:space="preserve">3.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Нормальная эксплуатация</w:t>
      </w:r>
      <w:r>
        <w:rPr>
          <w:rFonts w:cs="Arial" w:ascii="Arial" w:hAnsi="Arial"/>
          <w:sz w:val="20"/>
          <w:szCs w:val="20"/>
        </w:rPr>
        <w:t xml:space="preserve"> - эксплуатация, осуществляемая (без ограничений) в соответствии с предусмотренными в нормах или заданиях на проектирование технологическими или бытовыми условиями.</w:t>
      </w:r>
    </w:p>
    <w:p>
      <w:pPr>
        <w:pStyle w:val="Normal"/>
        <w:autoSpaceDE w:val="false"/>
        <w:ind w:firstLine="720"/>
        <w:jc w:val="both"/>
        <w:rPr/>
      </w:pPr>
      <w:bookmarkStart w:id="27" w:name="sub_1003"/>
      <w:bookmarkStart w:id="28" w:name="sub_1004"/>
      <w:bookmarkEnd w:id="27"/>
      <w:bookmarkEnd w:id="28"/>
      <w:r>
        <w:rPr>
          <w:rFonts w:cs="Arial" w:ascii="Arial" w:hAnsi="Arial"/>
          <w:sz w:val="20"/>
          <w:szCs w:val="20"/>
        </w:rPr>
        <w:t xml:space="preserve">4.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Надежность строительного объекта</w:t>
      </w:r>
      <w:r>
        <w:rPr>
          <w:rFonts w:cs="Arial" w:ascii="Arial" w:hAnsi="Arial"/>
          <w:sz w:val="20"/>
          <w:szCs w:val="20"/>
        </w:rPr>
        <w:t xml:space="preserve"> - свойство строительного объекта выполнять заданные функции в течение требуемого промежутка времени.</w:t>
      </w:r>
    </w:p>
    <w:p>
      <w:pPr>
        <w:pStyle w:val="Normal"/>
        <w:autoSpaceDE w:val="false"/>
        <w:ind w:firstLine="720"/>
        <w:jc w:val="both"/>
        <w:rPr/>
      </w:pPr>
      <w:bookmarkStart w:id="29" w:name="sub_1004"/>
      <w:bookmarkStart w:id="30" w:name="sub_1005"/>
      <w:bookmarkEnd w:id="29"/>
      <w:bookmarkEnd w:id="30"/>
      <w:r>
        <w:rPr>
          <w:rFonts w:cs="Arial" w:ascii="Arial" w:hAnsi="Arial"/>
          <w:sz w:val="20"/>
          <w:szCs w:val="20"/>
        </w:rPr>
        <w:t xml:space="preserve">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Обеспеченность значения величины</w:t>
      </w:r>
      <w:r>
        <w:rPr>
          <w:rFonts w:cs="Arial" w:ascii="Arial" w:hAnsi="Arial"/>
          <w:sz w:val="20"/>
          <w:szCs w:val="20"/>
        </w:rPr>
        <w:t xml:space="preserve"> - для случайных величин, для которых неблагоприятным является превышение какого-либо значения, вероятность непревышения этого значения, а для которых неблагоприятным является занижение - вероятность незанижения.</w:t>
      </w:r>
    </w:p>
    <w:p>
      <w:pPr>
        <w:pStyle w:val="Normal"/>
        <w:autoSpaceDE w:val="false"/>
        <w:ind w:firstLine="720"/>
        <w:jc w:val="both"/>
        <w:rPr/>
      </w:pPr>
      <w:bookmarkStart w:id="31" w:name="sub_1005"/>
      <w:bookmarkStart w:id="32" w:name="sub_1006"/>
      <w:bookmarkEnd w:id="31"/>
      <w:bookmarkEnd w:id="32"/>
      <w:r>
        <w:rPr>
          <w:rFonts w:cs="Arial" w:ascii="Arial" w:hAnsi="Arial"/>
          <w:sz w:val="20"/>
          <w:szCs w:val="20"/>
        </w:rPr>
        <w:t xml:space="preserve">6.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Силовое воздействие</w:t>
      </w:r>
      <w:r>
        <w:rPr>
          <w:rFonts w:cs="Arial" w:ascii="Arial" w:hAnsi="Arial"/>
          <w:sz w:val="20"/>
          <w:szCs w:val="20"/>
        </w:rPr>
        <w:t xml:space="preserve"> - воздействия, под которыми понимаются как непосредственные силовые воздействия от нагрузок, так и воздействия от смещения опор, изменения температуры, усадки и других подобных явлений, вызывающих реактивные силы.</w:t>
      </w:r>
    </w:p>
    <w:p>
      <w:pPr>
        <w:pStyle w:val="Normal"/>
        <w:autoSpaceDE w:val="false"/>
        <w:ind w:firstLine="720"/>
        <w:jc w:val="both"/>
        <w:rPr/>
      </w:pPr>
      <w:bookmarkStart w:id="33" w:name="sub_1006"/>
      <w:bookmarkStart w:id="34" w:name="sub_1007"/>
      <w:bookmarkEnd w:id="33"/>
      <w:bookmarkEnd w:id="34"/>
      <w:r>
        <w:rPr>
          <w:rFonts w:cs="Arial" w:ascii="Arial" w:hAnsi="Arial"/>
          <w:sz w:val="20"/>
          <w:szCs w:val="20"/>
        </w:rPr>
        <w:t xml:space="preserve">7.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Нагрузочный эффект</w:t>
      </w:r>
      <w:r>
        <w:rPr>
          <w:rFonts w:cs="Arial" w:ascii="Arial" w:hAnsi="Arial"/>
          <w:sz w:val="20"/>
          <w:szCs w:val="20"/>
        </w:rPr>
        <w:t xml:space="preserve"> - усилия, напряжения, деформации, раскрытия трещин, вызванные силовыми воздействиями.</w:t>
      </w:r>
    </w:p>
    <w:p>
      <w:pPr>
        <w:pStyle w:val="Normal"/>
        <w:autoSpaceDE w:val="false"/>
        <w:ind w:firstLine="720"/>
        <w:jc w:val="both"/>
        <w:rPr/>
      </w:pPr>
      <w:bookmarkStart w:id="35" w:name="sub_1007"/>
      <w:bookmarkStart w:id="36" w:name="sub_1008"/>
      <w:bookmarkEnd w:id="35"/>
      <w:bookmarkEnd w:id="36"/>
      <w:r>
        <w:rPr>
          <w:rFonts w:cs="Arial" w:ascii="Arial" w:hAnsi="Arial"/>
          <w:sz w:val="20"/>
          <w:szCs w:val="20"/>
        </w:rPr>
        <w:t xml:space="preserve">8.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Расчетная ситуация</w:t>
      </w:r>
      <w:r>
        <w:rPr>
          <w:rFonts w:cs="Arial" w:ascii="Arial" w:hAnsi="Arial"/>
          <w:sz w:val="20"/>
          <w:szCs w:val="20"/>
        </w:rPr>
        <w:t xml:space="preserve"> - учитываемый в расчете комплекс условий, определяющих расчетные требования к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08"/>
      <w:bookmarkStart w:id="38" w:name="sub_1008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2007-02-10T22:16:00Z</dcterms:created>
  <dc:creator>Виктор</dc:creator>
  <dc:description/>
  <dc:language>ru-RU</dc:language>
  <cp:lastModifiedBy>Виктор</cp:lastModifiedBy>
  <dcterms:modified xsi:type="dcterms:W3CDTF">2007-02-10T22:17:00Z</dcterms:modified>
  <cp:revision>2</cp:revision>
  <dc:subject/>
  <dc:title/>
</cp:coreProperties>
</file>