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70.png" ContentType="image/png"/>
  <Override PartName="/word/media/image68.png" ContentType="image/png"/>
  <Override PartName="/word/media/image67.png" ContentType="image/png"/>
  <Override PartName="/word/media/image66.png" ContentType="image/png"/>
  <Override PartName="/word/media/image65.png" ContentType="image/png"/>
  <Override PartName="/word/media/image64.png" ContentType="image/png"/>
  <Override PartName="/word/media/image63.png" ContentType="image/png"/>
  <Override PartName="/word/media/image62.png" ContentType="image/png"/>
  <Override PartName="/word/media/image61.png" ContentType="image/png"/>
  <Override PartName="/word/media/image60.png" ContentType="image/png"/>
  <Override PartName="/word/media/image50.png" ContentType="image/png"/>
  <Override PartName="/word/media/image49.png" ContentType="image/png"/>
  <Override PartName="/word/media/image48.png" ContentType="image/png"/>
  <Override PartName="/word/media/image47.png" ContentType="image/png"/>
  <Override PartName="/word/media/image20.png" ContentType="image/png"/>
  <Override PartName="/word/media/image55.png" ContentType="image/png"/>
  <Override PartName="/word/media/image5.png" ContentType="image/png"/>
  <Override PartName="/word/media/image19.png" ContentType="image/png"/>
  <Override PartName="/word/media/image18.png" ContentType="image/png"/>
  <Override PartName="/word/media/image17.png" ContentType="image/png"/>
  <Override PartName="/word/media/image16.png" ContentType="image/png"/>
  <Override PartName="/word/media/image15.png" ContentType="image/png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54.png" ContentType="image/png"/>
  <Override PartName="/word/media/image4.png" ContentType="image/png"/>
  <Override PartName="/word/media/image39.png" ContentType="image/png"/>
  <Override PartName="/word/media/image53.png" ContentType="image/png"/>
  <Override PartName="/word/media/image3.png" ContentType="image/png"/>
  <Override PartName="/word/media/image38.png" ContentType="image/png"/>
  <Override PartName="/word/media/image22.png" ContentType="image/png"/>
  <Override PartName="/word/media/image57.png" ContentType="image/png"/>
  <Override PartName="/word/media/image7.png" ContentType="image/png"/>
  <Override PartName="/word/media/image52.png" ContentType="image/png"/>
  <Override PartName="/word/media/image2.png" ContentType="image/png"/>
  <Override PartName="/word/media/image37.png" ContentType="image/png"/>
  <Override PartName="/word/media/image21.png" ContentType="image/png"/>
  <Override PartName="/word/media/image56.png" ContentType="image/png"/>
  <Override PartName="/word/media/image6.png" ContentType="image/png"/>
  <Override PartName="/word/media/image51.png" ContentType="image/png"/>
  <Override PartName="/word/media/image1.png" ContentType="image/png"/>
  <Override PartName="/word/media/image36.png" ContentType="image/png"/>
  <Override PartName="/word/media/image58.png" ContentType="image/png"/>
  <Override PartName="/word/media/image8.png" ContentType="image/png"/>
  <Override PartName="/word/media/image23.png" ContentType="image/png"/>
  <Override PartName="/word/media/image69.png" ContentType="image/png"/>
  <Override PartName="/word/media/image10.png" ContentType="image/png"/>
  <Override PartName="/word/media/image59.png" ContentType="image/png"/>
  <Override PartName="/word/media/image9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Государственный стандарт Союза ССР ГОСТ 2.721-74</w:t>
        <w:br/>
        <w:t>"Единая система конструкторской документации. Обозначения условные графические в схемах. Обозначения общего применения"</w:t>
        <w:br/>
        <w:t>(утв. постановлением Госстандарта СССР от 18 марта 1974 г. N 605)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/>
      </w:pPr>
      <w:r>
        <w:rPr>
          <w:rFonts w:cs="Arial" w:ascii="Arial" w:hAnsi="Arial"/>
          <w:b/>
          <w:bCs/>
          <w:color w:val="000080"/>
          <w:sz w:val="20"/>
          <w:szCs w:val="20"/>
          <w:lang w:val="en-US"/>
        </w:rPr>
        <w:t>Unified system for design documentation. Graphical decignations in schemes. Graphical symbols of general use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  <w:lang w:val="en-US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  <w:lang w:val="en-US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Дата введения 1 июля 1975 г.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Взамен ГОСТ 2.721-68, ГОСТ 2.783-69, ГОСТ 2.750-68, ГОСТ 2.751-73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0" w:name="sub_1"/>
      <w:bookmarkEnd w:id="0"/>
      <w:r>
        <w:rPr>
          <w:rFonts w:cs="Arial" w:ascii="Arial" w:hAnsi="Arial"/>
          <w:sz w:val="20"/>
          <w:szCs w:val="20"/>
        </w:rPr>
        <w:t>1. Настоящий стандарт устанавливает условные графические обозначения общего применения на схемах, выполняемых вручную или автоматизированным способом, изделий всех отраслей промышленности и строительства.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" w:name="sub_1"/>
      <w:bookmarkEnd w:id="1"/>
      <w:r>
        <w:rPr>
          <w:rFonts w:cs="Arial" w:ascii="Arial" w:hAnsi="Arial"/>
          <w:sz w:val="20"/>
          <w:szCs w:val="20"/>
        </w:rPr>
        <w:t>(Измененная редакция, Изм. N 1).</w:t>
      </w:r>
    </w:p>
    <w:p>
      <w:pPr>
        <w:pStyle w:val="Normal"/>
        <w:autoSpaceDE w:val="false"/>
        <w:ind w:firstLine="720"/>
        <w:jc w:val="both"/>
        <w:rPr/>
      </w:pPr>
      <w:bookmarkStart w:id="2" w:name="sub_2"/>
      <w:bookmarkEnd w:id="2"/>
      <w:r>
        <w:rPr>
          <w:rFonts w:cs="Arial" w:ascii="Arial" w:hAnsi="Arial"/>
          <w:sz w:val="20"/>
          <w:szCs w:val="20"/>
        </w:rPr>
        <w:t xml:space="preserve">2. Обозначения направлений распространения тока, сигнала, информации и потока энергии, жидкости и газа должны соответствовать приведенным в </w:t>
      </w:r>
      <w:hyperlink w:anchor="sub_2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 1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" w:name="sub_2"/>
      <w:bookmarkEnd w:id="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519680" cy="3581400"/>
            <wp:effectExtent l="0" t="0" r="0" b="0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" w:name="sub_21"/>
      <w:bookmarkEnd w:id="4"/>
      <w:r>
        <w:rPr>
          <w:rFonts w:cs="Arial" w:ascii="Arial" w:hAnsi="Arial"/>
          <w:sz w:val="20"/>
          <w:szCs w:val="20"/>
        </w:rPr>
        <w:t>"Таблица 1. Обозначения направлений распространения тока, сигнала, информации и потока энергии, жидкости и газа"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" w:name="sub_21"/>
      <w:bookmarkStart w:id="6" w:name="sub_21"/>
      <w:bookmarkEnd w:id="6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(Измененная редакция, Изм. N 2).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7" w:name="sub_3"/>
      <w:bookmarkEnd w:id="7"/>
      <w:r>
        <w:rPr>
          <w:rFonts w:cs="Arial" w:ascii="Arial" w:hAnsi="Arial"/>
          <w:sz w:val="20"/>
          <w:szCs w:val="20"/>
        </w:rPr>
        <w:t xml:space="preserve">3. Обозначения направления движения должны соответствовать приведенным в </w:t>
      </w:r>
      <w:hyperlink w:anchor="sub_3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 2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8" w:name="sub_3"/>
      <w:bookmarkEnd w:id="8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694940" cy="3581400"/>
            <wp:effectExtent l="0" t="0" r="0" b="0"/>
            <wp:docPr id="2" name="Изображение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9" w:name="sub_31"/>
      <w:bookmarkEnd w:id="9"/>
      <w:r>
        <w:rPr>
          <w:rFonts w:cs="Arial" w:ascii="Arial" w:hAnsi="Arial"/>
          <w:sz w:val="20"/>
          <w:szCs w:val="20"/>
        </w:rPr>
        <w:t>"Таблица 2. Обозначения направления движения"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0" w:name="sub_31"/>
      <w:bookmarkStart w:id="11" w:name="sub_31"/>
      <w:bookmarkEnd w:id="11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12" w:name="sub_4"/>
      <w:bookmarkEnd w:id="12"/>
      <w:r>
        <w:rPr>
          <w:rFonts w:cs="Arial" w:ascii="Arial" w:hAnsi="Arial"/>
          <w:sz w:val="20"/>
          <w:szCs w:val="20"/>
        </w:rPr>
        <w:t xml:space="preserve">4. Обозначения линий механической связи должны соответствовать приведенным в </w:t>
      </w:r>
      <w:hyperlink w:anchor="sub_4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 3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3" w:name="sub_4"/>
      <w:bookmarkEnd w:id="1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981960" cy="3581400"/>
            <wp:effectExtent l="0" t="0" r="0" b="0"/>
            <wp:docPr id="3" name="Изображение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4" w:name="sub_41"/>
      <w:bookmarkEnd w:id="14"/>
      <w:r>
        <w:rPr>
          <w:rFonts w:cs="Arial" w:ascii="Arial" w:hAnsi="Arial"/>
          <w:sz w:val="20"/>
          <w:szCs w:val="20"/>
        </w:rPr>
        <w:t>"Таблица 3. Обозначения линий механической связи"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5" w:name="sub_41"/>
      <w:bookmarkStart w:id="16" w:name="sub_41"/>
      <w:bookmarkEnd w:id="16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17" w:name="sub_5"/>
      <w:bookmarkEnd w:id="17"/>
      <w:r>
        <w:rPr>
          <w:rFonts w:cs="Arial" w:ascii="Arial" w:hAnsi="Arial"/>
          <w:sz w:val="20"/>
          <w:szCs w:val="20"/>
        </w:rPr>
        <w:t xml:space="preserve">5. Обозначения передачи движения должны соответствовать приведенным в </w:t>
      </w:r>
      <w:hyperlink w:anchor="sub_5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 4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8" w:name="sub_5"/>
      <w:bookmarkEnd w:id="18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639060" cy="3581400"/>
            <wp:effectExtent l="0" t="0" r="0" b="0"/>
            <wp:docPr id="4" name="Изображение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9" w:name="sub_51"/>
      <w:bookmarkEnd w:id="19"/>
      <w:r>
        <w:rPr>
          <w:rFonts w:cs="Arial" w:ascii="Arial" w:hAnsi="Arial"/>
          <w:sz w:val="20"/>
          <w:szCs w:val="20"/>
        </w:rPr>
        <w:t>"Таблица 4. Обозначения передачи движения"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0" w:name="sub_51"/>
      <w:bookmarkEnd w:id="20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99360" cy="3581400"/>
            <wp:effectExtent l="0" t="0" r="0" b="0"/>
            <wp:docPr id="5" name="Изображение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1" w:name="sub_52"/>
      <w:bookmarkEnd w:id="21"/>
      <w:r>
        <w:rPr>
          <w:rFonts w:cs="Arial" w:ascii="Arial" w:hAnsi="Arial"/>
          <w:sz w:val="20"/>
          <w:szCs w:val="20"/>
        </w:rPr>
        <w:t>"Таблица 4. Обозначения передачи движения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2" w:name="sub_52"/>
      <w:bookmarkEnd w:id="22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47925" cy="3581400"/>
            <wp:effectExtent l="0" t="0" r="0" b="0"/>
            <wp:docPr id="6" name="Изображение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3" w:name="sub_53"/>
      <w:bookmarkEnd w:id="23"/>
      <w:r>
        <w:rPr>
          <w:rFonts w:cs="Arial" w:ascii="Arial" w:hAnsi="Arial"/>
          <w:sz w:val="20"/>
          <w:szCs w:val="20"/>
        </w:rPr>
        <w:t>"Таблица 4. Обозначения передачи движения (продолжение)"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24" w:name="sub_53"/>
      <w:bookmarkStart w:id="25" w:name="sub_53"/>
      <w:bookmarkEnd w:id="25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4, 5. (Измененная редакция, Изм. N 1).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26" w:name="sub_6"/>
      <w:bookmarkEnd w:id="26"/>
      <w:r>
        <w:rPr>
          <w:rFonts w:cs="Arial" w:ascii="Arial" w:hAnsi="Arial"/>
          <w:sz w:val="20"/>
          <w:szCs w:val="20"/>
        </w:rPr>
        <w:t xml:space="preserve">6. Обозначения регулирования, саморегулирования и преобразования должны соответствовать приведенным в </w:t>
      </w:r>
      <w:hyperlink w:anchor="sub_6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 5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7" w:name="sub_6"/>
      <w:bookmarkEnd w:id="2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708910" cy="3581400"/>
            <wp:effectExtent l="0" t="0" r="0" b="0"/>
            <wp:docPr id="7" name="Изображение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8" w:name="sub_61"/>
      <w:bookmarkEnd w:id="28"/>
      <w:r>
        <w:rPr>
          <w:rFonts w:cs="Arial" w:ascii="Arial" w:hAnsi="Arial"/>
          <w:sz w:val="20"/>
          <w:szCs w:val="20"/>
        </w:rPr>
        <w:t>"Таблица 5. Обозначения регулирования, саморегулирования и преобразования"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9" w:name="sub_61"/>
      <w:bookmarkEnd w:id="2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508885" cy="3581400"/>
            <wp:effectExtent l="0" t="0" r="0" b="0"/>
            <wp:docPr id="8" name="Изображение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0" w:name="sub_62"/>
      <w:bookmarkEnd w:id="30"/>
      <w:r>
        <w:rPr>
          <w:rFonts w:cs="Arial" w:ascii="Arial" w:hAnsi="Arial"/>
          <w:sz w:val="20"/>
          <w:szCs w:val="20"/>
        </w:rPr>
        <w:t>"Таблица 5. Обозначения регулирования, саморегулирования и преобразования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1" w:name="sub_62"/>
      <w:bookmarkEnd w:id="3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620645" cy="3581400"/>
            <wp:effectExtent l="0" t="0" r="0" b="0"/>
            <wp:docPr id="9" name="Изображение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2" w:name="sub_63"/>
      <w:bookmarkEnd w:id="32"/>
      <w:r>
        <w:rPr>
          <w:rFonts w:cs="Arial" w:ascii="Arial" w:hAnsi="Arial"/>
          <w:sz w:val="20"/>
          <w:szCs w:val="20"/>
        </w:rPr>
        <w:t>"Таблица 5. Обозначения регулирования, саморегулирования и преобразования (продолжение)"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3" w:name="sub_63"/>
      <w:bookmarkStart w:id="34" w:name="sub_63"/>
      <w:bookmarkEnd w:id="34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(Измененная редакция, Изм. N 2, 4).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35" w:name="sub_7"/>
      <w:bookmarkEnd w:id="35"/>
      <w:r>
        <w:rPr>
          <w:rFonts w:cs="Arial" w:ascii="Arial" w:hAnsi="Arial"/>
          <w:sz w:val="20"/>
          <w:szCs w:val="20"/>
        </w:rPr>
        <w:t xml:space="preserve">7. Обозначения элементов привода и управляющих устройств должны соответствовать приведенным в </w:t>
      </w:r>
      <w:hyperlink w:anchor="sub_70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 6</w:t>
        </w:r>
      </w:hyperlink>
      <w:r>
        <w:rPr>
          <w:rFonts w:cs="Arial" w:ascii="Arial" w:hAnsi="Arial"/>
          <w:sz w:val="20"/>
          <w:szCs w:val="20"/>
        </w:rPr>
        <w:t xml:space="preserve">, общие элементы условных графических обозначений, линии для выделения и разделения частей схемы и для экранирования - в </w:t>
      </w:r>
      <w:hyperlink w:anchor="sub_70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 6а</w:t>
        </w:r>
      </w:hyperlink>
      <w:r>
        <w:rPr>
          <w:rFonts w:cs="Arial" w:ascii="Arial" w:hAnsi="Arial"/>
          <w:sz w:val="20"/>
          <w:szCs w:val="20"/>
        </w:rPr>
        <w:t xml:space="preserve">; обозначения заземления и возможных повреждений изоляции - в </w:t>
      </w:r>
      <w:hyperlink w:anchor="sub_70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 6б</w:t>
        </w:r>
      </w:hyperlink>
      <w:r>
        <w:rPr>
          <w:rFonts w:cs="Arial" w:ascii="Arial" w:hAnsi="Arial"/>
          <w:sz w:val="20"/>
          <w:szCs w:val="20"/>
        </w:rPr>
        <w:t xml:space="preserve">; обозначения электрических связей, проводов, кабелей и шин - в </w:t>
      </w:r>
      <w:hyperlink w:anchor="sub_70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 6в</w:t>
        </w:r>
      </w:hyperlink>
      <w:r>
        <w:rPr>
          <w:rFonts w:cs="Arial" w:ascii="Arial" w:hAnsi="Arial"/>
          <w:sz w:val="20"/>
          <w:szCs w:val="20"/>
        </w:rPr>
        <w:t xml:space="preserve">; обозначения рода тока и напряжения - в </w:t>
      </w:r>
      <w:hyperlink w:anchor="sub_705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 6г</w:t>
        </w:r>
      </w:hyperlink>
      <w:r>
        <w:rPr>
          <w:rFonts w:cs="Arial" w:ascii="Arial" w:hAnsi="Arial"/>
          <w:sz w:val="20"/>
          <w:szCs w:val="20"/>
        </w:rPr>
        <w:t xml:space="preserve">; обозначения видов обмоток в изделиях - в </w:t>
      </w:r>
      <w:hyperlink w:anchor="sub_706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 6д</w:t>
        </w:r>
      </w:hyperlink>
      <w:r>
        <w:rPr>
          <w:rFonts w:cs="Arial" w:ascii="Arial" w:hAnsi="Arial"/>
          <w:sz w:val="20"/>
          <w:szCs w:val="20"/>
        </w:rPr>
        <w:t xml:space="preserve">; обозначения форм импульсов - в </w:t>
      </w:r>
      <w:hyperlink w:anchor="sub_707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 6е</w:t>
        </w:r>
      </w:hyperlink>
      <w:r>
        <w:rPr>
          <w:rFonts w:cs="Arial" w:ascii="Arial" w:hAnsi="Arial"/>
          <w:sz w:val="20"/>
          <w:szCs w:val="20"/>
        </w:rPr>
        <w:t xml:space="preserve">; обозначения сигналов - в </w:t>
      </w:r>
      <w:hyperlink w:anchor="sub_708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 6ж</w:t>
        </w:r>
      </w:hyperlink>
      <w:r>
        <w:rPr>
          <w:rFonts w:cs="Arial" w:ascii="Arial" w:hAnsi="Arial"/>
          <w:sz w:val="20"/>
          <w:szCs w:val="20"/>
        </w:rPr>
        <w:t xml:space="preserve">; обозначения видов модуляции - в </w:t>
      </w:r>
      <w:hyperlink w:anchor="sub_709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 6з</w:t>
        </w:r>
      </w:hyperlink>
      <w:r>
        <w:rPr>
          <w:rFonts w:cs="Arial" w:ascii="Arial" w:hAnsi="Arial"/>
          <w:sz w:val="20"/>
          <w:szCs w:val="20"/>
        </w:rPr>
        <w:t xml:space="preserve">; обозначения появления реакций при достижении определенных величин - в </w:t>
      </w:r>
      <w:hyperlink w:anchor="sub_71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 6и</w:t>
        </w:r>
      </w:hyperlink>
      <w:r>
        <w:rPr>
          <w:rFonts w:cs="Arial" w:ascii="Arial" w:hAnsi="Arial"/>
          <w:sz w:val="20"/>
          <w:szCs w:val="20"/>
        </w:rPr>
        <w:t xml:space="preserve">; обозначения веществ (сред) - в </w:t>
      </w:r>
      <w:hyperlink w:anchor="sub_71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 6к</w:t>
        </w:r>
      </w:hyperlink>
      <w:r>
        <w:rPr>
          <w:rFonts w:cs="Arial" w:ascii="Arial" w:hAnsi="Arial"/>
          <w:sz w:val="20"/>
          <w:szCs w:val="20"/>
        </w:rPr>
        <w:t xml:space="preserve">; обозначение воздействий, эффектов, зависимостей - в </w:t>
      </w:r>
      <w:hyperlink w:anchor="sub_71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 6л</w:t>
        </w:r>
      </w:hyperlink>
      <w:r>
        <w:rPr>
          <w:rFonts w:cs="Arial" w:ascii="Arial" w:hAnsi="Arial"/>
          <w:sz w:val="20"/>
          <w:szCs w:val="20"/>
        </w:rPr>
        <w:t xml:space="preserve">; обозначения излучений - в </w:t>
      </w:r>
      <w:hyperlink w:anchor="sub_71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 6м</w:t>
        </w:r>
      </w:hyperlink>
      <w:r>
        <w:rPr>
          <w:rFonts w:cs="Arial" w:ascii="Arial" w:hAnsi="Arial"/>
          <w:sz w:val="20"/>
          <w:szCs w:val="20"/>
        </w:rPr>
        <w:t xml:space="preserve">; обозначения прочих квалифицирующих символов - в </w:t>
      </w:r>
      <w:hyperlink w:anchor="sub_714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 6н</w:t>
        </w:r>
      </w:hyperlink>
      <w:r>
        <w:rPr>
          <w:rFonts w:cs="Arial" w:ascii="Arial" w:hAnsi="Arial"/>
          <w:sz w:val="20"/>
          <w:szCs w:val="20"/>
        </w:rPr>
        <w:t xml:space="preserve">; обозначения, выполняемые на алфавитно-цифровых печатающих устройствах, - в </w:t>
      </w:r>
      <w:hyperlink w:anchor="sub_715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 6о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6" w:name="sub_7"/>
      <w:bookmarkStart w:id="37" w:name="sub_7"/>
      <w:bookmarkEnd w:id="37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8" w:name="sub_701"/>
      <w:bookmarkEnd w:id="38"/>
      <w:r>
        <w:rPr>
          <w:rFonts w:cs="Arial" w:ascii="Arial" w:hAnsi="Arial"/>
          <w:b/>
          <w:bCs/>
          <w:color w:val="000080"/>
          <w:sz w:val="20"/>
          <w:szCs w:val="20"/>
        </w:rPr>
        <w:t>Таблица 6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39" w:name="sub_701"/>
      <w:bookmarkEnd w:id="3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132580" cy="3581400"/>
            <wp:effectExtent l="0" t="0" r="0" b="0"/>
            <wp:docPr id="10" name="Изображение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0" w:name="sub_7011"/>
      <w:bookmarkEnd w:id="40"/>
      <w:r>
        <w:rPr>
          <w:rFonts w:cs="Arial" w:ascii="Arial" w:hAnsi="Arial"/>
          <w:sz w:val="20"/>
          <w:szCs w:val="20"/>
        </w:rPr>
        <w:t>"Таблица 6. Обозначения элементов привода и управляющих устройств"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1" w:name="sub_7011"/>
      <w:bookmarkEnd w:id="4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86025" cy="3581400"/>
            <wp:effectExtent l="0" t="0" r="0" b="0"/>
            <wp:docPr id="11" name="Изображение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 titl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2" w:name="sub_7012"/>
      <w:bookmarkEnd w:id="42"/>
      <w:r>
        <w:rPr>
          <w:rFonts w:cs="Arial" w:ascii="Arial" w:hAnsi="Arial"/>
          <w:sz w:val="20"/>
          <w:szCs w:val="20"/>
        </w:rPr>
        <w:t>"Таблица 6. Обозначения элементов привода и управляющих устройств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3" w:name="sub_7012"/>
      <w:bookmarkEnd w:id="4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54275" cy="3581400"/>
            <wp:effectExtent l="0" t="0" r="0" b="0"/>
            <wp:docPr id="12" name="Изображение1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 titl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4" w:name="sub_7013"/>
      <w:bookmarkEnd w:id="44"/>
      <w:r>
        <w:rPr>
          <w:rFonts w:cs="Arial" w:ascii="Arial" w:hAnsi="Arial"/>
          <w:sz w:val="20"/>
          <w:szCs w:val="20"/>
        </w:rPr>
        <w:t>"Таблица 6. Обозначения элементов привода и управляющих устройств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5" w:name="sub_7013"/>
      <w:bookmarkEnd w:id="4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47290" cy="3581400"/>
            <wp:effectExtent l="0" t="0" r="0" b="0"/>
            <wp:docPr id="13" name="Изображение1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 titl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6" w:name="sub_7014"/>
      <w:bookmarkEnd w:id="46"/>
      <w:r>
        <w:rPr>
          <w:rFonts w:cs="Arial" w:ascii="Arial" w:hAnsi="Arial"/>
          <w:sz w:val="20"/>
          <w:szCs w:val="20"/>
        </w:rPr>
        <w:t>"Таблица 6. Обозначения элементов привода и управляющих устройств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7" w:name="sub_7014"/>
      <w:bookmarkEnd w:id="4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71420" cy="3581400"/>
            <wp:effectExtent l="0" t="0" r="0" b="0"/>
            <wp:docPr id="14" name="Изображение1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8" w:name="sub_7015"/>
      <w:bookmarkEnd w:id="48"/>
      <w:r>
        <w:rPr>
          <w:rFonts w:cs="Arial" w:ascii="Arial" w:hAnsi="Arial"/>
          <w:sz w:val="20"/>
          <w:szCs w:val="20"/>
        </w:rPr>
        <w:t>"Таблица 6. Обозначения элементов привода и управляющих устройств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9" w:name="sub_7015"/>
      <w:bookmarkEnd w:id="4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78405" cy="3581400"/>
            <wp:effectExtent l="0" t="0" r="0" b="0"/>
            <wp:docPr id="15" name="Изображение1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 descr="" titl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50" w:name="sub_7016"/>
      <w:bookmarkEnd w:id="50"/>
      <w:r>
        <w:rPr>
          <w:rFonts w:cs="Arial" w:ascii="Arial" w:hAnsi="Arial"/>
          <w:sz w:val="20"/>
          <w:szCs w:val="20"/>
        </w:rPr>
        <w:t>"Таблица 6. Обозначения элементов привода и управляющих устройств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51" w:name="sub_7016"/>
      <w:bookmarkEnd w:id="5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28875" cy="3581400"/>
            <wp:effectExtent l="0" t="0" r="0" b="0"/>
            <wp:docPr id="16" name="Изображение1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 descr="" titl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52" w:name="sub_7017"/>
      <w:bookmarkEnd w:id="52"/>
      <w:r>
        <w:rPr>
          <w:rFonts w:cs="Arial" w:ascii="Arial" w:hAnsi="Arial"/>
          <w:sz w:val="20"/>
          <w:szCs w:val="20"/>
        </w:rPr>
        <w:t>"Таблица 6. Обозначения элементов привода и управляющих устройств (продолжение)"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3" w:name="sub_7017"/>
      <w:bookmarkStart w:id="54" w:name="sub_7017"/>
      <w:bookmarkEnd w:id="54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55" w:name="sub_702"/>
      <w:bookmarkEnd w:id="55"/>
      <w:r>
        <w:rPr>
          <w:rFonts w:cs="Arial" w:ascii="Arial" w:hAnsi="Arial"/>
          <w:b/>
          <w:bCs/>
          <w:color w:val="000080"/>
          <w:sz w:val="20"/>
          <w:szCs w:val="20"/>
        </w:rPr>
        <w:t>Таблица 6а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56" w:name="sub_702"/>
      <w:bookmarkEnd w:id="56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84755" cy="3581400"/>
            <wp:effectExtent l="0" t="0" r="0" b="0"/>
            <wp:docPr id="17" name="Изображение1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 descr="" titl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57" w:name="sub_7021"/>
      <w:bookmarkEnd w:id="57"/>
      <w:r>
        <w:rPr>
          <w:rFonts w:cs="Arial" w:ascii="Arial" w:hAnsi="Arial"/>
          <w:sz w:val="20"/>
          <w:szCs w:val="20"/>
        </w:rPr>
        <w:t>"Таблица 6а. Общие элементы условных графических обозначений, линии для выделения и разделения частей схемы и для экранирования"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58" w:name="sub_7021"/>
      <w:bookmarkEnd w:id="58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7325360" cy="3581400"/>
            <wp:effectExtent l="0" t="0" r="0" b="0"/>
            <wp:docPr id="18" name="Изображение1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 descr="" titl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36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59" w:name="sub_7022"/>
      <w:bookmarkEnd w:id="59"/>
      <w:r>
        <w:rPr>
          <w:rFonts w:cs="Arial" w:ascii="Arial" w:hAnsi="Arial"/>
          <w:sz w:val="20"/>
          <w:szCs w:val="20"/>
        </w:rPr>
        <w:t>"Таблица 6а. Общие элементы условных графических обозначений, линии для выделения и разделения частей схемы и для экранирования (продолжение)"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60" w:name="sub_7022"/>
      <w:bookmarkStart w:id="61" w:name="sub_7022"/>
      <w:bookmarkEnd w:id="61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62" w:name="sub_703"/>
      <w:bookmarkEnd w:id="62"/>
      <w:r>
        <w:rPr>
          <w:rFonts w:cs="Arial" w:ascii="Arial" w:hAnsi="Arial"/>
          <w:b/>
          <w:bCs/>
          <w:color w:val="000080"/>
          <w:sz w:val="20"/>
          <w:szCs w:val="20"/>
        </w:rPr>
        <w:t>Таблица 6б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63" w:name="sub_703"/>
      <w:bookmarkEnd w:id="6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644900" cy="3581400"/>
            <wp:effectExtent l="0" t="0" r="0" b="0"/>
            <wp:docPr id="19" name="Изображение1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9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64" w:name="sub_7031"/>
      <w:bookmarkEnd w:id="64"/>
      <w:r>
        <w:rPr>
          <w:rFonts w:cs="Arial" w:ascii="Arial" w:hAnsi="Arial"/>
          <w:sz w:val="20"/>
          <w:szCs w:val="20"/>
        </w:rPr>
        <w:t>"Таблица 6б. Обозначения заземления и возможных повреждений изоляции"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65" w:name="sub_7031"/>
      <w:bookmarkEnd w:id="6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5649595" cy="3581400"/>
            <wp:effectExtent l="0" t="0" r="0" b="0"/>
            <wp:docPr id="20" name="Изображение2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0" descr="" titl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66" w:name="sub_7032"/>
      <w:bookmarkEnd w:id="66"/>
      <w:r>
        <w:rPr>
          <w:rFonts w:cs="Arial" w:ascii="Arial" w:hAnsi="Arial"/>
          <w:sz w:val="20"/>
          <w:szCs w:val="20"/>
        </w:rPr>
        <w:t>"Таблица 6б. Обозначения заземления и возможных повреждений изоляции (продолжение)"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67" w:name="sub_7032"/>
      <w:bookmarkStart w:id="68" w:name="sub_7032"/>
      <w:bookmarkEnd w:id="68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69" w:name="sub_704"/>
      <w:bookmarkEnd w:id="69"/>
      <w:r>
        <w:rPr>
          <w:rFonts w:cs="Arial" w:ascii="Arial" w:hAnsi="Arial"/>
          <w:b/>
          <w:bCs/>
          <w:color w:val="000080"/>
          <w:sz w:val="20"/>
          <w:szCs w:val="20"/>
        </w:rPr>
        <w:t>Таблица 6в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70" w:name="sub_704"/>
      <w:bookmarkEnd w:id="70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347210" cy="3581400"/>
            <wp:effectExtent l="0" t="0" r="0" b="0"/>
            <wp:docPr id="21" name="Изображение2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1" descr="" titl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71" w:name="sub_7041"/>
      <w:bookmarkEnd w:id="71"/>
      <w:r>
        <w:rPr>
          <w:rFonts w:cs="Arial" w:ascii="Arial" w:hAnsi="Arial"/>
          <w:sz w:val="20"/>
          <w:szCs w:val="20"/>
        </w:rPr>
        <w:t>"Таблица 6в. Обозначения электрических связей, проводов, кабелей и шин"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72" w:name="sub_7041"/>
      <w:bookmarkEnd w:id="72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25065" cy="3581400"/>
            <wp:effectExtent l="0" t="0" r="0" b="0"/>
            <wp:docPr id="22" name="Изображение2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22" descr="" titl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73" w:name="sub_7042"/>
      <w:bookmarkEnd w:id="73"/>
      <w:r>
        <w:rPr>
          <w:rFonts w:cs="Arial" w:ascii="Arial" w:hAnsi="Arial"/>
          <w:sz w:val="20"/>
          <w:szCs w:val="20"/>
        </w:rPr>
        <w:t>"Таблица 6в. Обозначения электрических связей, проводов, кабелей и шин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74" w:name="sub_7042"/>
      <w:bookmarkEnd w:id="74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13635" cy="3581400"/>
            <wp:effectExtent l="0" t="0" r="0" b="0"/>
            <wp:docPr id="23" name="Изображение2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23" descr="" titl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75" w:name="sub_7043"/>
      <w:bookmarkEnd w:id="75"/>
      <w:r>
        <w:rPr>
          <w:rFonts w:cs="Arial" w:ascii="Arial" w:hAnsi="Arial"/>
          <w:sz w:val="20"/>
          <w:szCs w:val="20"/>
        </w:rPr>
        <w:t>"Таблица 6в. Обозначения электрических связей, проводов, кабелей и шин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76" w:name="sub_7043"/>
      <w:bookmarkEnd w:id="76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42210" cy="3581400"/>
            <wp:effectExtent l="0" t="0" r="0" b="0"/>
            <wp:docPr id="24" name="Изображение2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24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77" w:name="sub_7044"/>
      <w:bookmarkEnd w:id="77"/>
      <w:r>
        <w:rPr>
          <w:rFonts w:cs="Arial" w:ascii="Arial" w:hAnsi="Arial"/>
          <w:sz w:val="20"/>
          <w:szCs w:val="20"/>
        </w:rPr>
        <w:t>"Таблица 6в. Обозначения электрических связей, проводов, кабелей и шин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78" w:name="sub_7044"/>
      <w:bookmarkEnd w:id="78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519045" cy="3581400"/>
            <wp:effectExtent l="0" t="0" r="0" b="0"/>
            <wp:docPr id="25" name="Изображение2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25" descr="" titl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79" w:name="sub_7045"/>
      <w:bookmarkEnd w:id="79"/>
      <w:r>
        <w:rPr>
          <w:rFonts w:cs="Arial" w:ascii="Arial" w:hAnsi="Arial"/>
          <w:sz w:val="20"/>
          <w:szCs w:val="20"/>
        </w:rPr>
        <w:t>"Таблица 6в. Обозначения электрических связей, проводов, кабелей и шин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80" w:name="sub_7045"/>
      <w:bookmarkEnd w:id="80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38400" cy="3581400"/>
            <wp:effectExtent l="0" t="0" r="0" b="0"/>
            <wp:docPr id="26" name="Изображение2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26" descr="" title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81" w:name="sub_7046"/>
      <w:bookmarkEnd w:id="81"/>
      <w:r>
        <w:rPr>
          <w:rFonts w:cs="Arial" w:ascii="Arial" w:hAnsi="Arial"/>
          <w:sz w:val="20"/>
          <w:szCs w:val="20"/>
        </w:rPr>
        <w:t>"Таблица 6в. Обозначения электрических связей, проводов, кабелей и шин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82" w:name="sub_7046"/>
      <w:bookmarkEnd w:id="82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46020" cy="3581400"/>
            <wp:effectExtent l="0" t="0" r="0" b="0"/>
            <wp:docPr id="27" name="Изображение2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27" descr="" title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83" w:name="sub_7047"/>
      <w:bookmarkEnd w:id="83"/>
      <w:r>
        <w:rPr>
          <w:rFonts w:cs="Arial" w:ascii="Arial" w:hAnsi="Arial"/>
          <w:sz w:val="20"/>
          <w:szCs w:val="20"/>
        </w:rPr>
        <w:t>"Таблица 6в. Обозначения электрических связей, проводов, кабелей и шин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84" w:name="sub_7047"/>
      <w:bookmarkEnd w:id="84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78405" cy="3581400"/>
            <wp:effectExtent l="0" t="0" r="0" b="0"/>
            <wp:docPr id="28" name="Изображение2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28" descr="" title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85" w:name="sub_7048"/>
      <w:bookmarkEnd w:id="85"/>
      <w:r>
        <w:rPr>
          <w:rFonts w:cs="Arial" w:ascii="Arial" w:hAnsi="Arial"/>
          <w:sz w:val="20"/>
          <w:szCs w:val="20"/>
        </w:rPr>
        <w:t>"Таблица 6в. Обозначения электрических связей, проводов, кабелей и шин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86" w:name="sub_7048"/>
      <w:bookmarkEnd w:id="86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142740" cy="3581400"/>
            <wp:effectExtent l="0" t="0" r="0" b="0"/>
            <wp:docPr id="29" name="Изображение2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29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87" w:name="sub_7049"/>
      <w:bookmarkEnd w:id="87"/>
      <w:r>
        <w:rPr>
          <w:rFonts w:cs="Arial" w:ascii="Arial" w:hAnsi="Arial"/>
          <w:sz w:val="20"/>
          <w:szCs w:val="20"/>
        </w:rPr>
        <w:t>"Таблица 6в. Обозначения электрических связей, проводов, кабелей и шин (продолжение)"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88" w:name="sub_7049"/>
      <w:bookmarkStart w:id="89" w:name="sub_7049"/>
      <w:bookmarkEnd w:id="89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Примечание.</w:t>
      </w:r>
      <w:r>
        <w:rPr>
          <w:rFonts w:cs="Arial" w:ascii="Arial" w:hAnsi="Arial"/>
          <w:sz w:val="20"/>
          <w:szCs w:val="20"/>
        </w:rPr>
        <w:t xml:space="preserve"> При выполнении схем автоматизированным способом допускается точки ответвления не зачернять.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90" w:name="sub_705"/>
      <w:bookmarkEnd w:id="90"/>
      <w:r>
        <w:rPr>
          <w:rFonts w:cs="Arial" w:ascii="Arial" w:hAnsi="Arial"/>
          <w:b/>
          <w:bCs/>
          <w:color w:val="000080"/>
          <w:sz w:val="20"/>
          <w:szCs w:val="20"/>
        </w:rPr>
        <w:t>Таблица 6г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91" w:name="sub_705"/>
      <w:bookmarkEnd w:id="9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6907530" cy="3581400"/>
            <wp:effectExtent l="0" t="0" r="0" b="0"/>
            <wp:docPr id="30" name="Изображение3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30" descr="" title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3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92" w:name="sub_7051"/>
      <w:bookmarkEnd w:id="92"/>
      <w:r>
        <w:rPr>
          <w:rFonts w:cs="Arial" w:ascii="Arial" w:hAnsi="Arial"/>
          <w:sz w:val="20"/>
          <w:szCs w:val="20"/>
        </w:rPr>
        <w:t>"Таблица 6г. Обозначения рода тока и напряжения"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93" w:name="sub_7051"/>
      <w:bookmarkEnd w:id="9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65705" cy="3581400"/>
            <wp:effectExtent l="0" t="0" r="0" b="0"/>
            <wp:docPr id="31" name="Изображение3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31" descr="" title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94" w:name="sub_7052"/>
      <w:bookmarkEnd w:id="94"/>
      <w:r>
        <w:rPr>
          <w:rFonts w:cs="Arial" w:ascii="Arial" w:hAnsi="Arial"/>
          <w:sz w:val="20"/>
          <w:szCs w:val="20"/>
        </w:rPr>
        <w:t>"Таблица 6г. Обозначения рода тока и напряжения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95" w:name="sub_7052"/>
      <w:bookmarkEnd w:id="9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6120765" cy="3581400"/>
            <wp:effectExtent l="0" t="0" r="0" b="0"/>
            <wp:docPr id="32" name="Изображение3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32" descr="" title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96" w:name="sub_7053"/>
      <w:bookmarkEnd w:id="96"/>
      <w:r>
        <w:rPr>
          <w:rFonts w:cs="Arial" w:ascii="Arial" w:hAnsi="Arial"/>
          <w:sz w:val="20"/>
          <w:szCs w:val="20"/>
        </w:rPr>
        <w:t>"Таблица 6г. Обозначения рода тока и напряжения (продолжение)"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97" w:name="sub_7053"/>
      <w:bookmarkStart w:id="98" w:name="sub_7053"/>
      <w:bookmarkEnd w:id="98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99" w:name="sub_706"/>
      <w:bookmarkEnd w:id="99"/>
      <w:r>
        <w:rPr>
          <w:rFonts w:cs="Arial" w:ascii="Arial" w:hAnsi="Arial"/>
          <w:b/>
          <w:bCs/>
          <w:color w:val="000080"/>
          <w:sz w:val="20"/>
          <w:szCs w:val="20"/>
        </w:rPr>
        <w:t>Таблица 6д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00" w:name="sub_706"/>
      <w:bookmarkEnd w:id="100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21455" cy="3581400"/>
            <wp:effectExtent l="0" t="0" r="0" b="0"/>
            <wp:docPr id="33" name="Изображение3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33" descr="" title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01" w:name="sub_7061"/>
      <w:bookmarkEnd w:id="101"/>
      <w:r>
        <w:rPr>
          <w:rFonts w:cs="Arial" w:ascii="Arial" w:hAnsi="Arial"/>
          <w:sz w:val="20"/>
          <w:szCs w:val="20"/>
        </w:rPr>
        <w:t>"Таблица 6д. Обозначения видов обмоток в изделиях"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02" w:name="sub_7061"/>
      <w:bookmarkEnd w:id="102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92375" cy="3581400"/>
            <wp:effectExtent l="0" t="0" r="0" b="0"/>
            <wp:docPr id="34" name="Изображение3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34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03" w:name="sub_7062"/>
      <w:bookmarkEnd w:id="103"/>
      <w:r>
        <w:rPr>
          <w:rFonts w:cs="Arial" w:ascii="Arial" w:hAnsi="Arial"/>
          <w:sz w:val="20"/>
          <w:szCs w:val="20"/>
        </w:rPr>
        <w:t>"Таблица 6д. Обозначения видов обмоток в изделиях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04" w:name="sub_7062"/>
      <w:bookmarkEnd w:id="104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528570" cy="3581400"/>
            <wp:effectExtent l="0" t="0" r="0" b="0"/>
            <wp:docPr id="35" name="Изображение3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35" descr="" title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05" w:name="sub_7063"/>
      <w:bookmarkEnd w:id="105"/>
      <w:r>
        <w:rPr>
          <w:rFonts w:cs="Arial" w:ascii="Arial" w:hAnsi="Arial"/>
          <w:sz w:val="20"/>
          <w:szCs w:val="20"/>
        </w:rPr>
        <w:t>"Таблица 6д. Обозначения видов обмоток в изделиях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06" w:name="sub_7063"/>
      <w:bookmarkEnd w:id="106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3262630"/>
            <wp:effectExtent l="0" t="0" r="0" b="0"/>
            <wp:docPr id="36" name="Изображение3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36" descr="" title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07" w:name="sub_7064"/>
      <w:bookmarkEnd w:id="107"/>
      <w:r>
        <w:rPr>
          <w:rFonts w:cs="Arial" w:ascii="Arial" w:hAnsi="Arial"/>
          <w:sz w:val="20"/>
          <w:szCs w:val="20"/>
        </w:rPr>
        <w:t>"Таблица 6д. Обозначения видов обмоток в изделиях (продолжение)"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08" w:name="sub_7064"/>
      <w:bookmarkStart w:id="109" w:name="sub_7064"/>
      <w:bookmarkEnd w:id="109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10" w:name="sub_707"/>
      <w:bookmarkEnd w:id="110"/>
      <w:r>
        <w:rPr>
          <w:rFonts w:cs="Arial" w:ascii="Arial" w:hAnsi="Arial"/>
          <w:b/>
          <w:bCs/>
          <w:color w:val="000080"/>
          <w:sz w:val="20"/>
          <w:szCs w:val="20"/>
        </w:rPr>
        <w:t>Таблица 6е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11" w:name="sub_707"/>
      <w:bookmarkEnd w:id="11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477895" cy="3581400"/>
            <wp:effectExtent l="0" t="0" r="0" b="0"/>
            <wp:docPr id="37" name="Изображение3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37" descr="" title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12" w:name="sub_7071"/>
      <w:bookmarkEnd w:id="112"/>
      <w:r>
        <w:rPr>
          <w:rFonts w:cs="Arial" w:ascii="Arial" w:hAnsi="Arial"/>
          <w:sz w:val="20"/>
          <w:szCs w:val="20"/>
        </w:rPr>
        <w:t>"Таблица 6е. Обозначения форм импульсов"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13" w:name="sub_7071"/>
      <w:bookmarkEnd w:id="11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5151120" cy="3581400"/>
            <wp:effectExtent l="0" t="0" r="0" b="0"/>
            <wp:docPr id="38" name="Изображение3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38" descr="" title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14" w:name="sub_7072"/>
      <w:bookmarkEnd w:id="114"/>
      <w:r>
        <w:rPr>
          <w:rFonts w:cs="Arial" w:ascii="Arial" w:hAnsi="Arial"/>
          <w:sz w:val="20"/>
          <w:szCs w:val="20"/>
        </w:rPr>
        <w:t>"Таблица 6е. Обозначения форм импульсов (продолжение)"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15" w:name="sub_7072"/>
      <w:bookmarkStart w:id="116" w:name="sub_7072"/>
      <w:bookmarkEnd w:id="116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Примечание.</w:t>
      </w:r>
      <w:r>
        <w:rPr>
          <w:rFonts w:cs="Arial" w:ascii="Arial" w:hAnsi="Arial"/>
          <w:sz w:val="20"/>
          <w:szCs w:val="20"/>
        </w:rPr>
        <w:t xml:space="preserve"> Квалифицирующие символы являются упрощенным воспроизведением форм осциллограмм соответствующих импульсов.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17" w:name="sub_708"/>
      <w:bookmarkEnd w:id="117"/>
      <w:r>
        <w:rPr>
          <w:rFonts w:cs="Arial" w:ascii="Arial" w:hAnsi="Arial"/>
          <w:b/>
          <w:bCs/>
          <w:color w:val="000080"/>
          <w:sz w:val="20"/>
          <w:szCs w:val="20"/>
        </w:rPr>
        <w:t>Таблица 6ж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18" w:name="sub_708"/>
      <w:bookmarkEnd w:id="118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5333365" cy="3581400"/>
            <wp:effectExtent l="0" t="0" r="0" b="0"/>
            <wp:docPr id="39" name="Изображение3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3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6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"Таблица 6ж. Обозначения сигналов"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19" w:name="sub_709"/>
      <w:bookmarkEnd w:id="119"/>
      <w:r>
        <w:rPr>
          <w:rFonts w:cs="Arial" w:ascii="Arial" w:hAnsi="Arial"/>
          <w:b/>
          <w:bCs/>
          <w:color w:val="000080"/>
          <w:sz w:val="20"/>
          <w:szCs w:val="20"/>
        </w:rPr>
        <w:t>Таблица 6з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20" w:name="sub_709"/>
      <w:bookmarkEnd w:id="120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541905" cy="3581400"/>
            <wp:effectExtent l="0" t="0" r="0" b="0"/>
            <wp:docPr id="40" name="Изображение4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40" descr="" title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"Таблица 6з. Обозначения видов модуляции"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21" w:name="sub_710"/>
      <w:bookmarkEnd w:id="121"/>
      <w:r>
        <w:rPr>
          <w:rFonts w:cs="Arial" w:ascii="Arial" w:hAnsi="Arial"/>
          <w:b/>
          <w:bCs/>
          <w:color w:val="000080"/>
          <w:sz w:val="20"/>
          <w:szCs w:val="20"/>
        </w:rPr>
        <w:t>Таблица 6и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22" w:name="sub_710"/>
      <w:bookmarkEnd w:id="122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531110" cy="3581400"/>
            <wp:effectExtent l="0" t="0" r="0" b="0"/>
            <wp:docPr id="41" name="Изображение4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41" descr="" title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23" w:name="sub_7101"/>
      <w:bookmarkEnd w:id="123"/>
      <w:r>
        <w:rPr>
          <w:rFonts w:cs="Arial" w:ascii="Arial" w:hAnsi="Arial"/>
          <w:sz w:val="20"/>
          <w:szCs w:val="20"/>
        </w:rPr>
        <w:t>"Таблица 6и. Обозначения появления реакций при достижении определенных величин"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24" w:name="sub_7101"/>
      <w:bookmarkEnd w:id="124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486140" cy="3581400"/>
            <wp:effectExtent l="0" t="0" r="0" b="0"/>
            <wp:docPr id="42" name="Изображение4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42" descr="" title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14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25" w:name="sub_7102"/>
      <w:bookmarkEnd w:id="125"/>
      <w:r>
        <w:rPr>
          <w:rFonts w:cs="Arial" w:ascii="Arial" w:hAnsi="Arial"/>
          <w:sz w:val="20"/>
          <w:szCs w:val="20"/>
        </w:rPr>
        <w:t>"Таблица 6и. Обозначения появления реакций при достижении определенных величин (продолжение)"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26" w:name="sub_7102"/>
      <w:bookmarkStart w:id="127" w:name="sub_7102"/>
      <w:bookmarkEnd w:id="127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28" w:name="sub_711"/>
      <w:bookmarkEnd w:id="128"/>
      <w:r>
        <w:rPr>
          <w:rFonts w:cs="Arial" w:ascii="Arial" w:hAnsi="Arial"/>
          <w:b/>
          <w:bCs/>
          <w:color w:val="000080"/>
          <w:sz w:val="20"/>
          <w:szCs w:val="20"/>
        </w:rPr>
        <w:t>Таблица 6к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29" w:name="sub_711"/>
      <w:bookmarkEnd w:id="12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347085" cy="3581400"/>
            <wp:effectExtent l="0" t="0" r="0" b="0"/>
            <wp:docPr id="43" name="Изображение4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43" descr="" title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"Таблица 6к. Обозначения веществ (сред)"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30" w:name="sub_712"/>
      <w:bookmarkEnd w:id="130"/>
      <w:r>
        <w:rPr>
          <w:rFonts w:cs="Arial" w:ascii="Arial" w:hAnsi="Arial"/>
          <w:b/>
          <w:bCs/>
          <w:color w:val="000080"/>
          <w:sz w:val="20"/>
          <w:szCs w:val="20"/>
        </w:rPr>
        <w:t>Таблица 6л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31" w:name="sub_712"/>
      <w:bookmarkEnd w:id="13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72690" cy="3581400"/>
            <wp:effectExtent l="0" t="0" r="0" b="0"/>
            <wp:docPr id="44" name="Изображение4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44" descr="" title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"Таблица 6л. Обозначение воздействий, эффектов, зависимостей"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32" w:name="sub_713"/>
      <w:bookmarkEnd w:id="132"/>
      <w:r>
        <w:rPr>
          <w:rFonts w:cs="Arial" w:ascii="Arial" w:hAnsi="Arial"/>
          <w:b/>
          <w:bCs/>
          <w:color w:val="000080"/>
          <w:sz w:val="20"/>
          <w:szCs w:val="20"/>
        </w:rPr>
        <w:t>Таблица 6м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33" w:name="sub_713"/>
      <w:bookmarkEnd w:id="13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15540" cy="3581400"/>
            <wp:effectExtent l="0" t="0" r="0" b="0"/>
            <wp:docPr id="45" name="Изображение4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45" descr="" title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34" w:name="sub_7131"/>
      <w:bookmarkEnd w:id="134"/>
      <w:r>
        <w:rPr>
          <w:rFonts w:cs="Arial" w:ascii="Arial" w:hAnsi="Arial"/>
          <w:sz w:val="20"/>
          <w:szCs w:val="20"/>
        </w:rPr>
        <w:t>"Таблица 6м. Обозначения излучений"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35" w:name="sub_7131"/>
      <w:bookmarkEnd w:id="13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5335270" cy="3581400"/>
            <wp:effectExtent l="0" t="0" r="0" b="0"/>
            <wp:docPr id="46" name="Изображение4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46" descr="" title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36" w:name="sub_7132"/>
      <w:bookmarkEnd w:id="136"/>
      <w:r>
        <w:rPr>
          <w:rFonts w:cs="Arial" w:ascii="Arial" w:hAnsi="Arial"/>
          <w:sz w:val="20"/>
          <w:szCs w:val="20"/>
        </w:rPr>
        <w:t>"Таблица 6м. Обозначения излучений (продолжение)"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37" w:name="sub_7132"/>
      <w:bookmarkStart w:id="138" w:name="sub_7132"/>
      <w:bookmarkEnd w:id="138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39" w:name="sub_714"/>
      <w:bookmarkEnd w:id="139"/>
      <w:r>
        <w:rPr>
          <w:rFonts w:cs="Arial" w:ascii="Arial" w:hAnsi="Arial"/>
          <w:b/>
          <w:bCs/>
          <w:color w:val="000080"/>
          <w:sz w:val="20"/>
          <w:szCs w:val="20"/>
        </w:rPr>
        <w:t>Таблица 6н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40" w:name="sub_714"/>
      <w:bookmarkEnd w:id="140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486275" cy="3581400"/>
            <wp:effectExtent l="0" t="0" r="0" b="0"/>
            <wp:docPr id="47" name="Изображение4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47" descr="" title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41" w:name="sub_7141"/>
      <w:bookmarkEnd w:id="141"/>
      <w:r>
        <w:rPr>
          <w:rFonts w:cs="Arial" w:ascii="Arial" w:hAnsi="Arial"/>
          <w:sz w:val="20"/>
          <w:szCs w:val="20"/>
        </w:rPr>
        <w:t>"Таблица 6н. Обозначения прочих квалифицирующих символов"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42" w:name="sub_7141"/>
      <w:bookmarkEnd w:id="142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626485" cy="3581400"/>
            <wp:effectExtent l="0" t="0" r="0" b="0"/>
            <wp:docPr id="48" name="Изображение4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48" descr="" title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43" w:name="sub_7142"/>
      <w:bookmarkEnd w:id="143"/>
      <w:r>
        <w:rPr>
          <w:rFonts w:cs="Arial" w:ascii="Arial" w:hAnsi="Arial"/>
          <w:sz w:val="20"/>
          <w:szCs w:val="20"/>
        </w:rPr>
        <w:t>"Таблица 6н. Обозначения прочих квалифицирующих символов (продолжение)"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44" w:name="sub_7142"/>
      <w:bookmarkStart w:id="145" w:name="sub_7142"/>
      <w:bookmarkEnd w:id="145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46" w:name="sub_715"/>
      <w:bookmarkEnd w:id="146"/>
      <w:r>
        <w:rPr>
          <w:rFonts w:cs="Arial" w:ascii="Arial" w:hAnsi="Arial"/>
          <w:b/>
          <w:bCs/>
          <w:color w:val="000080"/>
          <w:sz w:val="20"/>
          <w:szCs w:val="20"/>
        </w:rPr>
        <w:t>Таблица 6о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47" w:name="sub_715"/>
      <w:bookmarkEnd w:id="14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7873365" cy="3581400"/>
            <wp:effectExtent l="0" t="0" r="0" b="0"/>
            <wp:docPr id="49" name="Изображение4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49" descr="" title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36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48" w:name="sub_7151"/>
      <w:bookmarkEnd w:id="148"/>
      <w:r>
        <w:rPr>
          <w:rFonts w:cs="Arial" w:ascii="Arial" w:hAnsi="Arial"/>
          <w:sz w:val="20"/>
          <w:szCs w:val="20"/>
        </w:rPr>
        <w:t>"Таблица 6о. Обозначения, выполняемые на алфавитно-цифровых печатающих устройствах"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49" w:name="sub_7151"/>
      <w:bookmarkEnd w:id="14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35225" cy="3581400"/>
            <wp:effectExtent l="0" t="0" r="0" b="0"/>
            <wp:docPr id="50" name="Изображение5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50" descr="" title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0" w:name="sub_7152"/>
      <w:bookmarkEnd w:id="150"/>
      <w:r>
        <w:rPr>
          <w:rFonts w:cs="Arial" w:ascii="Arial" w:hAnsi="Arial"/>
          <w:sz w:val="20"/>
          <w:szCs w:val="20"/>
        </w:rPr>
        <w:t>"Таблица 6о. Обозначения, выполняемые на алфавитно-цифровых печатающих устройствах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1" w:name="sub_7152"/>
      <w:bookmarkEnd w:id="15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11095" cy="3581400"/>
            <wp:effectExtent l="0" t="0" r="0" b="0"/>
            <wp:docPr id="51" name="Изображение5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Изображение51" descr="" title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2" w:name="sub_7153"/>
      <w:bookmarkEnd w:id="152"/>
      <w:r>
        <w:rPr>
          <w:rFonts w:cs="Arial" w:ascii="Arial" w:hAnsi="Arial"/>
          <w:sz w:val="20"/>
          <w:szCs w:val="20"/>
        </w:rPr>
        <w:t>"Таблица 6о. Обозначения, выполняемые на алфавитно-цифровых печатающих устройствах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3" w:name="sub_7153"/>
      <w:bookmarkEnd w:id="15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503170" cy="3581400"/>
            <wp:effectExtent l="0" t="0" r="0" b="0"/>
            <wp:docPr id="52" name="Изображение5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зображение52" descr="" title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4" w:name="sub_7154"/>
      <w:bookmarkEnd w:id="154"/>
      <w:r>
        <w:rPr>
          <w:rFonts w:cs="Arial" w:ascii="Arial" w:hAnsi="Arial"/>
          <w:sz w:val="20"/>
          <w:szCs w:val="20"/>
        </w:rPr>
        <w:t>"Таблица 6о. Обозначения, выполняемые на алфавитно-цифровых печатающих устройствах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5" w:name="sub_7154"/>
      <w:bookmarkEnd w:id="15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82215" cy="3581400"/>
            <wp:effectExtent l="0" t="0" r="0" b="0"/>
            <wp:docPr id="53" name="Изображение5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Изображение53" descr="" title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6" w:name="sub_7155"/>
      <w:bookmarkEnd w:id="156"/>
      <w:r>
        <w:rPr>
          <w:rFonts w:cs="Arial" w:ascii="Arial" w:hAnsi="Arial"/>
          <w:sz w:val="20"/>
          <w:szCs w:val="20"/>
        </w:rPr>
        <w:t>"Таблица 6о. Обозначения, выполняемые на алфавитно-цифровых печатающих устройствах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7" w:name="sub_7155"/>
      <w:bookmarkEnd w:id="15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96185" cy="3581400"/>
            <wp:effectExtent l="0" t="0" r="0" b="0"/>
            <wp:docPr id="54" name="Изображение5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Изображение54" descr="" title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8" w:name="sub_7156"/>
      <w:bookmarkEnd w:id="158"/>
      <w:r>
        <w:rPr>
          <w:rFonts w:cs="Arial" w:ascii="Arial" w:hAnsi="Arial"/>
          <w:sz w:val="20"/>
          <w:szCs w:val="20"/>
        </w:rPr>
        <w:t>"Таблица 6о. Обозначения, выполняемые на алфавитно-цифровых печатающих устройствах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9" w:name="sub_7156"/>
      <w:bookmarkEnd w:id="15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516505" cy="3581400"/>
            <wp:effectExtent l="0" t="0" r="0" b="0"/>
            <wp:docPr id="55" name="Изображение5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Изображение55" descr="" title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0" w:name="sub_7157"/>
      <w:bookmarkEnd w:id="160"/>
      <w:r>
        <w:rPr>
          <w:rFonts w:cs="Arial" w:ascii="Arial" w:hAnsi="Arial"/>
          <w:sz w:val="20"/>
          <w:szCs w:val="20"/>
        </w:rPr>
        <w:t>"Таблица 6о. Обозначения, выполняемые на алфавитно-цифровых печатающих устройствах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1" w:name="sub_7157"/>
      <w:bookmarkEnd w:id="16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567940" cy="3581400"/>
            <wp:effectExtent l="0" t="0" r="0" b="0"/>
            <wp:docPr id="56" name="Изображение5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Изображение56" descr="" title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2" w:name="sub_7158"/>
      <w:bookmarkEnd w:id="162"/>
      <w:r>
        <w:rPr>
          <w:rFonts w:cs="Arial" w:ascii="Arial" w:hAnsi="Arial"/>
          <w:sz w:val="20"/>
          <w:szCs w:val="20"/>
        </w:rPr>
        <w:t>"Таблица 6о. Обозначения, выполняемые на алфавитно-цифровых печатающих устройствах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3" w:name="sub_7158"/>
      <w:bookmarkEnd w:id="16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64435" cy="3581400"/>
            <wp:effectExtent l="0" t="0" r="0" b="0"/>
            <wp:docPr id="57" name="Изображение5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Изображение57" descr="" title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4" w:name="sub_7159"/>
      <w:bookmarkEnd w:id="164"/>
      <w:r>
        <w:rPr>
          <w:rFonts w:cs="Arial" w:ascii="Arial" w:hAnsi="Arial"/>
          <w:sz w:val="20"/>
          <w:szCs w:val="20"/>
        </w:rPr>
        <w:t>"Таблица 6о. Обозначения, выполняемые на алфавитно-цифровых печатающих устройствах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5" w:name="sub_7159"/>
      <w:bookmarkEnd w:id="16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83485" cy="3581400"/>
            <wp:effectExtent l="0" t="0" r="0" b="0"/>
            <wp:docPr id="58" name="Изображение5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Изображение58" descr="" title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6" w:name="sub_71510"/>
      <w:bookmarkEnd w:id="166"/>
      <w:r>
        <w:rPr>
          <w:rFonts w:cs="Arial" w:ascii="Arial" w:hAnsi="Arial"/>
          <w:sz w:val="20"/>
          <w:szCs w:val="20"/>
        </w:rPr>
        <w:t>"Таблица 6о. Обозначения, выполняемые на алфавитно-цифровых печатающих устройствах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7" w:name="sub_71510"/>
      <w:bookmarkEnd w:id="16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26335" cy="3581400"/>
            <wp:effectExtent l="0" t="0" r="0" b="0"/>
            <wp:docPr id="59" name="Изображение5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Изображение59" descr="" title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8" w:name="sub_71511"/>
      <w:bookmarkEnd w:id="168"/>
      <w:r>
        <w:rPr>
          <w:rFonts w:cs="Arial" w:ascii="Arial" w:hAnsi="Arial"/>
          <w:sz w:val="20"/>
          <w:szCs w:val="20"/>
        </w:rPr>
        <w:t>"Таблица 6о. Обозначения, выполняемые на алфавитно-цифровых печатающих устройствах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9" w:name="sub_71511"/>
      <w:bookmarkEnd w:id="16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58720" cy="3581400"/>
            <wp:effectExtent l="0" t="0" r="0" b="0"/>
            <wp:docPr id="60" name="Изображение6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Изображение60" descr="" title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70" w:name="sub_71512"/>
      <w:bookmarkEnd w:id="170"/>
      <w:r>
        <w:rPr>
          <w:rFonts w:cs="Arial" w:ascii="Arial" w:hAnsi="Arial"/>
          <w:sz w:val="20"/>
          <w:szCs w:val="20"/>
        </w:rPr>
        <w:t>"Таблица 6о. Обозначения, выполняемые на алфавитно-цифровых печатающих устройствах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71" w:name="sub_71512"/>
      <w:bookmarkEnd w:id="17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719070" cy="3581400"/>
            <wp:effectExtent l="0" t="0" r="0" b="0"/>
            <wp:docPr id="61" name="Изображение6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Изображение61" descr="" title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72" w:name="sub_71513"/>
      <w:bookmarkEnd w:id="172"/>
      <w:r>
        <w:rPr>
          <w:rFonts w:cs="Arial" w:ascii="Arial" w:hAnsi="Arial"/>
          <w:sz w:val="20"/>
          <w:szCs w:val="20"/>
        </w:rPr>
        <w:t>"Таблица 6о. Обозначения, выполняемые на алфавитно-цифровых печатающих устройствах (продолжение)"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73" w:name="sub_71513"/>
      <w:bookmarkStart w:id="174" w:name="sub_71513"/>
      <w:bookmarkEnd w:id="174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(Измененная редакция, Изм. N 1, 2, 4).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175" w:name="sub_8"/>
      <w:bookmarkEnd w:id="175"/>
      <w:r>
        <w:rPr>
          <w:rFonts w:cs="Arial" w:ascii="Arial" w:hAnsi="Arial"/>
          <w:sz w:val="20"/>
          <w:szCs w:val="20"/>
        </w:rPr>
        <w:t xml:space="preserve">8. Размеры условных графических обозначений должны соответствовать приведенным в </w:t>
      </w:r>
      <w:hyperlink w:anchor="sub_8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 7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76" w:name="sub_8"/>
      <w:bookmarkStart w:id="177" w:name="sub_8"/>
      <w:bookmarkEnd w:id="177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78" w:name="sub_81"/>
      <w:bookmarkEnd w:id="178"/>
      <w:r>
        <w:rPr>
          <w:rFonts w:cs="Arial" w:ascii="Arial" w:hAnsi="Arial"/>
          <w:b/>
          <w:bCs/>
          <w:color w:val="000080"/>
          <w:sz w:val="20"/>
          <w:szCs w:val="20"/>
        </w:rPr>
        <w:t>Таблица 7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79" w:name="sub_81"/>
      <w:bookmarkEnd w:id="17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06650" cy="3581400"/>
            <wp:effectExtent l="0" t="0" r="0" b="0"/>
            <wp:docPr id="62" name="Изображение6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Изображение62" descr="" title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80" w:name="sub_811"/>
      <w:bookmarkEnd w:id="180"/>
      <w:r>
        <w:rPr>
          <w:rFonts w:cs="Arial" w:ascii="Arial" w:hAnsi="Arial"/>
          <w:sz w:val="20"/>
          <w:szCs w:val="20"/>
        </w:rPr>
        <w:t>"Таблица 7. Размеры условных графических обозначений"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81" w:name="sub_811"/>
      <w:bookmarkEnd w:id="18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28875" cy="3581400"/>
            <wp:effectExtent l="0" t="0" r="0" b="0"/>
            <wp:docPr id="63" name="Изображение6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Изображение63" descr="" title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82" w:name="sub_812"/>
      <w:bookmarkEnd w:id="182"/>
      <w:r>
        <w:rPr>
          <w:rFonts w:cs="Arial" w:ascii="Arial" w:hAnsi="Arial"/>
          <w:sz w:val="20"/>
          <w:szCs w:val="20"/>
        </w:rPr>
        <w:t>"Таблица 7. Размеры условных графических обозначений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83" w:name="sub_812"/>
      <w:bookmarkEnd w:id="18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501265" cy="3581400"/>
            <wp:effectExtent l="0" t="0" r="0" b="0"/>
            <wp:docPr id="64" name="Изображение6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Изображение64" descr="" title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84" w:name="sub_813"/>
      <w:bookmarkEnd w:id="184"/>
      <w:r>
        <w:rPr>
          <w:rFonts w:cs="Arial" w:ascii="Arial" w:hAnsi="Arial"/>
          <w:sz w:val="20"/>
          <w:szCs w:val="20"/>
        </w:rPr>
        <w:t>"Таблица 7. Размеры условных графических обозначений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85" w:name="sub_813"/>
      <w:bookmarkEnd w:id="18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506345" cy="3581400"/>
            <wp:effectExtent l="0" t="0" r="0" b="0"/>
            <wp:docPr id="65" name="Изображение6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Изображение65" descr="" title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86" w:name="sub_814"/>
      <w:bookmarkEnd w:id="186"/>
      <w:r>
        <w:rPr>
          <w:rFonts w:cs="Arial" w:ascii="Arial" w:hAnsi="Arial"/>
          <w:sz w:val="20"/>
          <w:szCs w:val="20"/>
        </w:rPr>
        <w:t>"Таблица 7. Размеры условных графических обозначений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87" w:name="sub_814"/>
      <w:bookmarkEnd w:id="18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68245" cy="3581400"/>
            <wp:effectExtent l="0" t="0" r="0" b="0"/>
            <wp:docPr id="66" name="Изображение6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Изображение66" descr="" title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88" w:name="sub_815"/>
      <w:bookmarkEnd w:id="188"/>
      <w:r>
        <w:rPr>
          <w:rFonts w:cs="Arial" w:ascii="Arial" w:hAnsi="Arial"/>
          <w:sz w:val="20"/>
          <w:szCs w:val="20"/>
        </w:rPr>
        <w:t>"Таблица 7. Размеры условных графических обозначений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89" w:name="sub_815"/>
      <w:bookmarkEnd w:id="18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450465" cy="3581400"/>
            <wp:effectExtent l="0" t="0" r="0" b="0"/>
            <wp:docPr id="67" name="Изображение6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Изображение67" descr="" title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90" w:name="sub_816"/>
      <w:bookmarkEnd w:id="190"/>
      <w:r>
        <w:rPr>
          <w:rFonts w:cs="Arial" w:ascii="Arial" w:hAnsi="Arial"/>
          <w:sz w:val="20"/>
          <w:szCs w:val="20"/>
        </w:rPr>
        <w:t>"Таблица 7. Размеры условных графических обозначений (продолжение)"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91" w:name="sub_816"/>
      <w:bookmarkEnd w:id="19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534920" cy="3581400"/>
            <wp:effectExtent l="0" t="0" r="0" b="0"/>
            <wp:docPr id="68" name="Изображение6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Изображение68" descr="" title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92" w:name="sub_817"/>
      <w:bookmarkEnd w:id="192"/>
      <w:r>
        <w:rPr>
          <w:rFonts w:cs="Arial" w:ascii="Arial" w:hAnsi="Arial"/>
          <w:sz w:val="20"/>
          <w:szCs w:val="20"/>
        </w:rPr>
        <w:t>"Таблица 7. Размеры условных графических обозначений (продолжение)"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93" w:name="sub_817"/>
      <w:bookmarkStart w:id="194" w:name="sub_817"/>
      <w:bookmarkEnd w:id="194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bookmarkStart w:id="195" w:name="sub_9"/>
      <w:bookmarkEnd w:id="195"/>
      <w:r>
        <w:rPr>
          <w:rFonts w:cs="Arial" w:ascii="Arial" w:hAnsi="Arial"/>
          <w:sz w:val="20"/>
          <w:szCs w:val="20"/>
        </w:rPr>
        <w:t xml:space="preserve">9. Термины, применяемые в стандарте, и их пояснения приведены в </w:t>
      </w:r>
      <w:hyperlink w:anchor="sub_10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приложении 1</w:t>
        </w:r>
      </w:hyperlink>
      <w:r>
        <w:rPr>
          <w:rFonts w:cs="Arial" w:ascii="Arial" w:hAnsi="Arial"/>
          <w:sz w:val="20"/>
          <w:szCs w:val="20"/>
        </w:rPr>
        <w:t xml:space="preserve">. Размеры (в модульной сетке) условных графических обозначений приведены в </w:t>
      </w:r>
      <w:hyperlink w:anchor="sub_20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приложении 2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96" w:name="sub_9"/>
      <w:bookmarkEnd w:id="196"/>
      <w:r>
        <w:rPr>
          <w:rFonts w:cs="Arial" w:ascii="Arial" w:hAnsi="Arial"/>
          <w:sz w:val="20"/>
          <w:szCs w:val="20"/>
        </w:rPr>
        <w:t>(Введен дополнительно, Изм. N 2).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97" w:name="sub_10000"/>
      <w:bookmarkStart w:id="198" w:name="sub_1000"/>
      <w:bookmarkEnd w:id="197"/>
      <w:bookmarkEnd w:id="198"/>
      <w:r>
        <w:rPr>
          <w:rFonts w:cs="Arial" w:ascii="Arial" w:hAnsi="Arial"/>
          <w:b/>
          <w:bCs/>
          <w:color w:val="000080"/>
          <w:sz w:val="20"/>
          <w:szCs w:val="20"/>
        </w:rPr>
        <w:t>Приложение 1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199" w:name="sub_10000"/>
      <w:bookmarkStart w:id="200" w:name="sub_1000"/>
      <w:bookmarkEnd w:id="199"/>
      <w:bookmarkEnd w:id="200"/>
      <w:r>
        <w:rPr>
          <w:rFonts w:cs="Arial" w:ascii="Arial" w:hAnsi="Arial"/>
          <w:b/>
          <w:bCs/>
          <w:color w:val="000080"/>
          <w:sz w:val="20"/>
          <w:szCs w:val="20"/>
        </w:rPr>
        <w:t>Справочное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Термины, применяемые в стандарте, и их пояснения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───────────────────┬─────────────────────────────────────────────────────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Термин      │                     Пояснение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───────────────────┼─────────────────────────────────────────────────────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Электрическая     │Проводящая среда,  электрически  соединяющая  группу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связь             │точек   электрического   соединения   (электрических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контактов)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Линия             │Условное   графическое   обозначение   электрической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электрической     │связи, показывающее путь прохождения тока.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связи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Примечание.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Линия  электрической  связи     не дает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информации    о    проводах        (кабелях, шинах),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осуществляющих данную электрическую связь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Ответвление  линии│Условное изображение электрического узла, в  котором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электрической     │происходит сложение и вычитание токов.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связи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Примечание.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Ответвления линий электрической связи не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дают информации о реальных электрических  контактах,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соединенных данной электрической связью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Линия    групповой│Линия,    условно    изображающая       группу линий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связи             │электрической  связи   (проводов,   кабелей,   шин),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следующих на схеме в одном направлении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Графическое       │Упрощенное изображение  нескольких  электрически  не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слияние      линий│соединенных линий связи  (проводов,  кабелей,  шин),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электрической     │использующее линию групповой связи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связи   (проводов,│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r>
        <w:rPr>
          <w:rFonts w:cs="Courier New" w:ascii="Courier New" w:hAnsi="Courier New"/>
          <w:sz w:val="20"/>
          <w:szCs w:val="20"/>
          <w:lang w:val="ru-RU" w:eastAsia="ru-RU"/>
        </w:rPr>
        <w:t>кабелей, шин)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Приложение 1. (Введено дополнительно, Изм. N 2).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01" w:name="sub_2000"/>
      <w:bookmarkEnd w:id="201"/>
      <w:r>
        <w:rPr>
          <w:rFonts w:cs="Arial" w:ascii="Arial" w:hAnsi="Arial"/>
          <w:b/>
          <w:bCs/>
          <w:color w:val="000080"/>
          <w:sz w:val="20"/>
          <w:szCs w:val="20"/>
        </w:rPr>
        <w:t>Приложение 2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02" w:name="sub_2000"/>
      <w:bookmarkEnd w:id="202"/>
      <w:r>
        <w:rPr>
          <w:rFonts w:cs="Arial" w:ascii="Arial" w:hAnsi="Arial"/>
          <w:b/>
          <w:bCs/>
          <w:color w:val="000080"/>
          <w:sz w:val="20"/>
          <w:szCs w:val="20"/>
        </w:rPr>
        <w:t>Справочное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724785" cy="3581400"/>
            <wp:effectExtent l="0" t="0" r="0" b="0"/>
            <wp:docPr id="69" name="Изображение6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Изображение69" descr="" title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03" w:name="sub_2001"/>
      <w:bookmarkEnd w:id="203"/>
      <w:r>
        <w:rPr>
          <w:rFonts w:cs="Arial" w:ascii="Arial" w:hAnsi="Arial"/>
          <w:sz w:val="20"/>
          <w:szCs w:val="20"/>
        </w:rPr>
        <w:t>"Размеры (в модульной сетке) основных условных графических обозначений"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04" w:name="sub_2001"/>
      <w:bookmarkEnd w:id="204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923540" cy="3581400"/>
            <wp:effectExtent l="0" t="0" r="0" b="0"/>
            <wp:docPr id="70" name="Изображение7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Изображение70" descr="" title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05" w:name="sub_2002"/>
      <w:bookmarkEnd w:id="205"/>
      <w:r>
        <w:rPr>
          <w:rFonts w:cs="Arial" w:ascii="Arial" w:hAnsi="Arial"/>
          <w:sz w:val="20"/>
          <w:szCs w:val="20"/>
        </w:rPr>
        <w:t>"Размеры (в модульной сетке) основных условных графических обозначений (продолжение)"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206" w:name="sub_2002"/>
      <w:bookmarkStart w:id="207" w:name="sub_2002"/>
      <w:bookmarkEnd w:id="207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Приложение 2 (Измененная редакция, N.N 2, 3).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sectPr>
      <w:type w:val="nextPage"/>
      <w:pgSz w:w="11906" w:h="16838"/>
      <w:pgMar w:left="850" w:right="850" w:header="0" w:top="1440" w:footer="0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Times New Roman">
    <w:charset w:val="cc" w:characterSet="windows-1251"/>
    <w:family w:val="roman"/>
    <w:pitch w:val="variable"/>
  </w:font>
  <w:font w:name="Liberation Sans">
    <w:altName w:val="Arial"/>
    <w:charset w:val="01" w:characterSet="utf-8"/>
    <w:family w:val="swiss"/>
    <w:pitch w:val="variable"/>
  </w:font>
  <w:font w:name="Arial">
    <w:charset w:val="cc" w:characterSet="windows-1251"/>
    <w:family w:val="swiss"/>
    <w:pitch w:val="variable"/>
  </w:font>
  <w:font w:name="Courier New">
    <w:charset w:val="cc" w:characterSet="windows-1251"/>
    <w:family w:val="moder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Интернет-ссылка"/>
    <w:rPr>
      <w:color w:val="000080"/>
      <w:u w:val="single"/>
      <w:lang w:val="zxx" w:eastAsia="zxx" w:bidi="zxx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png"/><Relationship Id="rId55" Type="http://schemas.openxmlformats.org/officeDocument/2006/relationships/image" Target="media/image54.png"/><Relationship Id="rId56" Type="http://schemas.openxmlformats.org/officeDocument/2006/relationships/image" Target="media/image55.png"/><Relationship Id="rId57" Type="http://schemas.openxmlformats.org/officeDocument/2006/relationships/image" Target="media/image56.png"/><Relationship Id="rId58" Type="http://schemas.openxmlformats.org/officeDocument/2006/relationships/image" Target="media/image57.png"/><Relationship Id="rId59" Type="http://schemas.openxmlformats.org/officeDocument/2006/relationships/image" Target="media/image58.png"/><Relationship Id="rId60" Type="http://schemas.openxmlformats.org/officeDocument/2006/relationships/image" Target="media/image59.png"/><Relationship Id="rId61" Type="http://schemas.openxmlformats.org/officeDocument/2006/relationships/image" Target="media/image60.png"/><Relationship Id="rId62" Type="http://schemas.openxmlformats.org/officeDocument/2006/relationships/image" Target="media/image61.png"/><Relationship Id="rId63" Type="http://schemas.openxmlformats.org/officeDocument/2006/relationships/image" Target="media/image62.png"/><Relationship Id="rId64" Type="http://schemas.openxmlformats.org/officeDocument/2006/relationships/image" Target="media/image63.png"/><Relationship Id="rId65" Type="http://schemas.openxmlformats.org/officeDocument/2006/relationships/image" Target="media/image64.png"/><Relationship Id="rId66" Type="http://schemas.openxmlformats.org/officeDocument/2006/relationships/image" Target="media/image65.png"/><Relationship Id="rId67" Type="http://schemas.openxmlformats.org/officeDocument/2006/relationships/image" Target="media/image66.png"/><Relationship Id="rId68" Type="http://schemas.openxmlformats.org/officeDocument/2006/relationships/image" Target="media/image67.png"/><Relationship Id="rId69" Type="http://schemas.openxmlformats.org/officeDocument/2006/relationships/image" Target="media/image68.png"/><Relationship Id="rId70" Type="http://schemas.openxmlformats.org/officeDocument/2006/relationships/image" Target="media/image69.png"/><Relationship Id="rId71" Type="http://schemas.openxmlformats.org/officeDocument/2006/relationships/image" Target="media/image70.png"/><Relationship Id="rId72" Type="http://schemas.openxmlformats.org/officeDocument/2006/relationships/fontTable" Target="fontTable.xml"/><Relationship Id="rId7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2007-02-07T18:27:00Z</dcterms:created>
  <dc:creator>Виктор</dc:creator>
  <dc:description/>
  <dc:language>ru-RU</dc:language>
  <cp:lastModifiedBy>Виктор</cp:lastModifiedBy>
  <dcterms:modified xsi:type="dcterms:W3CDTF">2007-02-07T18:27:00Z</dcterms:modified>
  <cp:revision>2</cp:revision>
  <dc:subject/>
  <dc:title/>
</cp:coreProperties>
</file>