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25161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введенным в действие постановлением Госстроя РФ от 10 августа 2000 г. N 78,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251612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2697-83</w:t>
        <w:br/>
        <w:t>"Пергамин кровельный. Технические условия"</w:t>
        <w:br/>
        <w:t>(утв. постановлением Госстроя СССР от 31 октября 1983 г. N 294)</w:t>
        <w:br/>
        <w:t>(с изменениями от 10 августа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Roofing asphalt felt.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2697-75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1а.Область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1б.Нормативные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Гарантии изготовителя (исключен)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Сырье и материалы, применяемые для изготовления пергамина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8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1а.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8"/>
      <w:bookmarkStart w:id="4" w:name="sub_8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кровельный пергамин - беспокровный рулонный материал, получаемый пропиткой кровельного картона марки 350 нефтяными битумами.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Кровельный пергамин является подкладочном материалом, который предназначен для нижних слоев кровельного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настоящим стандартом показатели технического уровня предусмотрены для пергамина первой категории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9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1б.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9"/>
      <w:bookmarkStart w:id="7" w:name="sub_9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 и технические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12.3.009-76 ССБТ. Работы погрузочно-разгрузочные.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2678-94 Материалы рулонные кровельные и гидроизоляционные.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9548-74 Битумы нефтяные кровельные.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 Грузы опасные. Классификация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испытания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30547-97 Материалы рулонные кровельные и гидроизоляционные.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5770-502-00284718-94 "Картон кровельный.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1.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1.1. Пергамин выпускается в рулонах шириной полотна 1000, 1025 и 1050 мм. Допускаемые отклонения по ширине полотна +- 5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Start w:id="13" w:name="sub_12"/>
      <w:bookmarkEnd w:id="12"/>
      <w:bookmarkEnd w:id="13"/>
      <w:r>
        <w:rPr>
          <w:rFonts w:cs="Arial" w:ascii="Arial" w:hAnsi="Arial"/>
          <w:sz w:val="20"/>
          <w:szCs w:val="20"/>
        </w:rPr>
        <w:t>1.2. Общая площадь рулона должна быть (20 +- 0,5) или (40 +- 0,5) м2, а справочная масса рулона соответственно 15 или 30 кг. Отклонение от справочной массы рулона не является браковочным признаком.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bookmarkEnd w:id="14"/>
      <w:r>
        <w:rPr>
          <w:rFonts w:cs="Arial" w:ascii="Arial" w:hAnsi="Arial"/>
          <w:sz w:val="20"/>
          <w:szCs w:val="20"/>
        </w:rPr>
        <w:t>Пример условного обозначения кровельного пергамина развесом 350 г/м2: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П-350 ГОСТ 2697-83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изготавливать рулоны другой площади.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2.1. Пергамин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Start w:id="20" w:name="sub_22"/>
      <w:bookmarkEnd w:id="19"/>
      <w:bookmarkEnd w:id="20"/>
      <w:r>
        <w:rPr>
          <w:rFonts w:cs="Arial" w:ascii="Arial" w:hAnsi="Arial"/>
          <w:sz w:val="20"/>
          <w:szCs w:val="20"/>
        </w:rPr>
        <w:t>2.2.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Start w:id="22" w:name="sub_23"/>
      <w:bookmarkEnd w:id="21"/>
      <w:bookmarkEnd w:id="22"/>
      <w:r>
        <w:rPr>
          <w:rFonts w:cs="Arial" w:ascii="Arial" w:hAnsi="Arial"/>
          <w:sz w:val="20"/>
          <w:szCs w:val="20"/>
        </w:rPr>
        <w:t>2.3. Разрывная сила при растяжении не должна быть менее 265 Н (27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Start w:id="24" w:name="sub_24"/>
      <w:bookmarkEnd w:id="23"/>
      <w:bookmarkEnd w:id="24"/>
      <w:r>
        <w:rPr>
          <w:rFonts w:cs="Arial" w:ascii="Arial" w:hAnsi="Arial"/>
          <w:sz w:val="20"/>
          <w:szCs w:val="20"/>
        </w:rPr>
        <w:t>2.4. Водопоглощение пергамина при испытании в течение (24,0 +-0,1) ч должно быть не более 20%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Start w:id="26" w:name="sub_25"/>
      <w:bookmarkEnd w:id="25"/>
      <w:bookmarkEnd w:id="26"/>
      <w:r>
        <w:rPr>
          <w:rFonts w:cs="Arial" w:ascii="Arial" w:hAnsi="Arial"/>
          <w:sz w:val="20"/>
          <w:szCs w:val="20"/>
        </w:rPr>
        <w:t>2.5. Пергамин должен быть водонепроницаемым. При испытании при давлении не менее 0,001 МПа (0,01 кгс/см2) в течение не менее 10 мин на поверхности образца не должно появляться признаков проникания поды.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"/>
      <w:bookmarkStart w:id="28" w:name="sub_26"/>
      <w:bookmarkEnd w:id="27"/>
      <w:bookmarkEnd w:id="28"/>
      <w:r>
        <w:rPr>
          <w:rFonts w:cs="Arial" w:ascii="Arial" w:hAnsi="Arial"/>
          <w:sz w:val="20"/>
          <w:szCs w:val="20"/>
        </w:rPr>
        <w:t>2.6. Пергамин должен быть гибким. При испытании на брусе с закруглением радиусом (25,0 +-0,2) мм при температуре не выше 5°С на поверхности образца не должны появляться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"/>
      <w:bookmarkStart w:id="30" w:name="sub_27"/>
      <w:bookmarkEnd w:id="29"/>
      <w:bookmarkEnd w:id="30"/>
      <w:r>
        <w:rPr>
          <w:rFonts w:cs="Arial" w:ascii="Arial" w:hAnsi="Arial"/>
          <w:sz w:val="20"/>
          <w:szCs w:val="20"/>
        </w:rPr>
        <w:t>2.7. Картонная основа пергамина должна быть равномерно пропитана по всей толщине полотна. В разрезе пергамин должен быть черным с коричневым оттенком, без светлых прослоек непропитанного картона и без посторонних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7"/>
      <w:bookmarkStart w:id="32" w:name="sub_28"/>
      <w:bookmarkEnd w:id="31"/>
      <w:bookmarkEnd w:id="32"/>
      <w:r>
        <w:rPr>
          <w:rFonts w:cs="Arial" w:ascii="Arial" w:hAnsi="Arial"/>
          <w:sz w:val="20"/>
          <w:szCs w:val="20"/>
        </w:rPr>
        <w:t>2.8. Требования к внешнему виду пергамина, кромкам полотна, слипаемости, ровности торцов, величине выступов на торцах рулона, количеству составных рулонов и полотен в рулоне - по ГОСТ 30547 со следующим дополнением: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8"/>
      <w:bookmarkEnd w:id="33"/>
      <w:r>
        <w:rPr>
          <w:rFonts w:cs="Arial" w:ascii="Arial" w:hAnsi="Arial"/>
          <w:sz w:val="20"/>
          <w:szCs w:val="20"/>
        </w:rPr>
        <w:t>поверхность пергамина должна быть матовой. Допускается наличие жирных пятен, не вызывающих слипания полотна в рулоне.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9"/>
      <w:bookmarkEnd w:id="34"/>
      <w:r>
        <w:rPr>
          <w:rFonts w:cs="Arial" w:ascii="Arial" w:hAnsi="Arial"/>
          <w:sz w:val="20"/>
          <w:szCs w:val="20"/>
        </w:rPr>
        <w:t>2.9.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9"/>
      <w:bookmarkStart w:id="36" w:name="sub_210"/>
      <w:bookmarkEnd w:id="35"/>
      <w:bookmarkEnd w:id="36"/>
      <w:r>
        <w:rPr>
          <w:rFonts w:cs="Arial" w:ascii="Arial" w:hAnsi="Arial"/>
          <w:sz w:val="20"/>
          <w:szCs w:val="20"/>
        </w:rPr>
        <w:t>2.10.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0"/>
      <w:bookmarkStart w:id="38" w:name="sub_211"/>
      <w:bookmarkEnd w:id="37"/>
      <w:bookmarkEnd w:id="38"/>
      <w:r>
        <w:rPr>
          <w:rFonts w:cs="Arial" w:ascii="Arial" w:hAnsi="Arial"/>
          <w:sz w:val="20"/>
          <w:szCs w:val="20"/>
        </w:rPr>
        <w:t>2.11. Исключен</w:t>
      </w:r>
    </w:p>
    <w:p>
      <w:pPr>
        <w:pStyle w:val="Normal"/>
        <w:autoSpaceDE w:val="false"/>
        <w:ind w:firstLine="720"/>
        <w:jc w:val="both"/>
        <w:rPr/>
      </w:pPr>
      <w:bookmarkStart w:id="39" w:name="sub_211"/>
      <w:bookmarkStart w:id="40" w:name="sub_212"/>
      <w:bookmarkEnd w:id="39"/>
      <w:bookmarkEnd w:id="40"/>
      <w:r>
        <w:rPr>
          <w:rFonts w:cs="Arial" w:ascii="Arial" w:hAnsi="Arial"/>
          <w:sz w:val="20"/>
          <w:szCs w:val="20"/>
        </w:rPr>
        <w:t xml:space="preserve">2.12. Требования к сырью и материалам - по ГОСТ 30547. Для изготовления пергамина рекомендуются сырье и материалы, приведенные в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2"/>
      <w:bookmarkEnd w:id="41"/>
      <w:r>
        <w:rPr>
          <w:rFonts w:cs="Arial" w:ascii="Arial" w:hAnsi="Arial"/>
          <w:sz w:val="20"/>
          <w:szCs w:val="20"/>
        </w:rPr>
        <w:t>2.13. Упаковка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2.13.1. Упаковку рулонов пергамина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упаковочных материалов, обеспечивающих сохранность пергамина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2.13.2. Маркировка пергамина должна производиться по ГОСТ 30547.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этикетке (штампе)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материала и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(или другое обозначение партии, принятое на заводе-изготовителе) и 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краткая инструкция по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данных на этикетке (штампе) может быть дополнен или изменен по согласованию с потребителем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 с нанесением основных, дополнительных и информационных надписей.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3"/>
      <w:bookmarkStart w:id="44" w:name="sub_3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"/>
      <w:bookmarkEnd w:id="45"/>
      <w:r>
        <w:rPr>
          <w:rFonts w:cs="Arial" w:ascii="Arial" w:hAnsi="Arial"/>
          <w:sz w:val="20"/>
          <w:szCs w:val="20"/>
        </w:rPr>
        <w:t>3.1. Пергамин имеет следующие показатели пожарной 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"/>
      <w:bookmarkEnd w:id="46"/>
      <w:r>
        <w:rPr>
          <w:rFonts w:cs="Arial" w:ascii="Arial" w:hAnsi="Arial"/>
          <w:sz w:val="20"/>
          <w:szCs w:val="20"/>
        </w:rPr>
        <w:t>группа горючести - Г4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воспламеняемости - ВЗ по ГОСТ 30402.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 классификации ГОСТ 19433 пергамин не относится к опасным грузам.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пергамина на территории предприятия или вне его, а также свалка его в не предназначенных для этого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Отходы, образующиеся при изготовлении пергамина,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цели,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случае загорания битума или пергамина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 погрузочно-разгрузочных работах должны соблюдаться требования безопасности по ГОСТ 12.3.009.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4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4"/>
      <w:bookmarkStart w:id="49" w:name="sub_4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"/>
      <w:bookmarkEnd w:id="50"/>
      <w:r>
        <w:rPr>
          <w:rFonts w:cs="Arial" w:ascii="Arial" w:hAnsi="Arial"/>
          <w:sz w:val="20"/>
          <w:szCs w:val="20"/>
        </w:rPr>
        <w:t>4.1. Правила приемки пергамина - по ГОСТ 30547. Размер партии устанавливают в количестве не более 3200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"/>
      <w:bookmarkStart w:id="52" w:name="sub_42"/>
      <w:bookmarkEnd w:id="51"/>
      <w:bookmarkEnd w:id="52"/>
      <w:r>
        <w:rPr>
          <w:rFonts w:cs="Arial" w:ascii="Arial" w:hAnsi="Arial"/>
          <w:sz w:val="20"/>
          <w:szCs w:val="20"/>
        </w:rPr>
        <w:t>4.2. Водонепроницаемость и водопоглощение определяют не реже одного раза в месяц и при изменении сырьевых компонентов.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2"/>
      <w:bookmarkStart w:id="54" w:name="sub_4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5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5"/>
      <w:bookmarkStart w:id="57" w:name="sub_5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"/>
      <w:bookmarkEnd w:id="58"/>
      <w:r>
        <w:rPr>
          <w:rFonts w:cs="Arial" w:ascii="Arial" w:hAnsi="Arial"/>
          <w:sz w:val="20"/>
          <w:szCs w:val="20"/>
        </w:rPr>
        <w:t>Методы испытаний - по ГОСТ 2678 со следующим дополнением: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"/>
      <w:bookmarkEnd w:id="59"/>
      <w:r>
        <w:rPr>
          <w:rFonts w:cs="Arial" w:ascii="Arial" w:hAnsi="Arial"/>
          <w:sz w:val="20"/>
          <w:szCs w:val="20"/>
        </w:rPr>
        <w:t>разрывную силу при растяжении определяют при скорости перемещения подвижного захвата (50 +-5) мм/мин.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6.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6"/>
      <w:bookmarkStart w:id="62" w:name="sub_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1"/>
      <w:bookmarkEnd w:id="63"/>
      <w:r>
        <w:rPr>
          <w:rFonts w:cs="Arial" w:ascii="Arial" w:hAnsi="Arial"/>
          <w:sz w:val="20"/>
          <w:szCs w:val="20"/>
        </w:rPr>
        <w:t>6.1. Транспортирование пергамина следует производить в крытых транспортных средствах в вертикальном положении не более чем в два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1"/>
      <w:bookmarkEnd w:id="64"/>
      <w:r>
        <w:rPr>
          <w:rFonts w:cs="Arial" w:ascii="Arial" w:hAnsi="Arial"/>
          <w:sz w:val="20"/>
          <w:szCs w:val="20"/>
        </w:rPr>
        <w:t>Допускается укладка сверх вертикальных рядов одного ряда в горизонтальном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допускаются другие способы транспортирования, обеспечивающие сохранность пергамина.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2"/>
      <w:bookmarkEnd w:id="65"/>
      <w:r>
        <w:rPr>
          <w:rFonts w:cs="Arial" w:ascii="Arial" w:hAnsi="Arial"/>
          <w:sz w:val="20"/>
          <w:szCs w:val="20"/>
        </w:rPr>
        <w:t>6.2 Погрузку в транспортные средства и перевозку пергамина производят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2"/>
      <w:bookmarkEnd w:id="66"/>
      <w:r>
        <w:rPr>
          <w:rFonts w:cs="Arial" w:ascii="Arial" w:hAnsi="Arial"/>
          <w:sz w:val="20"/>
          <w:szCs w:val="20"/>
        </w:rPr>
        <w:t>6.3. Рулоны пергамина должны храниться в сухом закрытом помещении в вертикальном положении не более чем в два ряда по высоте. Рулоны пергамина могут храниться в контейнерах и на поддонах.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 пергамина - 6 мес.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срока хранения пергамин должен быть проверен на соответствие требованиям настоящего стандарта. В случае соответствия пергамин может быть использован по назначению.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7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7"/>
      <w:bookmarkStart w:id="69" w:name="sub_7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8.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10"/>
      <w:bookmarkStart w:id="72" w:name="sub_1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Пергамин должен применяться в соответствии с действующими строительными нормами и правилами </w:t>
      </w:r>
      <w:hyperlink w:anchor="sub_1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0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10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Сырье и материалы, применяемые для изготовления пергамина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нефтяной кровельный марки БНК 40/180 или БНК 45/90 по ГОСТ 9548.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Картон кровельный марки 350 по ТУ 5770-502-00284718.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Другое сырье или материалы - по действующим нормативным документам, в соответствии с технологическим регламентом на производство пергамина.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2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20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3"/>
      <w:bookmarkEnd w:id="77"/>
      <w:r>
        <w:rPr>
          <w:rFonts w:cs="Arial" w:ascii="Arial" w:hAnsi="Arial"/>
          <w:sz w:val="20"/>
          <w:szCs w:val="20"/>
        </w:rPr>
        <w:t>[1] СНиП 11-26-76 Строительные нормы и правила. Часть 1. Нормы проектирования. Глава 26. Кровли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3"/>
      <w:bookmarkStart w:id="79" w:name="sub_20"/>
      <w:bookmarkEnd w:id="78"/>
      <w:bookmarkEnd w:id="79"/>
      <w:r>
        <w:rPr>
          <w:rFonts w:cs="Arial" w:ascii="Arial" w:hAnsi="Arial"/>
          <w:sz w:val="20"/>
          <w:szCs w:val="20"/>
        </w:rPr>
        <w:t>[2] СНиП 3.04.01-87. Изоляционные и отделочные покрытия"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0"/>
      <w:bookmarkStart w:id="81" w:name="sub_20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2007-02-27T10:33:00Z</dcterms:created>
  <dc:creator>VIKTOR</dc:creator>
  <dc:description/>
  <dc:language>ru-RU</dc:language>
  <cp:lastModifiedBy>VIKTOR</cp:lastModifiedBy>
  <dcterms:modified xsi:type="dcterms:W3CDTF">2007-02-27T10:33:00Z</dcterms:modified>
  <cp:revision>2</cp:revision>
  <dc:subject/>
  <dc:title/>
</cp:coreProperties>
</file>