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26871-86</w:t>
        <w:br/>
        <w:t>"Материалы вяжущие гипсовые. Правила приемки. Упаковка, маркировка,</w:t>
        <w:br/>
        <w:t>транспортирование и хранение"</w:t>
        <w:br/>
        <w:t>(утв. постановлением Госстроя СССР от 2 апреля 1986 г. N 36)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Alabaster binding materials. Acceptance rules. </w:t>
      </w:r>
      <w:r>
        <w:rPr>
          <w:rFonts w:cs="Arial" w:ascii="Arial" w:hAnsi="Arial"/>
          <w:b/>
          <w:bCs/>
          <w:sz w:val="20"/>
          <w:szCs w:val="20"/>
        </w:rPr>
        <w:t>Packing, marking,and storage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125-79 в части правил приемки, упаковки, маркировки, транспортирования и хранения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все вяжущие гипсовые материалы, отгружаемые в упаковке и без нее, и устанавливает правила приемки, упаковки, маркировки, транспортирования и хранения.</w:t>
      </w:r>
    </w:p>
    <w:p>
      <w:pPr>
        <w:pStyle w:val="Normal"/>
        <w:autoSpaceDE w:val="false"/>
        <w:ind w:firstLine="720"/>
        <w:jc w:val="both"/>
        <w:rPr/>
      </w:pPr>
      <w:bookmarkStart w:id="1" w:name="sub_111"/>
      <w:bookmarkEnd w:id="1"/>
      <w:r>
        <w:rPr>
          <w:rFonts w:cs="Arial" w:ascii="Arial" w:hAnsi="Arial"/>
          <w:sz w:val="20"/>
          <w:szCs w:val="20"/>
        </w:rPr>
        <w:t>Упаковка, маркировка, транспортирование и хранение вяжущих гипсовых материалов, отгружаемых в районы Крайнего Севера и труднодоступные районы СССР, должны дополнительно соответствовать ГОСТ 15846-84.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sz w:val="20"/>
          <w:szCs w:val="20"/>
        </w:rPr>
        <w:t>1.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Приемку вяжущего производят партиями. Каждая партия должна состоять из вяжущего одного вида и марки и оформлена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Размер партии устанавливают в зависимости от годовой мощности предприятия в следующем количестве: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500 т - при годовой мощности свыше 150 тыс. 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200 т - при годовой мощности от 50 до 150 тыс. 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65 т - при годовой мощности до 50 тыс.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вяжущего в судах размер партии устанавливают по согласованию изготовителя и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Приемку вяжущих техническим контролем предприятия-изготовителя производят на основании данных производственного контроля и приемо-сдаточных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Производственный контроль включает в себя периодические испытания сырья и вяжущего, проводимые в объемах и в сроки, установленные действующей на предприятии технологической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По данным приемо-сдаточных испытаний назначают вид и марку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6"/>
      <w:bookmarkEnd w:id="5"/>
      <w:r>
        <w:rPr>
          <w:rFonts w:cs="Arial" w:ascii="Arial" w:hAnsi="Arial"/>
          <w:sz w:val="20"/>
          <w:szCs w:val="20"/>
        </w:rPr>
        <w:t>1.6. Приемо-сдаточные испытания включают испытания вяжущего каждой партии по всем показателям качества, предусмотренным нормативно-технической документацией на конкретный вид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bookmarkEnd w:id="6"/>
      <w:r>
        <w:rPr>
          <w:rFonts w:cs="Arial" w:ascii="Arial" w:hAnsi="Arial"/>
          <w:sz w:val="20"/>
          <w:szCs w:val="20"/>
        </w:rPr>
        <w:t>Партия вяжущего принимается и может быть отгружена, если результаты приемо-сдаточных испытаний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пределам прочности при сжатии и изгибе образцов в возрасте 2 ч.;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срокам схватывания;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тонкости помола;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удовлетворяют требованиям нормативно-технической документации на вяжущие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приемо-сдаточных испытаний, необходимых для приемки партии, может быть изменен или дополнен в соответствии с требованиями нормативно-технической документации на конкретный вид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Для проведения приемо-сдаточных испытаний от каждой партии из потока вяжущего при его транспортировании от мелющего агрегата отбирают точечные пробы в порядке, установленном ГОСТ 23789-79, и подготавливают из них одну объединенную пробу.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При получении неудовлетворительных результатов приемосдаточных испытаний по какому-либо показателю из указанных в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1.6</w:t>
        </w:r>
      </w:hyperlink>
      <w:r>
        <w:rPr>
          <w:rFonts w:cs="Arial" w:ascii="Arial" w:hAnsi="Arial"/>
          <w:sz w:val="20"/>
          <w:szCs w:val="20"/>
        </w:rPr>
        <w:t xml:space="preserve"> проводят повторные испытания вяжущего по этому показателю на удвоенном количестве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Для проверки правильности назначения вида и марки вяжущего предприятие-изготовитель определяет прочность вяжущего каждой партии в сроки, установленные нормативно-технической документацией.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Результаты приемо-сдаточных испытаний заносят в журнал по форме обязательного приложения.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Журнал</w:t>
        </w:r>
      </w:hyperlink>
      <w:r>
        <w:rPr>
          <w:rFonts w:cs="Arial" w:ascii="Arial" w:hAnsi="Arial"/>
          <w:sz w:val="20"/>
          <w:szCs w:val="20"/>
        </w:rPr>
        <w:t xml:space="preserve"> приемо-сдаточных испытаний должен быть пронумерован, прошнурован и опечатан сургучной или гербовой печатью.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Журнал приемо-сдаточных испытаний является официальным документом, удостоверяющим качество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получения неудовлетворительных результатов при повторных испытаниях служба технического контроля предприятия-изготовителя бракует всю партию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Каждая партия вяжущего или ее часть, поставляемая в один адрес, должна сопровождаться документом о качестве,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 (или) его товарный знак и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вагонов (транспортных средств);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вяжущего по действующей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дата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показателей, содержащихся в документе о качестве, может быть дополнен в соответствии с требованиями стандартов или другой нормативно-технической документации на конкретный вид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Документ о качестве должен быть подписан руководителем службы технического контроля предприятия-изготовителя или его заместителем и должен быть отправлен потребителю не позднее 3 сут с даты отгрузки вяжущего, если договором на поставку не предусмотрен другой порядок.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Потребитель имеет право проводить контрольную проверку качества вяжущего, осуществляя отбор проб по ГОСТ 23789-79 и в соответствии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При контрольной проверке качества вяжущее должно соответствовать всем нормативам, указанным в стандарте для данного вида и марки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Выборочная проверка качества вяжущего потребителем производится в соответствии с инструкцией N П-7 "О порядке приемки продукции производственно-технического назначения и товаров народного потребления по качеству", утвержденной Госарбитражем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2"/>
      <w:bookmarkEnd w:id="7"/>
      <w:r>
        <w:rPr>
          <w:rFonts w:cs="Arial" w:ascii="Arial" w:hAnsi="Arial"/>
          <w:b/>
          <w:bCs/>
          <w:sz w:val="20"/>
          <w:szCs w:val="20"/>
        </w:rPr>
        <w:t>2.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2"/>
      <w:bookmarkStart w:id="9" w:name="sub_2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Вяжущее отгружают в упаковке или без нее в специализированном транспорте. Для упаковки вяжущего должны применяться пяти-шестислойные сшитые или склеенные с закрытой горловиной (с клапаном) бумажные мешки М-НМ, БМ или БМП по ГОСТ 2226-75.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бумажные мешки импортного производства, прочностные показатели которых не ниже, чем у мешков по ГОСТ 2226-75, а также по согласованию с потребителем применять четырехслойные бумажные мешки.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289332228"/>
      <w:bookmarkEnd w:id="10"/>
      <w:r>
        <w:rPr>
          <w:rFonts w:cs="Arial" w:ascii="Arial" w:hAnsi="Arial"/>
          <w:i/>
          <w:iCs/>
          <w:sz w:val="20"/>
          <w:szCs w:val="20"/>
        </w:rPr>
        <w:t>Взамен ГОСТ 2226-75 постановлением Госстандарта СССР от 29 июня 1988 г. N 2501 с 1 января 1990 г. введен в действие ГОСТ 2226-88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289332228"/>
      <w:bookmarkStart w:id="12" w:name="sub_289332228"/>
      <w:bookmarkEnd w:id="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Предельная масса брутто мешка с вяжущим должна быть не более 51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Отклонение средней массы нетто в мешке от массы, указанной на упаковке, не должно превышать +-1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Среднюю массу нетто вяжущего в мешке определяют, вычитая из средней массы брутто мешка с вяжущим среднюю массу мешка.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определения средней массы брутто мешка с вяжущим одновременно взвешивают 20 мешков, отобранных выборочно из партии, и результат делят на 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массу мешка определяют, взвешивая 20 мешков, отобранных выборочно из партии полученных мешков, и результат делят на 20.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Упаковку мешков с вяжущим гипсовым в транспортные пакеты производят по нормативно-технической документации с применением поддонов по ГОСТ 9078-84, одноразовых средств пакетирования из синтетических лент по ГОСТ 24510-80, термоусадочной пленки из полиэтилена высокого давления по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Пакеты в термоусадочной пленке формируют из семи слоев, по пяти мешков в слое, а также цокольного слоя из четырех мешков и плотно обжимают пленкой. Ширина проема на уступе цокольной части должна быть не менее 100 мм с каждой стороны пакета, высота - не менее 90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пакетов вяжущего гипсового в термоусадочной пленке должны быть: длина 1260-1290 мм, ширина 1030-1060 мм, высота 880-950 мм. Масса пакета нетто - не более 2000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Вяжущее в мелкой расфасовке для розничной торговли упаковывают в полиэтиленовые банки, в полиэтиленовые пакеты или в бумажные пакеты с последующей закладкой их в полиэтиленовые. Масса нетто отдельной упаковки (5 +- 0,5) кг, (10 +- 0,5)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упаковки должно обеспечивать необходимую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Вяжущее в мелкой расфасовке укладывают в тару. Тара, используемая для мелкой расфасовки, должна удовлетворять требованиям соответствующей нормативно-технической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3"/>
      <w:bookmarkEnd w:id="13"/>
      <w:r>
        <w:rPr>
          <w:rFonts w:cs="Arial" w:ascii="Arial" w:hAnsi="Arial"/>
          <w:b/>
          <w:bCs/>
          <w:sz w:val="20"/>
          <w:szCs w:val="20"/>
        </w:rPr>
        <w:t>3.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3"/>
      <w:bookmarkStart w:id="15" w:name="sub_3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"/>
      <w:bookmarkEnd w:id="16"/>
      <w:r>
        <w:rPr>
          <w:rFonts w:cs="Arial" w:ascii="Arial" w:hAnsi="Arial"/>
          <w:sz w:val="20"/>
          <w:szCs w:val="20"/>
        </w:rPr>
        <w:t>3.1. Маркировку мешков для вяжущего производят в любой части мешка. Она должна быть отчетливой и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"/>
      <w:bookmarkEnd w:id="17"/>
      <w:r>
        <w:rPr>
          <w:rFonts w:cs="Arial" w:ascii="Arial" w:hAnsi="Arial"/>
          <w:sz w:val="20"/>
          <w:szCs w:val="20"/>
        </w:rPr>
        <w:t>наименование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вяжущего в соответствии с требованиями нормативно-технической документации на него (а при отсутствии этих требований - полное наименование вяжущего и обозначение нормативно-технического документа на вяжущее);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массу нетто вяжущего в мешке.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По согласованию с потребителем допускается замена всех обозначений на мешках цифровыми кодами по Общесоюзному классификатору промышленной и сельскохозяйственной продукции (ОКП).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Маркировку вяжущего, отгружаемого без упаковки, наносят на ярлык, прикрепляемый к транспортному средству любым способом, обеспечивающим его сохранность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Ярлык должен содержать информацию, аналогичную маркировке мешка с вяжущим.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Маркировку транспортных пакетов наносят на мешки верхнего ряда, которые должны быть уложены так, чтобы маркировка была отчетливо видна.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Транспортную маркировку по ГОСТ 14192-77 наносят также на мешки верхнего ряда.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289333276"/>
      <w:bookmarkEnd w:id="18"/>
      <w:r>
        <w:rPr>
          <w:rFonts w:cs="Arial" w:ascii="Arial" w:hAnsi="Arial"/>
          <w:i/>
          <w:iCs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89333276"/>
      <w:bookmarkStart w:id="20" w:name="sub_289333276"/>
      <w:bookmarkEnd w:id="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3.5. При отгрузке в мешках вяжущего одного наименования повагонными отправками в прямом железнодорожном сообщении, за исключением поставок в розничную торговлю, допускается наносить маркировку по </w:t>
      </w:r>
      <w:hyperlink w:anchor="sub_3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 не на каждый мешок, но не менее чем на четыре грузовых места у каждой двери, маркировкой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поставке вяжущего в мешках для розничной торговли маркировку наносят на каждый мешок.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мелкой расфасовке вяжущего каждая упаковка должна быть снабжена краткой инструкцией по применению и этикеткой, на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 и (или) его товарной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полное наименование вяжущего;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нормативно-технического документа на вяжущее;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нетто одной упаковки с вяжущим,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розничную цену за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Этикетку наклеивают на банку или пакет или вкладывают в пакет между внешними и внутренними слоями.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инструкцию по применению, изданную с помощью множительной техники, прилагать к упаковке.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3.6.1. Этикетку аналогичного содержания наклеивают на тару, используемую для отгрузки вяжущего в мелкой расфасовке, при этом она должна содержать дополнительную информацию о количестве упаковок.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sz w:val="20"/>
          <w:szCs w:val="20"/>
        </w:rPr>
        <w:t>4.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4"/>
      <w:bookmarkStart w:id="23" w:name="sub_4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Вяжущее без упаковки должно транспортироваться в специальных вагонах-цементовозах, автоцементовозах и судах, а в упакованном виде - на универсальных транспортных средствах (в крытых вагонах, полувагонах, автомобилях и судах) транспортными пакетами, в контейнерах или поштучно в соответствии с правилами перевозки и крепления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вяжущего в упакованном виде пакетами - по ГОСТ 21929-76.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Контейнеры, применяемые для транспортирования вяжущего, должны соответствовать требованиям нормативно-технической документации на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перевозка вяжущего без упаковки в крытых и соответствующим образом оборудованных вагонах.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Поставку вяжущего в мелкой расфасовке осуществляют автомобильным транспортом.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Транспортирование вяжущего пакетами в термоусадочной пленке по железной дороге осуществляют согласно Техническим условиям размещения и крепления пакета, сформированных из мешков вяжущего с использованием термоусадочной пленки, в четырехосных полувагонах, утвержденным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погрузке и транспортировании вяжущего без упаковки или в мешках оно должно быть защищено от воздействия влаги и загрязнения посторонними примесями.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Транспортные средства должны быть загружены до полной грузоподъемности или вместимости.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5"/>
      <w:bookmarkEnd w:id="24"/>
      <w:r>
        <w:rPr>
          <w:rFonts w:cs="Arial" w:ascii="Arial" w:hAnsi="Arial"/>
          <w:b/>
          <w:bCs/>
          <w:sz w:val="20"/>
          <w:szCs w:val="20"/>
        </w:rPr>
        <w:t>5.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5"/>
      <w:bookmarkStart w:id="26" w:name="sub_5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Вяжущее должно храниться раздельно по видам и маркам в силосах или других крытых емкостях, а вяжущее в упаковке - в крытых сухих помещениях. Смешивание вяжущих разных видов и марок, а также загрязнение их посторонними примесями и увлажнение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При хранении мешки с вяжущим укладывают вплотную на поддоны в ряды по высоте не более 1,8 м с обеспечением свободного подхода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При хранении вяжущего в пакетах, изготовленных с применением термоусадочной пленки, не требуется его защита от атмосферных осадков при условии целостности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защиты пакетов от примерзания и разрушения термоусадочной пленки их следует укладывать на поддоны в штабели высотой не более четырех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Запрещается хранить вяжущее без упаковки в складах амбарного типа.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1000"/>
      <w:bookmarkEnd w:id="27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1000"/>
      <w:bookmarkEnd w:id="28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Форма журнала приемо-сдаточных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Обложка журнала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министерство, ведомство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 приемо-сдаточных испытаний вяжущего: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начат 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окончен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всего листов_____________________________________________________________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Результаты приемо-сдаточных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┬────────┬──────────────┬──────┬─────────────────────────────┬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Вид  │  Марка │     Сроки    │Номер │    Значения показателей     │Отметка о приемке│  Подпись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партии│вяжущего│вяжущего│ изготовления │силоса│         качества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партии     │должностного│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(дата,│      │                             │                 │   лица</w:t>
      </w:r>
      <w:hyperlink w:anchor="sub_99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смена)    │      │                             │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├───────┬──────┤      ├─────┬─────┬─────┬─────┬─────┼─────┬───────────┤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Начало │ Конец│      │     │     │     │     │     │Дата │ Решение о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     │       │      │      │     │     │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приемке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┼──────┼──────┼─────┼─────┼─────┼─────┼─────┼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       │      │      │     │     │     │     │     │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┴───────┴──────┴──────┴─────┴─────┴─────┴─────┴─────┴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991"/>
      <w:bookmarkEnd w:id="29"/>
      <w:r>
        <w:rPr>
          <w:rFonts w:cs="Arial" w:ascii="Arial" w:hAnsi="Arial"/>
          <w:sz w:val="20"/>
          <w:szCs w:val="20"/>
        </w:rPr>
        <w:t>* Указываются все нормируемые показатели качества, предусмотренные нормативно-технической документацией на конкретный вид вяжущего.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991"/>
      <w:bookmarkStart w:id="31" w:name="sub_992"/>
      <w:bookmarkEnd w:id="30"/>
      <w:bookmarkEnd w:id="31"/>
      <w:r>
        <w:rPr>
          <w:rFonts w:cs="Arial" w:ascii="Arial" w:hAnsi="Arial"/>
          <w:sz w:val="20"/>
          <w:szCs w:val="20"/>
        </w:rPr>
        <w:t>** Подпись начальника ОТК или его заместителя, или лиц, их заменяющих.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992"/>
      <w:bookmarkStart w:id="33" w:name="sub_99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2007-02-27T14:31:00Z</dcterms:created>
  <dc:creator>VIKTOR</dc:creator>
  <dc:description/>
  <dc:language>ru-RU</dc:language>
  <cp:lastModifiedBy>VIKTOR</cp:lastModifiedBy>
  <dcterms:modified xsi:type="dcterms:W3CDTF">2007-03-13T07:43:00Z</dcterms:modified>
  <cp:revision>3</cp:revision>
  <dc:subject/>
  <dc:title/>
</cp:coreProperties>
</file>