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26253-84</w:t>
        <w:br/>
        <w:t>"Здания и сооружения. Метод определения теплоустойчивости ограждающих конструкций"</w:t>
        <w:br/>
        <w:t>(утв. постановлением Госстроя СССР от 27 июля 1984 г. N 121)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Buildings and structures. Method for determining the building structure ability to maintain a relatively constant temperature of its inside surface under cycling thermal influence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Аппаратура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Подготовка к испытаниям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Определение   затухания  амплитуды  колебаний   температуры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наружного  воздуха в неоднородной по  плотности   теплового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потока ограждающей 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жилые, общественные и производственные здания с нормируемой температурой воздуха помещений и устанавливает метод определения теплоустойчивости сплошных и с замкнутыми воздушными прослойками наружных ограждающих конструкций строящихся и эксплуатируемых зданий.</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светопрозрачные ограждающие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Теплоустойчивость ограждающей конструкции - способность сохранять относительное постоянство температуры на поверхности, обращенной в помещение, при периодических тепловых воздействиях.</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Метод определения теплоустойчивости ограждающей конструкции основан на нахождении амплитуды колебаний температуры на внутренней поверхности ограждающей конструкции.</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Теплоустойчивость ограждающих конструкций зданий определяют по результатам натурных теплотехнических испытаний в летний период.</w:t>
      </w:r>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Испытания проводят в помещениях зданий, расположенных в районах со среднемесячной температурой июля 21°С и выше.</w:t>
      </w:r>
    </w:p>
    <w:p>
      <w:pPr>
        <w:pStyle w:val="Normal"/>
        <w:autoSpaceDE w:val="false"/>
        <w:ind w:firstLine="720"/>
        <w:jc w:val="both"/>
        <w:rPr>
          <w:rFonts w:ascii="Arial" w:hAnsi="Arial" w:cs="Arial"/>
          <w:sz w:val="20"/>
          <w:szCs w:val="20"/>
        </w:rPr>
      </w:pPr>
      <w:bookmarkStart w:id="10" w:name="sub_14"/>
      <w:bookmarkStart w:id="11" w:name="sub_15"/>
      <w:bookmarkEnd w:id="10"/>
      <w:bookmarkEnd w:id="11"/>
      <w:r>
        <w:rPr>
          <w:rFonts w:cs="Arial" w:ascii="Arial" w:hAnsi="Arial"/>
          <w:sz w:val="20"/>
          <w:szCs w:val="20"/>
        </w:rPr>
        <w:t>1.5. Испытания вертикальных ограждающих конструкций проводят в помещении промежуточного этажа при ориентации наружной ограждающей конструкции на запад. Испытания покрытий проводят в помещении верхнего этажа многоэтажного здания.</w:t>
      </w:r>
    </w:p>
    <w:p>
      <w:pPr>
        <w:pStyle w:val="Normal"/>
        <w:autoSpaceDE w:val="false"/>
        <w:ind w:firstLine="720"/>
        <w:jc w:val="both"/>
        <w:rPr>
          <w:rFonts w:ascii="Arial" w:hAnsi="Arial" w:cs="Arial"/>
          <w:sz w:val="20"/>
          <w:szCs w:val="20"/>
        </w:rPr>
      </w:pPr>
      <w:bookmarkStart w:id="12" w:name="sub_15"/>
      <w:bookmarkStart w:id="13" w:name="sub_16"/>
      <w:bookmarkEnd w:id="12"/>
      <w:bookmarkEnd w:id="13"/>
      <w:r>
        <w:rPr>
          <w:rFonts w:cs="Arial" w:ascii="Arial" w:hAnsi="Arial"/>
          <w:sz w:val="20"/>
          <w:szCs w:val="20"/>
        </w:rPr>
        <w:t>1.6. Испытания проводят в помещениях с площадью светопроемов не более 25% площади вертикальной наружной ограждающей конструкции.</w:t>
      </w:r>
    </w:p>
    <w:p>
      <w:pPr>
        <w:pStyle w:val="Normal"/>
        <w:autoSpaceDE w:val="false"/>
        <w:jc w:val="both"/>
        <w:rPr>
          <w:rFonts w:ascii="Courier New" w:hAnsi="Courier New" w:cs="Courier New"/>
          <w:sz w:val="20"/>
          <w:szCs w:val="20"/>
        </w:rPr>
      </w:pPr>
      <w:bookmarkStart w:id="14" w:name="sub_16"/>
      <w:bookmarkStart w:id="15" w:name="sub_16"/>
      <w:bookmarkEnd w:id="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2"/>
      <w:bookmarkEnd w:id="16"/>
      <w:r>
        <w:rPr>
          <w:rFonts w:cs="Arial" w:ascii="Arial" w:hAnsi="Arial"/>
          <w:b/>
          <w:bCs/>
          <w:color w:val="000080"/>
          <w:sz w:val="20"/>
          <w:szCs w:val="20"/>
        </w:rPr>
        <w:t>2. Аппаратура и оборудование</w:t>
      </w:r>
    </w:p>
    <w:p>
      <w:pPr>
        <w:pStyle w:val="Normal"/>
        <w:autoSpaceDE w:val="false"/>
        <w:jc w:val="both"/>
        <w:rPr>
          <w:rFonts w:ascii="Courier New" w:hAnsi="Courier New" w:cs="Courier New"/>
          <w:b/>
          <w:b/>
          <w:bCs/>
          <w:color w:val="000080"/>
          <w:sz w:val="20"/>
          <w:szCs w:val="20"/>
        </w:rPr>
      </w:pPr>
      <w:bookmarkStart w:id="17" w:name="sub_2"/>
      <w:bookmarkStart w:id="18" w:name="sub_2"/>
      <w:bookmarkEnd w:id="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Термоэлектрические преобразователи температуры с электродами - термопары хромель-копель (ТХК) или хромель-алюмель (ТХА) по ГОСТ 6616-74 (градуировка по ГОСТ 3044-77).</w:t>
      </w:r>
    </w:p>
    <w:p>
      <w:pPr>
        <w:pStyle w:val="Normal"/>
        <w:autoSpaceDE w:val="false"/>
        <w:ind w:firstLine="720"/>
        <w:jc w:val="both"/>
        <w:rPr>
          <w:rFonts w:ascii="Arial" w:hAnsi="Arial" w:cs="Arial"/>
          <w:sz w:val="20"/>
          <w:szCs w:val="20"/>
        </w:rPr>
      </w:pPr>
      <w:r>
        <w:rPr>
          <w:rFonts w:cs="Arial" w:ascii="Arial" w:hAnsi="Arial"/>
          <w:sz w:val="20"/>
          <w:szCs w:val="20"/>
        </w:rPr>
        <w:t>Низкоомный потенциометр класса точности 0,05 с верхним пределом измерений 20 MB по ГОСТ 9245-79.</w:t>
      </w:r>
    </w:p>
    <w:p>
      <w:pPr>
        <w:pStyle w:val="Normal"/>
        <w:autoSpaceDE w:val="false"/>
        <w:ind w:firstLine="720"/>
        <w:jc w:val="both"/>
        <w:rPr>
          <w:rFonts w:ascii="Arial" w:hAnsi="Arial" w:cs="Arial"/>
          <w:sz w:val="20"/>
          <w:szCs w:val="20"/>
        </w:rPr>
      </w:pPr>
      <w:r>
        <w:rPr>
          <w:rFonts w:cs="Arial" w:ascii="Arial" w:hAnsi="Arial"/>
          <w:sz w:val="20"/>
          <w:szCs w:val="20"/>
        </w:rPr>
        <w:t>Электронный потенциометр КСП-4 с верхним пределом измерений 10 MB по ГОСТ 12997-76.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 w:name="sub_246535444"/>
      <w:bookmarkEnd w:id="19"/>
      <w:r>
        <w:rPr>
          <w:rFonts w:cs="Arial" w:ascii="Arial" w:hAnsi="Arial"/>
          <w:i/>
          <w:iCs/>
          <w:color w:val="800080"/>
          <w:sz w:val="20"/>
          <w:szCs w:val="20"/>
        </w:rPr>
        <w:t>Взамен ГОСТ 12997-76 постановлением Госстандарта СССР от 26 ноября 1984 г. N 3988 с 1 июля 1986 г. введен в действие ГОСТ 12997-84</w:t>
      </w:r>
    </w:p>
    <w:p>
      <w:pPr>
        <w:pStyle w:val="Normal"/>
        <w:autoSpaceDE w:val="false"/>
        <w:jc w:val="both"/>
        <w:rPr>
          <w:rFonts w:ascii="Arial" w:hAnsi="Arial" w:cs="Arial"/>
          <w:i/>
          <w:i/>
          <w:iCs/>
          <w:color w:val="800080"/>
          <w:sz w:val="20"/>
          <w:szCs w:val="20"/>
        </w:rPr>
      </w:pPr>
      <w:bookmarkStart w:id="20" w:name="sub_246535444"/>
      <w:bookmarkStart w:id="21" w:name="sub_246535444"/>
      <w:bookmarkEnd w:id="2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Ручной чашечный анемометр МС-13 по ГОСТ 6376-74.</w:t>
      </w:r>
    </w:p>
    <w:p>
      <w:pPr>
        <w:pStyle w:val="Normal"/>
        <w:autoSpaceDE w:val="false"/>
        <w:ind w:firstLine="720"/>
        <w:jc w:val="both"/>
        <w:rPr>
          <w:rFonts w:ascii="Arial" w:hAnsi="Arial" w:cs="Arial"/>
          <w:sz w:val="20"/>
          <w:szCs w:val="20"/>
        </w:rPr>
      </w:pPr>
      <w:r>
        <w:rPr>
          <w:rFonts w:cs="Arial" w:ascii="Arial" w:hAnsi="Arial"/>
          <w:sz w:val="20"/>
          <w:szCs w:val="20"/>
        </w:rPr>
        <w:t>Универсальный пиранометр М-80М.</w:t>
      </w:r>
    </w:p>
    <w:p>
      <w:pPr>
        <w:pStyle w:val="Normal"/>
        <w:autoSpaceDE w:val="false"/>
        <w:ind w:firstLine="720"/>
        <w:jc w:val="both"/>
        <w:rPr>
          <w:rFonts w:ascii="Arial" w:hAnsi="Arial" w:cs="Arial"/>
          <w:sz w:val="20"/>
          <w:szCs w:val="20"/>
        </w:rPr>
      </w:pPr>
      <w:r>
        <w:rPr>
          <w:rFonts w:cs="Arial" w:ascii="Arial" w:hAnsi="Arial"/>
          <w:sz w:val="20"/>
          <w:szCs w:val="20"/>
        </w:rPr>
        <w:t>Стрелочный актинометрический гальванометр ГСА-1M.</w:t>
      </w:r>
    </w:p>
    <w:p>
      <w:pPr>
        <w:pStyle w:val="Normal"/>
        <w:autoSpaceDE w:val="false"/>
        <w:ind w:firstLine="720"/>
        <w:jc w:val="both"/>
        <w:rPr>
          <w:rFonts w:ascii="Arial" w:hAnsi="Arial" w:cs="Arial"/>
          <w:sz w:val="20"/>
          <w:szCs w:val="20"/>
        </w:rPr>
      </w:pPr>
      <w:r>
        <w:rPr>
          <w:rFonts w:cs="Arial" w:ascii="Arial" w:hAnsi="Arial"/>
          <w:sz w:val="20"/>
          <w:szCs w:val="20"/>
        </w:rPr>
        <w:t>Измерительная металлическая рулетка по ГОСТ 7502-80.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246536128"/>
      <w:bookmarkEnd w:id="22"/>
      <w:r>
        <w:rPr>
          <w:rFonts w:cs="Arial" w:ascii="Arial" w:hAnsi="Arial"/>
          <w:i/>
          <w:iCs/>
          <w:color w:val="800080"/>
          <w:sz w:val="20"/>
          <w:szCs w:val="20"/>
        </w:rPr>
        <w:t>См. ГОСТ 7502-98, введеный в действие постановлением Госстандарта РФ от 27 июля 1999 г. N 220-ст с 1 июля 2000 г.</w:t>
      </w:r>
    </w:p>
    <w:p>
      <w:pPr>
        <w:pStyle w:val="Normal"/>
        <w:autoSpaceDE w:val="false"/>
        <w:jc w:val="both"/>
        <w:rPr>
          <w:rFonts w:ascii="Arial" w:hAnsi="Arial" w:cs="Arial"/>
          <w:i/>
          <w:i/>
          <w:iCs/>
          <w:color w:val="800080"/>
          <w:sz w:val="20"/>
          <w:szCs w:val="20"/>
        </w:rPr>
      </w:pPr>
      <w:bookmarkStart w:id="23" w:name="sub_246536128"/>
      <w:bookmarkStart w:id="24" w:name="sub_246536128"/>
      <w:bookmarkEnd w:id="2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Секундомер С-1 - 2А по ГОСТ 5072-79.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3"/>
      <w:bookmarkEnd w:id="25"/>
      <w:r>
        <w:rPr>
          <w:rFonts w:cs="Arial" w:ascii="Arial" w:hAnsi="Arial"/>
          <w:b/>
          <w:bCs/>
          <w:color w:val="000080"/>
          <w:sz w:val="20"/>
          <w:szCs w:val="20"/>
        </w:rPr>
        <w:t>3. Подготовка к испытаниям</w:t>
      </w:r>
    </w:p>
    <w:p>
      <w:pPr>
        <w:pStyle w:val="Normal"/>
        <w:autoSpaceDE w:val="false"/>
        <w:jc w:val="both"/>
        <w:rPr>
          <w:rFonts w:ascii="Courier New" w:hAnsi="Courier New" w:cs="Courier New"/>
          <w:b/>
          <w:b/>
          <w:bCs/>
          <w:color w:val="000080"/>
          <w:sz w:val="20"/>
          <w:szCs w:val="20"/>
        </w:rPr>
      </w:pPr>
      <w:bookmarkStart w:id="26" w:name="sub_3"/>
      <w:bookmarkStart w:id="27" w:name="sub_3"/>
      <w:bookmarkEnd w:id="27"/>
      <w:r>
        <w:rPr>
          <w:rFonts w:cs="Courier New" w:ascii="Courier New" w:hAnsi="Courier New"/>
          <w:b/>
          <w:bCs/>
          <w:color w:val="000080"/>
          <w:sz w:val="20"/>
          <w:szCs w:val="20"/>
        </w:rPr>
      </w:r>
    </w:p>
    <w:p>
      <w:pPr>
        <w:pStyle w:val="Normal"/>
        <w:autoSpaceDE w:val="false"/>
        <w:ind w:firstLine="720"/>
        <w:jc w:val="both"/>
        <w:rPr/>
      </w:pPr>
      <w:bookmarkStart w:id="28" w:name="sub_31"/>
      <w:bookmarkEnd w:id="28"/>
      <w:r>
        <w:rPr>
          <w:rFonts w:cs="Arial" w:ascii="Arial" w:hAnsi="Arial"/>
          <w:sz w:val="20"/>
          <w:szCs w:val="20"/>
        </w:rPr>
        <w:t>3.1. С наружной стороны светопроема устанавливают солнцезащитные устройства с коэффициентом теплопропускания солнечной радиации не более 0,2 (</w:t>
      </w:r>
      <w:hyperlink w:anchor="sub_2221">
        <w:r>
          <w:rPr>
            <w:rStyle w:val="Style15"/>
            <w:rFonts w:cs="Arial" w:ascii="Arial" w:hAnsi="Arial"/>
            <w:color w:val="008000"/>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9" w:name="sub_31"/>
      <w:bookmarkStart w:id="30" w:name="sub_32"/>
      <w:bookmarkEnd w:id="29"/>
      <w:bookmarkEnd w:id="30"/>
      <w:r>
        <w:rPr>
          <w:rFonts w:cs="Arial" w:ascii="Arial" w:hAnsi="Arial"/>
          <w:sz w:val="20"/>
          <w:szCs w:val="20"/>
        </w:rPr>
        <w:t>3.2. У наружной поверхности ограждающей конструкции с помощью кронштейна на расстоянии 500 мм крепят две приемные головки пиранометров таким образом, чтобы их приемные поверхности располагались параллельно (плоскости исследуемой ограждающей конструкции. Приемную поверхность одного из пиранометров разворачивают в сторону небосвода, другого - к ограждающей конструкции (см. черт. 1).</w:t>
      </w:r>
    </w:p>
    <w:p>
      <w:pPr>
        <w:pStyle w:val="Normal"/>
        <w:autoSpaceDE w:val="false"/>
        <w:ind w:firstLine="720"/>
        <w:jc w:val="both"/>
        <w:rPr>
          <w:rFonts w:ascii="Arial" w:hAnsi="Arial" w:cs="Arial"/>
          <w:sz w:val="20"/>
          <w:szCs w:val="20"/>
        </w:rPr>
      </w:pPr>
      <w:bookmarkStart w:id="31" w:name="sub_32"/>
      <w:bookmarkStart w:id="32" w:name="sub_33"/>
      <w:bookmarkEnd w:id="31"/>
      <w:bookmarkEnd w:id="32"/>
      <w:r>
        <w:rPr>
          <w:rFonts w:cs="Arial" w:ascii="Arial" w:hAnsi="Arial"/>
          <w:sz w:val="20"/>
          <w:szCs w:val="20"/>
        </w:rPr>
        <w:t>3.3. Для измерения температур внутренней поверхности ограждающей конструкции устанавливают три термопары. Участок для расстановки термопар выбирают на расстоянии не менее одной толщины ограждающей конструкции от оконного проема и примыкающих к ней конструкций. Термопары по высоте помещения располагают в трех точках: 200 и 1500 мм от уровня пола и 200 мм от потолка. Напротив каждой термопары, на расстоянии 100 мм от плоскости ограждающей конструкции, устанавливают по одной термопаре для измерения температуры воздуха в пристеночной зоне (см. черт. 1).</w:t>
      </w:r>
    </w:p>
    <w:p>
      <w:pPr>
        <w:pStyle w:val="Normal"/>
        <w:autoSpaceDE w:val="false"/>
        <w:ind w:firstLine="720"/>
        <w:jc w:val="both"/>
        <w:rPr>
          <w:rFonts w:ascii="Arial" w:hAnsi="Arial" w:cs="Arial"/>
          <w:sz w:val="20"/>
          <w:szCs w:val="20"/>
        </w:rPr>
      </w:pPr>
      <w:bookmarkStart w:id="33" w:name="sub_33"/>
      <w:bookmarkEnd w:id="33"/>
      <w:r>
        <w:rPr>
          <w:rFonts w:cs="Arial" w:ascii="Arial" w:hAnsi="Arial"/>
          <w:sz w:val="20"/>
          <w:szCs w:val="20"/>
        </w:rPr>
        <w:drawing>
          <wp:inline distT="0" distB="0" distL="0" distR="0">
            <wp:extent cx="414020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1402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 w:name="sub_2221"/>
      <w:bookmarkEnd w:id="34"/>
      <w:r>
        <w:rPr>
          <w:rFonts w:cs="Arial" w:ascii="Arial" w:hAnsi="Arial"/>
          <w:sz w:val="20"/>
          <w:szCs w:val="20"/>
        </w:rPr>
        <w:t>"Черт. 1. Схема установки пиранометров"</w:t>
      </w:r>
    </w:p>
    <w:p>
      <w:pPr>
        <w:pStyle w:val="Normal"/>
        <w:autoSpaceDE w:val="false"/>
        <w:ind w:start="139" w:firstLine="139"/>
        <w:jc w:val="both"/>
        <w:rPr>
          <w:rFonts w:ascii="Arial" w:hAnsi="Arial" w:cs="Arial"/>
          <w:sz w:val="20"/>
          <w:szCs w:val="20"/>
        </w:rPr>
      </w:pPr>
      <w:bookmarkStart w:id="35" w:name="sub_2221"/>
      <w:bookmarkEnd w:id="35"/>
      <w:r>
        <w:rPr>
          <w:rFonts w:cs="Arial" w:ascii="Arial" w:hAnsi="Arial"/>
          <w:sz w:val="20"/>
          <w:szCs w:val="20"/>
        </w:rPr>
        <w:drawing>
          <wp:inline distT="0" distB="0" distL="0" distR="0">
            <wp:extent cx="405447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0544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 w:name="sub_2222"/>
      <w:bookmarkEnd w:id="36"/>
      <w:r>
        <w:rPr>
          <w:rFonts w:cs="Arial" w:ascii="Arial" w:hAnsi="Arial"/>
          <w:sz w:val="20"/>
          <w:szCs w:val="20"/>
        </w:rPr>
        <w:t>"Черт. 2. Размещение термопар в помещении"</w:t>
      </w:r>
    </w:p>
    <w:p>
      <w:pPr>
        <w:pStyle w:val="Normal"/>
        <w:autoSpaceDE w:val="false"/>
        <w:jc w:val="both"/>
        <w:rPr>
          <w:rFonts w:ascii="Courier New" w:hAnsi="Courier New" w:cs="Courier New"/>
          <w:sz w:val="20"/>
          <w:szCs w:val="20"/>
        </w:rPr>
      </w:pPr>
      <w:bookmarkStart w:id="37" w:name="sub_2222"/>
      <w:bookmarkStart w:id="38" w:name="sub_2222"/>
      <w:bookmarkEnd w:id="38"/>
      <w:r>
        <w:rPr>
          <w:rFonts w:cs="Courier New" w:ascii="Courier New" w:hAnsi="Courier New"/>
          <w:sz w:val="20"/>
          <w:szCs w:val="20"/>
        </w:rPr>
      </w:r>
    </w:p>
    <w:p>
      <w:pPr>
        <w:pStyle w:val="Normal"/>
        <w:autoSpaceDE w:val="false"/>
        <w:ind w:firstLine="720"/>
        <w:jc w:val="both"/>
        <w:rPr/>
      </w:pPr>
      <w:bookmarkStart w:id="39" w:name="sub_34"/>
      <w:bookmarkEnd w:id="39"/>
      <w:r>
        <w:rPr>
          <w:rFonts w:cs="Arial" w:ascii="Arial" w:hAnsi="Arial"/>
          <w:sz w:val="20"/>
          <w:szCs w:val="20"/>
        </w:rPr>
        <w:t>3.4. Для измерения температуры внутреннего воздуха помещения устанавливают 9 термопар по трем вертикалям: крайние вертикали располагают на расстоянии 1 м от плоскости ограждающих конструкций, а среднюю - по центру помещения. По каждой вертикали термопары устанавливают в трех точках: 200 и 1500 мм от уровня пола и 200 мм от потолка (</w:t>
      </w:r>
      <w:hyperlink w:anchor="sub_2222">
        <w:r>
          <w:rPr>
            <w:rStyle w:val="Style15"/>
            <w:rFonts w:cs="Arial" w:ascii="Arial" w:hAnsi="Arial"/>
            <w:color w:val="008000"/>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0" w:name="sub_34"/>
      <w:bookmarkStart w:id="41" w:name="sub_35"/>
      <w:bookmarkEnd w:id="40"/>
      <w:bookmarkEnd w:id="41"/>
      <w:r>
        <w:rPr>
          <w:rFonts w:cs="Arial" w:ascii="Arial" w:hAnsi="Arial"/>
          <w:sz w:val="20"/>
          <w:szCs w:val="20"/>
        </w:rPr>
        <w:t>3.5. Для измерения температуры наружного воздуха на расстоянии 500 мм от наружной поверхности ограждающей конструкции устанавливают три термопары. Чувствительные элементы термопар от действия солнечной радиации защищают цилиндрическими колпачками, выполненными из алюминиевой фольги. Диаметр колпачка должен быть не менее 20 мм, а высота - не менее 50 мм.</w:t>
      </w:r>
    </w:p>
    <w:p>
      <w:pPr>
        <w:pStyle w:val="Normal"/>
        <w:autoSpaceDE w:val="false"/>
        <w:ind w:firstLine="720"/>
        <w:jc w:val="both"/>
        <w:rPr>
          <w:rFonts w:ascii="Arial" w:hAnsi="Arial" w:cs="Arial"/>
          <w:sz w:val="20"/>
          <w:szCs w:val="20"/>
        </w:rPr>
      </w:pPr>
      <w:bookmarkStart w:id="42" w:name="sub_35"/>
      <w:bookmarkStart w:id="43" w:name="sub_36"/>
      <w:bookmarkEnd w:id="42"/>
      <w:bookmarkEnd w:id="43"/>
      <w:r>
        <w:rPr>
          <w:rFonts w:cs="Arial" w:ascii="Arial" w:hAnsi="Arial"/>
          <w:sz w:val="20"/>
          <w:szCs w:val="20"/>
        </w:rPr>
        <w:t>3.6. Компенсационные провода от термопар и пиранометров через промежуточный многоточечный переключатель присоединяют к вторичному измерительному прибору, который располагают в соседнем помещении.</w:t>
      </w:r>
    </w:p>
    <w:p>
      <w:pPr>
        <w:pStyle w:val="Normal"/>
        <w:autoSpaceDE w:val="false"/>
        <w:ind w:firstLine="720"/>
        <w:jc w:val="both"/>
        <w:rPr>
          <w:rFonts w:ascii="Arial" w:hAnsi="Arial" w:cs="Arial"/>
          <w:sz w:val="20"/>
          <w:szCs w:val="20"/>
        </w:rPr>
      </w:pPr>
      <w:bookmarkStart w:id="44" w:name="sub_36"/>
      <w:bookmarkStart w:id="45" w:name="sub_37"/>
      <w:bookmarkEnd w:id="44"/>
      <w:bookmarkEnd w:id="45"/>
      <w:r>
        <w:rPr>
          <w:rFonts w:cs="Arial" w:ascii="Arial" w:hAnsi="Arial"/>
          <w:sz w:val="20"/>
          <w:szCs w:val="20"/>
        </w:rPr>
        <w:t>3.7. Перед началом испытаний в помещении плотно закрывают окна и двери, отключают вентиляцию, создавая закрытый воздушный режим помещения.</w:t>
      </w:r>
    </w:p>
    <w:p>
      <w:pPr>
        <w:pStyle w:val="Normal"/>
        <w:autoSpaceDE w:val="false"/>
        <w:jc w:val="both"/>
        <w:rPr>
          <w:rFonts w:ascii="Courier New" w:hAnsi="Courier New" w:cs="Courier New"/>
          <w:sz w:val="20"/>
          <w:szCs w:val="20"/>
        </w:rPr>
      </w:pPr>
      <w:bookmarkStart w:id="46" w:name="sub_37"/>
      <w:bookmarkStart w:id="47" w:name="sub_37"/>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4"/>
      <w:bookmarkEnd w:id="48"/>
      <w:r>
        <w:rPr>
          <w:rFonts w:cs="Arial" w:ascii="Arial" w:hAnsi="Arial"/>
          <w:b/>
          <w:bCs/>
          <w:color w:val="000080"/>
          <w:sz w:val="20"/>
          <w:szCs w:val="20"/>
        </w:rPr>
        <w:t>4. Проведение испытаний</w:t>
      </w:r>
    </w:p>
    <w:p>
      <w:pPr>
        <w:pStyle w:val="Normal"/>
        <w:autoSpaceDE w:val="false"/>
        <w:jc w:val="both"/>
        <w:rPr>
          <w:rFonts w:ascii="Courier New" w:hAnsi="Courier New" w:cs="Courier New"/>
          <w:b/>
          <w:b/>
          <w:bCs/>
          <w:color w:val="000080"/>
          <w:sz w:val="20"/>
          <w:szCs w:val="20"/>
        </w:rPr>
      </w:pPr>
      <w:bookmarkStart w:id="49" w:name="sub_4"/>
      <w:bookmarkStart w:id="50" w:name="sub_4"/>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 w:name="sub_41"/>
      <w:bookmarkEnd w:id="51"/>
      <w:r>
        <w:rPr>
          <w:rFonts w:cs="Arial" w:ascii="Arial" w:hAnsi="Arial"/>
          <w:sz w:val="20"/>
          <w:szCs w:val="20"/>
        </w:rPr>
        <w:t>4.1. При проведении испытаний при помощи потенциометра последовательно измеряют значение термо-э.д.с всех термопар. При отсутствии непрерывной записи показаний измерения проводят круглосуточно с интервалом в 1 ч.</w:t>
      </w:r>
    </w:p>
    <w:p>
      <w:pPr>
        <w:pStyle w:val="Normal"/>
        <w:autoSpaceDE w:val="false"/>
        <w:ind w:firstLine="720"/>
        <w:jc w:val="both"/>
        <w:rPr>
          <w:rFonts w:ascii="Arial" w:hAnsi="Arial" w:cs="Arial"/>
          <w:sz w:val="20"/>
          <w:szCs w:val="20"/>
        </w:rPr>
      </w:pPr>
      <w:bookmarkStart w:id="52" w:name="sub_41"/>
      <w:bookmarkStart w:id="53" w:name="sub_42"/>
      <w:bookmarkEnd w:id="52"/>
      <w:bookmarkEnd w:id="53"/>
      <w:r>
        <w:rPr>
          <w:rFonts w:cs="Arial" w:ascii="Arial" w:hAnsi="Arial"/>
          <w:sz w:val="20"/>
          <w:szCs w:val="20"/>
        </w:rPr>
        <w:t>4.2. Интенсивность суммарного солнечного облучения исследуемой ограждающей конструкции измеряют пиранометром, приемная поверхность которого развернута в сторону небосвода. Измерения проводят с интервалом в 1 ч в светлое время суток.</w:t>
      </w:r>
    </w:p>
    <w:p>
      <w:pPr>
        <w:pStyle w:val="Normal"/>
        <w:autoSpaceDE w:val="false"/>
        <w:ind w:firstLine="720"/>
        <w:jc w:val="both"/>
        <w:rPr>
          <w:rFonts w:ascii="Arial" w:hAnsi="Arial" w:cs="Arial"/>
          <w:sz w:val="20"/>
          <w:szCs w:val="20"/>
        </w:rPr>
      </w:pPr>
      <w:bookmarkStart w:id="54" w:name="sub_42"/>
      <w:bookmarkStart w:id="55" w:name="sub_43"/>
      <w:bookmarkEnd w:id="54"/>
      <w:bookmarkEnd w:id="55"/>
      <w:r>
        <w:rPr>
          <w:rFonts w:cs="Arial" w:ascii="Arial" w:hAnsi="Arial"/>
          <w:sz w:val="20"/>
          <w:szCs w:val="20"/>
        </w:rPr>
        <w:t>4.3. Интенсивность отраженной от поверхности ограждения солнечной радиации измеряют пиранометром, приемная поверхность которого обращена к ограждающей конструкции.</w:t>
      </w:r>
    </w:p>
    <w:p>
      <w:pPr>
        <w:pStyle w:val="Normal"/>
        <w:autoSpaceDE w:val="false"/>
        <w:ind w:firstLine="720"/>
        <w:jc w:val="both"/>
        <w:rPr>
          <w:rFonts w:ascii="Arial" w:hAnsi="Arial" w:cs="Arial"/>
          <w:sz w:val="20"/>
          <w:szCs w:val="20"/>
        </w:rPr>
      </w:pPr>
      <w:bookmarkStart w:id="56" w:name="sub_43"/>
      <w:bookmarkEnd w:id="56"/>
      <w:r>
        <w:rPr>
          <w:rFonts w:cs="Arial" w:ascii="Arial" w:hAnsi="Arial"/>
          <w:sz w:val="20"/>
          <w:szCs w:val="20"/>
        </w:rPr>
        <w:t>Интенсивность отраженной солнечной радиации измеряют одновременно с измерениями суммарного солнечного облучения не менее трех раз в инсолируемый период суток.</w:t>
      </w:r>
    </w:p>
    <w:p>
      <w:pPr>
        <w:pStyle w:val="Normal"/>
        <w:autoSpaceDE w:val="false"/>
        <w:ind w:firstLine="720"/>
        <w:jc w:val="both"/>
        <w:rPr>
          <w:rFonts w:ascii="Arial" w:hAnsi="Arial" w:cs="Arial"/>
          <w:sz w:val="20"/>
          <w:szCs w:val="20"/>
        </w:rPr>
      </w:pPr>
      <w:r>
        <w:rPr>
          <w:rFonts w:cs="Arial" w:ascii="Arial" w:hAnsi="Arial"/>
          <w:sz w:val="20"/>
          <w:szCs w:val="20"/>
        </w:rPr>
        <w:t>При линейных размерах однородного участка ограждающей конструкции менее 2000 мм необходимо произвести повторные измерения отраженной солнечной радиации при положении приемной поверхности пиранометра на расстоянии 250 мм от наружной поверхности ограждающей конструкции.</w:t>
      </w:r>
    </w:p>
    <w:p>
      <w:pPr>
        <w:pStyle w:val="Normal"/>
        <w:autoSpaceDE w:val="false"/>
        <w:ind w:firstLine="720"/>
        <w:jc w:val="both"/>
        <w:rPr>
          <w:rFonts w:ascii="Arial" w:hAnsi="Arial" w:cs="Arial"/>
          <w:sz w:val="20"/>
          <w:szCs w:val="20"/>
        </w:rPr>
      </w:pPr>
      <w:bookmarkStart w:id="57" w:name="sub_44"/>
      <w:bookmarkEnd w:id="57"/>
      <w:r>
        <w:rPr>
          <w:rFonts w:cs="Arial" w:ascii="Arial" w:hAnsi="Arial"/>
          <w:sz w:val="20"/>
          <w:szCs w:val="20"/>
        </w:rPr>
        <w:t>4.4. Измерения показаний универсальных пиранометров М-80М проводят стрелочным актинометрическим гальванометром ГСА-1М.</w:t>
      </w:r>
    </w:p>
    <w:p>
      <w:pPr>
        <w:pStyle w:val="Normal"/>
        <w:autoSpaceDE w:val="false"/>
        <w:ind w:firstLine="720"/>
        <w:jc w:val="both"/>
        <w:rPr>
          <w:rFonts w:ascii="Arial" w:hAnsi="Arial" w:cs="Arial"/>
          <w:sz w:val="20"/>
          <w:szCs w:val="20"/>
        </w:rPr>
      </w:pPr>
      <w:bookmarkStart w:id="58" w:name="sub_44"/>
      <w:bookmarkStart w:id="59" w:name="sub_45"/>
      <w:bookmarkEnd w:id="58"/>
      <w:bookmarkEnd w:id="59"/>
      <w:r>
        <w:rPr>
          <w:rFonts w:cs="Arial" w:ascii="Arial" w:hAnsi="Arial"/>
          <w:sz w:val="20"/>
          <w:szCs w:val="20"/>
        </w:rPr>
        <w:t>4.5. Скорость ветра измеряют чашечным анемометром МС-13 на территории объекта испытаний четыре раза в сутки через равные промежутки времени. Измерения проводят на расстоянии от объекта испытаний, равном не менее высоты здания.</w:t>
      </w:r>
    </w:p>
    <w:p>
      <w:pPr>
        <w:pStyle w:val="Normal"/>
        <w:autoSpaceDE w:val="false"/>
        <w:ind w:firstLine="720"/>
        <w:jc w:val="both"/>
        <w:rPr>
          <w:rFonts w:ascii="Arial" w:hAnsi="Arial" w:cs="Arial"/>
          <w:sz w:val="20"/>
          <w:szCs w:val="20"/>
        </w:rPr>
      </w:pPr>
      <w:bookmarkStart w:id="60" w:name="sub_45"/>
      <w:bookmarkStart w:id="61" w:name="sub_46"/>
      <w:bookmarkEnd w:id="60"/>
      <w:bookmarkEnd w:id="61"/>
      <w:r>
        <w:rPr>
          <w:rFonts w:cs="Arial" w:ascii="Arial" w:hAnsi="Arial"/>
          <w:sz w:val="20"/>
          <w:szCs w:val="20"/>
        </w:rPr>
        <w:t>4.6. Длительность испытаний составляет не менее 5 сут.</w:t>
      </w:r>
    </w:p>
    <w:p>
      <w:pPr>
        <w:pStyle w:val="Normal"/>
        <w:autoSpaceDE w:val="false"/>
        <w:jc w:val="both"/>
        <w:rPr>
          <w:rFonts w:ascii="Courier New" w:hAnsi="Courier New" w:cs="Courier New"/>
          <w:sz w:val="20"/>
          <w:szCs w:val="20"/>
        </w:rPr>
      </w:pPr>
      <w:bookmarkStart w:id="62" w:name="sub_46"/>
      <w:bookmarkStart w:id="63" w:name="sub_46"/>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5"/>
      <w:bookmarkEnd w:id="64"/>
      <w:r>
        <w:rPr>
          <w:rFonts w:cs="Arial" w:ascii="Arial" w:hAnsi="Arial"/>
          <w:b/>
          <w:bCs/>
          <w:color w:val="000080"/>
          <w:sz w:val="20"/>
          <w:szCs w:val="20"/>
        </w:rPr>
        <w:t>5. Обработка результатов</w:t>
      </w:r>
    </w:p>
    <w:p>
      <w:pPr>
        <w:pStyle w:val="Normal"/>
        <w:autoSpaceDE w:val="false"/>
        <w:jc w:val="both"/>
        <w:rPr>
          <w:rFonts w:ascii="Courier New" w:hAnsi="Courier New" w:cs="Courier New"/>
          <w:b/>
          <w:b/>
          <w:bCs/>
          <w:color w:val="000080"/>
          <w:sz w:val="20"/>
          <w:szCs w:val="20"/>
        </w:rPr>
      </w:pPr>
      <w:bookmarkStart w:id="65" w:name="sub_5"/>
      <w:bookmarkStart w:id="66" w:name="sub_5"/>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 w:name="sub_51"/>
      <w:bookmarkEnd w:id="67"/>
      <w:r>
        <w:rPr>
          <w:rFonts w:cs="Arial" w:ascii="Arial" w:hAnsi="Arial"/>
          <w:sz w:val="20"/>
          <w:szCs w:val="20"/>
        </w:rPr>
        <w:t>5.1. Результаты испытаний обрабатывают по трем суточным циклам испытаний с наибольшей повторяемостью измеряемых параметров.</w:t>
      </w:r>
    </w:p>
    <w:p>
      <w:pPr>
        <w:pStyle w:val="Normal"/>
        <w:autoSpaceDE w:val="false"/>
        <w:ind w:firstLine="720"/>
        <w:jc w:val="both"/>
        <w:rPr>
          <w:rFonts w:ascii="Arial" w:hAnsi="Arial" w:cs="Arial"/>
          <w:sz w:val="20"/>
          <w:szCs w:val="20"/>
        </w:rPr>
      </w:pPr>
      <w:bookmarkStart w:id="68" w:name="sub_51"/>
      <w:bookmarkStart w:id="69" w:name="sub_52"/>
      <w:bookmarkEnd w:id="68"/>
      <w:bookmarkEnd w:id="69"/>
      <w:r>
        <w:rPr>
          <w:rFonts w:cs="Arial" w:ascii="Arial" w:hAnsi="Arial"/>
          <w:sz w:val="20"/>
          <w:szCs w:val="20"/>
        </w:rPr>
        <w:t>5.2. Среднесуточные значения измеренных параметров (температуры, интенсивности солнечной радиации и скорости ветра) вычисляют как средние арифметические значения по числу результатов измерений.</w:t>
      </w:r>
    </w:p>
    <w:p>
      <w:pPr>
        <w:pStyle w:val="Normal"/>
        <w:autoSpaceDE w:val="false"/>
        <w:ind w:firstLine="720"/>
        <w:jc w:val="both"/>
        <w:rPr>
          <w:rFonts w:ascii="Arial" w:hAnsi="Arial" w:cs="Arial"/>
          <w:sz w:val="20"/>
          <w:szCs w:val="20"/>
        </w:rPr>
      </w:pPr>
      <w:bookmarkStart w:id="70" w:name="sub_52"/>
      <w:bookmarkStart w:id="71" w:name="sub_53"/>
      <w:bookmarkEnd w:id="70"/>
      <w:bookmarkEnd w:id="71"/>
      <w:r>
        <w:rPr>
          <w:rFonts w:cs="Arial" w:ascii="Arial" w:hAnsi="Arial"/>
          <w:sz w:val="20"/>
          <w:szCs w:val="20"/>
        </w:rPr>
        <w:t>5.3. Амплитуды колебаний температуры и интенсивности солнечной радиации вычисляют как разность между максимальными и среднесуточными значениями измеренной величины.</w:t>
      </w:r>
    </w:p>
    <w:p>
      <w:pPr>
        <w:pStyle w:val="Normal"/>
        <w:autoSpaceDE w:val="false"/>
        <w:ind w:firstLine="720"/>
        <w:jc w:val="both"/>
        <w:rPr>
          <w:rFonts w:ascii="Arial" w:hAnsi="Arial" w:cs="Arial"/>
          <w:sz w:val="20"/>
          <w:szCs w:val="20"/>
        </w:rPr>
      </w:pPr>
      <w:bookmarkStart w:id="72" w:name="sub_53"/>
      <w:bookmarkStart w:id="73" w:name="sub_54"/>
      <w:bookmarkEnd w:id="72"/>
      <w:bookmarkEnd w:id="73"/>
      <w:r>
        <w:rPr>
          <w:rFonts w:cs="Arial" w:ascii="Arial" w:hAnsi="Arial"/>
          <w:sz w:val="20"/>
          <w:szCs w:val="20"/>
        </w:rPr>
        <w:t>5.4. Экспериментальное значение температуры внутреннего воздуха t_в определяют как среднее арифметическое значение температур, измеренных в 12 точках объема помещения.</w:t>
      </w:r>
    </w:p>
    <w:p>
      <w:pPr>
        <w:pStyle w:val="Normal"/>
        <w:autoSpaceDE w:val="false"/>
        <w:ind w:firstLine="720"/>
        <w:jc w:val="both"/>
        <w:rPr>
          <w:rFonts w:ascii="Arial" w:hAnsi="Arial" w:cs="Arial"/>
          <w:sz w:val="20"/>
          <w:szCs w:val="20"/>
        </w:rPr>
      </w:pPr>
      <w:bookmarkStart w:id="74" w:name="sub_54"/>
      <w:bookmarkStart w:id="75" w:name="sub_55"/>
      <w:bookmarkEnd w:id="74"/>
      <w:bookmarkEnd w:id="75"/>
      <w:r>
        <w:rPr>
          <w:rFonts w:cs="Arial" w:ascii="Arial" w:hAnsi="Arial"/>
          <w:sz w:val="20"/>
          <w:szCs w:val="20"/>
        </w:rPr>
        <w:t>5.5. Экспериментальные значения температур внутренней поверхности ограждающей конструкции тау_в и наружного воздуха t_н определяют как среднее арифметическое значение трех измерений температур соответственно поверхности ограждающей конструкции и воздуха.</w:t>
      </w:r>
    </w:p>
    <w:p>
      <w:pPr>
        <w:pStyle w:val="Normal"/>
        <w:autoSpaceDE w:val="false"/>
        <w:ind w:firstLine="720"/>
        <w:jc w:val="both"/>
        <w:rPr>
          <w:rFonts w:ascii="Arial" w:hAnsi="Arial" w:cs="Arial"/>
          <w:sz w:val="20"/>
          <w:szCs w:val="20"/>
        </w:rPr>
      </w:pPr>
      <w:bookmarkStart w:id="76" w:name="sub_55"/>
      <w:bookmarkStart w:id="77" w:name="sub_56"/>
      <w:bookmarkEnd w:id="76"/>
      <w:bookmarkEnd w:id="77"/>
      <w:r>
        <w:rPr>
          <w:rFonts w:cs="Arial" w:ascii="Arial" w:hAnsi="Arial"/>
          <w:sz w:val="20"/>
          <w:szCs w:val="20"/>
        </w:rPr>
        <w:t>5.6. Коэффициент теплоотдачи наружной поверхности ограждающей конструкции альфа_н, Вт/(м2 х °С), вычисляют по формуле</w:t>
      </w:r>
    </w:p>
    <w:p>
      <w:pPr>
        <w:pStyle w:val="Normal"/>
        <w:autoSpaceDE w:val="false"/>
        <w:ind w:firstLine="720"/>
        <w:jc w:val="both"/>
        <w:rPr>
          <w:rFonts w:ascii="Arial" w:hAnsi="Arial" w:cs="Arial"/>
          <w:sz w:val="20"/>
          <w:szCs w:val="20"/>
        </w:rPr>
      </w:pPr>
      <w:bookmarkStart w:id="78" w:name="sub_56"/>
      <w:bookmarkEnd w:id="78"/>
      <w:r>
        <w:rPr>
          <w:rFonts w:cs="Arial" w:ascii="Arial" w:hAnsi="Arial"/>
          <w:sz w:val="20"/>
          <w:szCs w:val="20"/>
        </w:rPr>
        <w:drawing>
          <wp:inline distT="0" distB="0" distL="0" distR="0">
            <wp:extent cx="2743200" cy="44894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4489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9" w:name="sub_2223"/>
      <w:bookmarkEnd w:id="79"/>
      <w:r>
        <w:rPr>
          <w:rFonts w:cs="Arial" w:ascii="Arial" w:hAnsi="Arial"/>
          <w:sz w:val="20"/>
          <w:szCs w:val="20"/>
        </w:rPr>
        <w:t>"Формула (1)"</w:t>
      </w:r>
    </w:p>
    <w:p>
      <w:pPr>
        <w:pStyle w:val="Normal"/>
        <w:autoSpaceDE w:val="false"/>
        <w:jc w:val="both"/>
        <w:rPr>
          <w:rFonts w:ascii="Courier New" w:hAnsi="Courier New" w:cs="Courier New"/>
          <w:sz w:val="20"/>
          <w:szCs w:val="20"/>
        </w:rPr>
      </w:pPr>
      <w:bookmarkStart w:id="80" w:name="sub_2223"/>
      <w:bookmarkStart w:id="81" w:name="sub_2223"/>
      <w:bookmarkEnd w:id="8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 w:name="sub_57"/>
      <w:bookmarkEnd w:id="82"/>
      <w:r>
        <w:rPr>
          <w:rFonts w:cs="Arial" w:ascii="Arial" w:hAnsi="Arial"/>
          <w:sz w:val="20"/>
          <w:szCs w:val="20"/>
        </w:rPr>
        <w:t>5.7. При линейных размерах облучаемого однородного участка конструкции более 2000 мм альбедо наружной поверхности конструкции а вычисляют по формуле</w:t>
      </w:r>
    </w:p>
    <w:p>
      <w:pPr>
        <w:pStyle w:val="Normal"/>
        <w:autoSpaceDE w:val="false"/>
        <w:jc w:val="both"/>
        <w:rPr>
          <w:rFonts w:ascii="Courier New" w:hAnsi="Courier New" w:cs="Courier New"/>
          <w:sz w:val="20"/>
          <w:szCs w:val="20"/>
        </w:rPr>
      </w:pPr>
      <w:bookmarkStart w:id="83" w:name="sub_57"/>
      <w:bookmarkStart w:id="84" w:name="sub_57"/>
      <w:bookmarkEnd w:id="8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5" w:name="sub_77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bookmarkStart w:id="86" w:name="sub_772"/>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I_отр     - среднее   арифметическое   значение    трех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интенсивности  отраженной  от   поверхности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солнечной радиации, 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I_сум     - то же,  интенсивности  суммарного  солнечного  облучения,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линейных размерах облучаемого однородного участка конструкции от 2000 до 700 мм альбедо наружной поверхности конструкции 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7" w:name="sub_773"/>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a_1 х k_1 - a_2 х k_2,                 (3)</w:t>
      </w:r>
    </w:p>
    <w:p>
      <w:pPr>
        <w:pStyle w:val="Normal"/>
        <w:autoSpaceDE w:val="false"/>
        <w:jc w:val="both"/>
        <w:rPr>
          <w:rFonts w:ascii="Courier New" w:hAnsi="Courier New" w:cs="Courier New"/>
          <w:sz w:val="20"/>
          <w:szCs w:val="20"/>
        </w:rPr>
      </w:pPr>
      <w:bookmarkStart w:id="88" w:name="sub_773"/>
      <w:bookmarkStart w:id="89" w:name="sub_773"/>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а_1       - альбедо наружной поверхности конструкции, вычисленное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2">
        <w:r>
          <w:rPr>
            <w:rStyle w:val="Style15"/>
            <w:rFonts w:cs="Courier New" w:ascii="Courier New" w:hAnsi="Courier New"/>
            <w:color w:val="008000"/>
            <w:sz w:val="20"/>
            <w:szCs w:val="20"/>
            <w:u w:val="single"/>
            <w:lang w:val="ru-RU" w:eastAsia="ru-RU"/>
          </w:rPr>
          <w:t>формуле  (2)</w:t>
        </w:r>
      </w:hyperlink>
      <w:r>
        <w:rPr>
          <w:rFonts w:cs="Courier New" w:ascii="Courier New" w:hAnsi="Courier New"/>
          <w:sz w:val="20"/>
          <w:szCs w:val="20"/>
          <w:lang w:val="ru-RU" w:eastAsia="ru-RU"/>
        </w:rPr>
        <w:t xml:space="preserve">  -  при  расположении  приемной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пиранометра  на  расстоянии   250   мм   от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а_2           - то же, при расположении приемной поверхности  пиранометра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расстоянии 500 мм от ограждающей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k_1, k_2      - коэффициенты   в   зависимости   от   линейного   размера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однородного  участка  наружной  ограждающей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принимаемые по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1111"/>
      <w:bookmarkEnd w:id="9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1" w:name="sub_1111"/>
      <w:bookmarkStart w:id="92" w:name="sub_1111"/>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Линейный   размер    │         k_1          │          k_2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однородного участка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облучаемой ограждающей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1,40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1,45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1,66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1,86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3" w:name="sub_58"/>
      <w:bookmarkEnd w:id="93"/>
      <w:r>
        <w:rPr>
          <w:rFonts w:cs="Arial" w:ascii="Arial" w:hAnsi="Arial"/>
          <w:sz w:val="20"/>
          <w:szCs w:val="20"/>
        </w:rPr>
        <w:t>5.8. Амплитуду эквивалентной температуры солнечного облучения А_t_экв вычисляют по формуле</w:t>
      </w:r>
    </w:p>
    <w:p>
      <w:pPr>
        <w:pStyle w:val="Normal"/>
        <w:autoSpaceDE w:val="false"/>
        <w:jc w:val="both"/>
        <w:rPr>
          <w:rFonts w:ascii="Courier New" w:hAnsi="Courier New" w:cs="Courier New"/>
          <w:sz w:val="20"/>
          <w:szCs w:val="20"/>
        </w:rPr>
      </w:pPr>
      <w:bookmarkStart w:id="94" w:name="sub_58"/>
      <w:bookmarkStart w:id="95" w:name="sub_58"/>
      <w:bookmarkEnd w:id="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а) (I_max - I_ср)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t_экв           альфа_н,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альбедо поверхности ограждающей конструкции,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w:t>
      </w:r>
      <w:hyperlink w:anchor="sub_57">
        <w:r>
          <w:rPr>
            <w:rStyle w:val="Style15"/>
            <w:rFonts w:cs="Courier New" w:ascii="Courier New" w:hAnsi="Courier New"/>
            <w:color w:val="008000"/>
            <w:sz w:val="20"/>
            <w:szCs w:val="20"/>
            <w:u w:val="single"/>
            <w:lang w:val="ru-RU" w:eastAsia="ru-RU"/>
          </w:rPr>
          <w:t>п. 5.7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I_max, I_ср   - соответственно максимальное и среднее  суточное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интенсивности суммарного  солнечного  облучения  наружной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ограждающей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альфа_н       - коэффициент теплоотдачи  наружной поверхности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конструкции, определяемый по </w:t>
      </w:r>
      <w:hyperlink w:anchor="sub_56">
        <w:r>
          <w:rPr>
            <w:rStyle w:val="Style15"/>
            <w:rFonts w:cs="Courier New" w:ascii="Courier New" w:hAnsi="Courier New"/>
            <w:color w:val="008000"/>
            <w:sz w:val="20"/>
            <w:szCs w:val="20"/>
            <w:u w:val="single"/>
            <w:lang w:val="ru-RU" w:eastAsia="ru-RU"/>
          </w:rPr>
          <w:t>п. 5.6</w:t>
        </w:r>
      </w:hyperlink>
      <w:r>
        <w:rPr>
          <w:rFonts w:cs="Courier New" w:ascii="Courier New" w:hAnsi="Courier New"/>
          <w:sz w:val="20"/>
          <w:szCs w:val="20"/>
          <w:lang w:val="ru-RU" w:eastAsia="ru-RU"/>
        </w:rPr>
        <w:t>,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59"/>
      <w:bookmarkEnd w:id="96"/>
      <w:r>
        <w:rPr>
          <w:rFonts w:cs="Arial" w:ascii="Arial" w:hAnsi="Arial"/>
          <w:sz w:val="20"/>
          <w:szCs w:val="20"/>
        </w:rPr>
        <w:t>5.9. Определяют временной интервал дельта z, ч, равный разности времени наступления максимальных значений температуры наружного воздуха и интенсивности суммарного солнечного облучения наружной поверхности ограждающей конструкции.</w:t>
      </w:r>
    </w:p>
    <w:p>
      <w:pPr>
        <w:pStyle w:val="Normal"/>
        <w:autoSpaceDE w:val="false"/>
        <w:jc w:val="both"/>
        <w:rPr>
          <w:rFonts w:ascii="Courier New" w:hAnsi="Courier New" w:cs="Courier New"/>
          <w:sz w:val="20"/>
          <w:szCs w:val="20"/>
        </w:rPr>
      </w:pPr>
      <w:bookmarkStart w:id="97" w:name="sub_59"/>
      <w:bookmarkStart w:id="98" w:name="sub_510"/>
      <w:bookmarkEnd w:id="97"/>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Амплитуду колебаний температуры  наружного  воздуха  с  учетом</w:t>
      </w:r>
    </w:p>
    <w:p>
      <w:pPr>
        <w:pStyle w:val="Normal"/>
        <w:autoSpaceDE w:val="false"/>
        <w:jc w:val="both"/>
        <w:rPr>
          <w:rFonts w:ascii="Courier New" w:hAnsi="Courier New" w:cs="Courier New"/>
          <w:sz w:val="20"/>
          <w:szCs w:val="20"/>
        </w:rPr>
      </w:pPr>
      <w:bookmarkStart w:id="99" w:name="sub_510"/>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солнечной радиации А    , вычисляют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х мю,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t_н       t_экв    t_н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амплитуда   эквивалентной     температуры      солнечного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t_экв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облучения, определяемая по </w:t>
      </w:r>
      <w:hyperlink w:anchor="sub_58">
        <w:r>
          <w:rPr>
            <w:rStyle w:val="Style15"/>
            <w:rFonts w:cs="Courier New" w:ascii="Courier New" w:hAnsi="Courier New"/>
            <w:color w:val="008000"/>
            <w:sz w:val="20"/>
            <w:szCs w:val="20"/>
            <w:u w:val="single"/>
            <w:lang w:val="ru-RU" w:eastAsia="ru-RU"/>
          </w:rPr>
          <w:t>п. 5.8</w:t>
        </w:r>
      </w:hyperlink>
      <w:r>
        <w:rPr>
          <w:rFonts w:cs="Courier New" w:ascii="Courier New" w:hAnsi="Courier New"/>
          <w:sz w:val="20"/>
          <w:szCs w:val="20"/>
          <w:lang w:val="ru-RU" w:eastAsia="ru-RU"/>
        </w:rPr>
        <w:t>,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 амплитуда  колебаний температуры   наружного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определяемая по </w:t>
      </w:r>
      <w:hyperlink w:anchor="sub_53">
        <w:r>
          <w:rPr>
            <w:rStyle w:val="Style15"/>
            <w:rFonts w:cs="Courier New" w:ascii="Courier New" w:hAnsi="Courier New"/>
            <w:color w:val="008000"/>
            <w:sz w:val="20"/>
            <w:szCs w:val="20"/>
            <w:u w:val="single"/>
            <w:lang w:val="ru-RU" w:eastAsia="ru-RU"/>
          </w:rPr>
          <w:t>п. 5.3</w:t>
        </w:r>
      </w:hyperlink>
      <w:r>
        <w:rPr>
          <w:rFonts w:cs="Courier New" w:ascii="Courier New" w:hAnsi="Courier New"/>
          <w:sz w:val="20"/>
          <w:szCs w:val="20"/>
          <w:lang w:val="ru-RU" w:eastAsia="ru-RU"/>
        </w:rPr>
        <w:t>,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мю            - безразмерный  коэффициент,  учитывающий  несовпадение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времени    дельта z  максимальных  значений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наружного воздуха и интенсивности  суммарного  солнечного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облучения, принимают по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112"/>
      <w:bookmarkEnd w:id="10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1" w:name="sub_1112"/>
      <w:bookmarkStart w:id="102" w:name="sub_1112"/>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Отношение  │         Коэффициент мю при  интервале дельта z,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амплитуд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t_экв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0,99    │   0,96   │   0,92    │   0,87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0,99    │   0,97   │   0,93    │   0,87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0,99    │   0,97   │   0,93    │   0,88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0,99    │   0,97   │   0,94    │   0,90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1,00    │   0,98   │   0,96    │   0,93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511"/>
      <w:bookmarkEnd w:id="103"/>
      <w:r>
        <w:rPr>
          <w:rFonts w:cs="Arial" w:ascii="Arial" w:hAnsi="Arial"/>
          <w:sz w:val="20"/>
          <w:szCs w:val="20"/>
        </w:rPr>
        <w:t>5.11. Затухание амплитуды колебаний температуры внутреннего воздуха ню_в относительно амплитуды колебаний температуры внутренней поверхности ограждающей конструкции вычисляют по формуле</w:t>
      </w:r>
    </w:p>
    <w:p>
      <w:pPr>
        <w:pStyle w:val="Normal"/>
        <w:autoSpaceDE w:val="false"/>
        <w:jc w:val="both"/>
        <w:rPr>
          <w:rFonts w:ascii="Courier New" w:hAnsi="Courier New" w:cs="Courier New"/>
          <w:sz w:val="20"/>
          <w:szCs w:val="20"/>
        </w:rPr>
      </w:pPr>
      <w:bookmarkStart w:id="104" w:name="sub_511"/>
      <w:bookmarkStart w:id="105" w:name="sub_511"/>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ню_в = 1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Y_в       - коэффициент    теплоусвоения    внутренней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ограждающей конструкции, вычисляемый  по  методике  главы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"Строительная теплотехника", Вт/(м2 х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альфа_в       - коэффициент    теплоотдачи     внутренней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ограждающей  конструкции,  принимаемый  по   главе   СНиП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"Строительная теплотехника",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695388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953885" cy="358140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106" w:name="sub_512"/>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5.12.   Расчетную   амплитуду   колебаний   температуры   внутренней</w:t>
      </w:r>
    </w:p>
    <w:p>
      <w:pPr>
        <w:pStyle w:val="Normal"/>
        <w:autoSpaceDE w:val="false"/>
        <w:jc w:val="both"/>
        <w:rPr>
          <w:rFonts w:ascii="Courier New" w:hAnsi="Courier New" w:cs="Courier New"/>
          <w:sz w:val="20"/>
          <w:szCs w:val="20"/>
        </w:rPr>
      </w:pPr>
      <w:bookmarkStart w:id="107" w:name="sub_512"/>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ограждения А      вычисляют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8" w:name="sub_2224"/>
      <w:bookmarkEnd w:id="108"/>
      <w:r>
        <w:rPr>
          <w:rFonts w:cs="Arial" w:ascii="Arial" w:hAnsi="Arial"/>
          <w:sz w:val="20"/>
          <w:szCs w:val="20"/>
        </w:rPr>
        <w:t>"Формула (7)"</w:t>
      </w:r>
    </w:p>
    <w:p>
      <w:pPr>
        <w:pStyle w:val="Normal"/>
        <w:autoSpaceDE w:val="false"/>
        <w:jc w:val="both"/>
        <w:rPr>
          <w:rFonts w:ascii="Courier New" w:hAnsi="Courier New" w:cs="Courier New"/>
          <w:sz w:val="20"/>
          <w:szCs w:val="20"/>
        </w:rPr>
      </w:pPr>
      <w:bookmarkStart w:id="109" w:name="sub_2224"/>
      <w:bookmarkStart w:id="110" w:name="sub_2224"/>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2743200" cy="122047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122047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111" w:name="sub_513"/>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5.13.  Приведенную  амплитуду   колебаний   температуры   внутренней</w:t>
      </w:r>
    </w:p>
    <w:p>
      <w:pPr>
        <w:pStyle w:val="Normal"/>
        <w:autoSpaceDE w:val="false"/>
        <w:jc w:val="both"/>
        <w:rPr>
          <w:rFonts w:ascii="Courier New" w:hAnsi="Courier New" w:cs="Courier New"/>
          <w:sz w:val="20"/>
          <w:szCs w:val="20"/>
        </w:rPr>
      </w:pPr>
      <w:bookmarkStart w:id="112" w:name="sub_513"/>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ограждающей конструкции А     ,   соответствующую  расчетным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климатическим условиям,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2225"/>
      <w:bookmarkEnd w:id="113"/>
      <w:r>
        <w:rPr>
          <w:rFonts w:cs="Arial" w:ascii="Arial" w:hAnsi="Arial"/>
          <w:sz w:val="20"/>
          <w:szCs w:val="20"/>
        </w:rPr>
        <w:t>"Формула (8)"</w:t>
      </w:r>
    </w:p>
    <w:p>
      <w:pPr>
        <w:pStyle w:val="Normal"/>
        <w:autoSpaceDE w:val="false"/>
        <w:jc w:val="both"/>
        <w:rPr>
          <w:rFonts w:ascii="Courier New" w:hAnsi="Courier New" w:cs="Courier New"/>
          <w:sz w:val="20"/>
          <w:szCs w:val="20"/>
        </w:rPr>
      </w:pPr>
      <w:bookmarkStart w:id="114" w:name="sub_2225"/>
      <w:bookmarkStart w:id="115" w:name="sub_2225"/>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514"/>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5.14.  Приведенную  амплитуду   колебаний   температуры   внутренней</w:t>
      </w:r>
    </w:p>
    <w:p>
      <w:pPr>
        <w:pStyle w:val="Normal"/>
        <w:autoSpaceDE w:val="false"/>
        <w:jc w:val="both"/>
        <w:rPr>
          <w:rFonts w:ascii="Courier New" w:hAnsi="Courier New" w:cs="Courier New"/>
          <w:sz w:val="20"/>
          <w:szCs w:val="20"/>
        </w:rPr>
      </w:pPr>
      <w:bookmarkStart w:id="117" w:name="sub_514"/>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ограждающей конструкции  А           определяют  как  среднее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арифметическое значение результатов по трем суткам испытаний.</w:t>
      </w:r>
    </w:p>
    <w:p>
      <w:pPr>
        <w:pStyle w:val="Normal"/>
        <w:autoSpaceDE w:val="false"/>
        <w:jc w:val="both"/>
        <w:rPr>
          <w:rFonts w:ascii="Courier New" w:hAnsi="Courier New" w:cs="Courier New"/>
          <w:sz w:val="20"/>
          <w:szCs w:val="20"/>
        </w:rPr>
      </w:pPr>
      <w:bookmarkStart w:id="118" w:name="sub_515"/>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5.15. Вычисления производят  с  точностью  до  трех  значащих  цифр.</w:t>
      </w:r>
    </w:p>
    <w:p>
      <w:pPr>
        <w:pStyle w:val="Normal"/>
        <w:autoSpaceDE w:val="false"/>
        <w:jc w:val="both"/>
        <w:rPr>
          <w:rFonts w:ascii="Courier New" w:hAnsi="Courier New" w:cs="Courier New"/>
          <w:sz w:val="20"/>
          <w:szCs w:val="20"/>
        </w:rPr>
      </w:pPr>
      <w:bookmarkStart w:id="119" w:name="sub_515"/>
      <w:bookmarkEnd w:id="119"/>
      <w:r>
        <w:rPr>
          <w:rFonts w:cs="Courier New" w:ascii="Courier New" w:hAnsi="Courier New"/>
          <w:sz w:val="20"/>
          <w:szCs w:val="20"/>
          <w:lang w:val="ru-RU" w:eastAsia="ru-RU"/>
        </w:rPr>
        <w:t>Окончательный результат округляют до двух значащих цифр.</w:t>
      </w:r>
    </w:p>
    <w:p>
      <w:pPr>
        <w:pStyle w:val="Normal"/>
        <w:autoSpaceDE w:val="false"/>
        <w:jc w:val="both"/>
        <w:rPr>
          <w:rFonts w:ascii="Courier New" w:hAnsi="Courier New" w:cs="Courier New"/>
          <w:sz w:val="20"/>
          <w:szCs w:val="20"/>
        </w:rPr>
      </w:pPr>
      <w:bookmarkStart w:id="120" w:name="sub_516"/>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5.16.  Приведенная  амплитуда   колебаний   температуры   внутренней</w:t>
      </w:r>
    </w:p>
    <w:p>
      <w:pPr>
        <w:pStyle w:val="Normal"/>
        <w:autoSpaceDE w:val="false"/>
        <w:jc w:val="both"/>
        <w:rPr>
          <w:rFonts w:ascii="Courier New" w:hAnsi="Courier New" w:cs="Courier New"/>
          <w:sz w:val="20"/>
          <w:szCs w:val="20"/>
        </w:rPr>
      </w:pPr>
      <w:bookmarkStart w:id="121" w:name="sub_516"/>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ограждающей конструкции А        по результатам испытаний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должна превышать требуемой амплитуды А     ,     определяемой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2,5 - 0,1 (t_н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t_н - среднемесячная температура наружного воздуха за июль,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22" w:name="sub_517"/>
      <w:bookmarkEnd w:id="122"/>
      <w:r>
        <w:rPr>
          <w:rFonts w:cs="Arial" w:ascii="Arial" w:hAnsi="Arial"/>
          <w:sz w:val="20"/>
          <w:szCs w:val="20"/>
        </w:rPr>
        <w:t xml:space="preserve">5.17. Затухание амплитуды колебаний температуры наружного воздуха в неоднородной по плотности теплового потока ограждающей конструкции определяют по методике, изложенной в </w:t>
      </w:r>
      <w:hyperlink w:anchor="sub_1000">
        <w:r>
          <w:rPr>
            <w:rStyle w:val="Style15"/>
            <w:rFonts w:cs="Arial" w:ascii="Arial" w:hAnsi="Arial"/>
            <w:color w:val="008000"/>
            <w:sz w:val="20"/>
            <w:szCs w:val="20"/>
            <w:u w:val="single"/>
          </w:rPr>
          <w:t>приложении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3" w:name="sub_517"/>
      <w:bookmarkStart w:id="124" w:name="sub_517"/>
      <w:bookmarkEnd w:id="124"/>
      <w:r>
        <w:rPr>
          <w:rFonts w:cs="Courier New" w:ascii="Courier New" w:hAnsi="Courier New"/>
          <w:sz w:val="20"/>
          <w:szCs w:val="20"/>
        </w:rPr>
      </w:r>
    </w:p>
    <w:p>
      <w:pPr>
        <w:pStyle w:val="Normal"/>
        <w:autoSpaceDE w:val="false"/>
        <w:jc w:val="end"/>
        <w:rPr>
          <w:rFonts w:ascii="Arial" w:hAnsi="Arial" w:cs="Arial"/>
          <w:sz w:val="20"/>
          <w:szCs w:val="20"/>
        </w:rPr>
      </w:pPr>
      <w:bookmarkStart w:id="125" w:name="sub_1000"/>
      <w:bookmarkEnd w:id="125"/>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126" w:name="sub_1000"/>
      <w:bookmarkEnd w:id="12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затухания амплитуды колебаний температуры наружного воздуха в неоднородной по плотности теплового потока ограждающей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многослойной ограждающей конструкции с теплопроводными включениями в виде обрамляющих ребер амплитуда колебаний температуры внутренней поверхности ограждающей конструкции определяется с учетом теплофизических характеристик материалов теплопроводных включений.</w:t>
      </w:r>
    </w:p>
    <w:p>
      <w:pPr>
        <w:pStyle w:val="Normal"/>
        <w:autoSpaceDE w:val="false"/>
        <w:ind w:firstLine="720"/>
        <w:jc w:val="both"/>
        <w:rPr>
          <w:rFonts w:ascii="Arial" w:hAnsi="Arial" w:cs="Arial"/>
          <w:sz w:val="20"/>
          <w:szCs w:val="20"/>
        </w:rPr>
      </w:pPr>
      <w:r>
        <w:rPr>
          <w:rFonts w:cs="Arial" w:ascii="Arial" w:hAnsi="Arial"/>
          <w:sz w:val="20"/>
          <w:szCs w:val="20"/>
        </w:rPr>
        <w:t>Плоскостями, параллельными направлению теплового потока, ограждающую конструкцию условно разрезают на участки таким образом, чтобы в пределах каждого участка конструкция была бы однородна.</w:t>
      </w:r>
    </w:p>
    <w:p>
      <w:pPr>
        <w:pStyle w:val="Normal"/>
        <w:autoSpaceDE w:val="false"/>
        <w:ind w:firstLine="720"/>
        <w:jc w:val="both"/>
        <w:rPr>
          <w:rFonts w:ascii="Arial" w:hAnsi="Arial" w:cs="Arial"/>
          <w:sz w:val="20"/>
          <w:szCs w:val="20"/>
        </w:rPr>
      </w:pPr>
      <w:r>
        <w:rPr>
          <w:rFonts w:cs="Arial" w:ascii="Arial" w:hAnsi="Arial"/>
          <w:sz w:val="20"/>
          <w:szCs w:val="20"/>
        </w:rPr>
        <w:t>Определяют площадь основного, вне участков теплопроводных включений, поля ограждающей конструкции F_1, определяют и суммируют площади участков с включениями F_2, F_3 к т.д. Для каждого из участков по методике главы СНиП "Строительная теплотехника" вычисляют затухание амплитуды колебаний температуры наружного воздуха ню_1, ню_2, ню_3 и т.д.</w:t>
      </w:r>
    </w:p>
    <w:p>
      <w:pPr>
        <w:pStyle w:val="Normal"/>
        <w:autoSpaceDE w:val="false"/>
        <w:ind w:firstLine="720"/>
        <w:jc w:val="both"/>
        <w:rPr>
          <w:rFonts w:ascii="Arial" w:hAnsi="Arial" w:cs="Arial"/>
          <w:sz w:val="20"/>
          <w:szCs w:val="20"/>
        </w:rPr>
      </w:pPr>
      <w:r>
        <w:rPr>
          <w:rFonts w:cs="Arial" w:ascii="Arial" w:hAnsi="Arial"/>
          <w:sz w:val="20"/>
          <w:szCs w:val="20"/>
        </w:rPr>
        <w:t>Для неоднородной ограждающей конструкции с одним видом включения затухание амплитуды колебаний наружного воздуха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02171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10217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2226"/>
      <w:bookmarkEnd w:id="127"/>
      <w:r>
        <w:rPr>
          <w:rFonts w:cs="Arial" w:ascii="Arial" w:hAnsi="Arial"/>
          <w:sz w:val="20"/>
          <w:szCs w:val="20"/>
        </w:rPr>
        <w:t>"Формула 1"</w:t>
      </w:r>
    </w:p>
    <w:p>
      <w:pPr>
        <w:pStyle w:val="Normal"/>
        <w:autoSpaceDE w:val="false"/>
        <w:jc w:val="both"/>
        <w:rPr>
          <w:rFonts w:ascii="Courier New" w:hAnsi="Courier New" w:cs="Courier New"/>
          <w:sz w:val="20"/>
          <w:szCs w:val="20"/>
        </w:rPr>
      </w:pPr>
      <w:bookmarkStart w:id="128" w:name="sub_2226"/>
      <w:bookmarkStart w:id="129" w:name="sub_2226"/>
      <w:bookmarkEnd w:id="1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неоднородной ограждающей конструкции с двумя характерными теплопроводными включениями вычисляют значение затухания ню_э для участков теплопроводных включений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93281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9328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0" w:name="sub_2227"/>
      <w:bookmarkEnd w:id="130"/>
      <w:r>
        <w:rPr>
          <w:rFonts w:cs="Arial" w:ascii="Arial" w:hAnsi="Arial"/>
          <w:sz w:val="20"/>
          <w:szCs w:val="20"/>
        </w:rPr>
        <w:t>"Формула 2"</w:t>
      </w:r>
    </w:p>
    <w:p>
      <w:pPr>
        <w:pStyle w:val="Normal"/>
        <w:autoSpaceDE w:val="false"/>
        <w:jc w:val="both"/>
        <w:rPr>
          <w:rFonts w:ascii="Courier New" w:hAnsi="Courier New" w:cs="Courier New"/>
          <w:sz w:val="20"/>
          <w:szCs w:val="20"/>
        </w:rPr>
      </w:pPr>
      <w:bookmarkStart w:id="131" w:name="sub_2227"/>
      <w:bookmarkStart w:id="132" w:name="sub_2227"/>
      <w:bookmarkEnd w:id="13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Затухание амплитуды колебаний температуры наружного воздуха в ограждающей конструкции в целом ню* вычисляют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8330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0833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3" w:name="sub_2228"/>
      <w:bookmarkEnd w:id="133"/>
      <w:r>
        <w:rPr>
          <w:rFonts w:cs="Arial" w:ascii="Arial" w:hAnsi="Arial"/>
          <w:sz w:val="20"/>
          <w:szCs w:val="20"/>
        </w:rPr>
        <w:t>"Формула 3"</w:t>
      </w:r>
    </w:p>
    <w:p>
      <w:pPr>
        <w:pStyle w:val="Normal"/>
        <w:autoSpaceDE w:val="false"/>
        <w:jc w:val="both"/>
        <w:rPr>
          <w:rFonts w:ascii="Courier New" w:hAnsi="Courier New" w:cs="Courier New"/>
          <w:sz w:val="20"/>
          <w:szCs w:val="20"/>
        </w:rPr>
      </w:pPr>
      <w:bookmarkStart w:id="134" w:name="sub_2228"/>
      <w:bookmarkStart w:id="135" w:name="sub_2228"/>
      <w:bookmarkEnd w:id="13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2007-02-07T20:04:00Z</dcterms:created>
  <dc:creator>Виктор</dc:creator>
  <dc:description/>
  <dc:language>ru-RU</dc:language>
  <cp:lastModifiedBy>Виктор</cp:lastModifiedBy>
  <dcterms:modified xsi:type="dcterms:W3CDTF">2007-02-07T20:04:00Z</dcterms:modified>
  <cp:revision>2</cp:revision>
  <dc:subject/>
  <dc:title/>
</cp:coreProperties>
</file>