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25818-91</w:t>
        <w:br/>
        <w:t>"Золы-уноса тепловых электростанций для бетонов.</w:t>
        <w:br/>
        <w:t>Технические условия"</w:t>
        <w:br/>
        <w:t>(утв. и введен в действие постановлением Госстроя СССР</w:t>
        <w:br/>
        <w:t>от 4 февраля 1991 г. N 4)</w:t>
        <w:br/>
        <w:t>(с изменениями от 4 декабря 2000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Thermal Plant Fly-ashes for concretes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Specification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01.07.91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25818-83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48952892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Взамен настоящего ГОСТа в части методов химического анализа с 1 июля 1998 г. постановлением Госстроя РФ от 6 января 1998 г. N 18-2 введен в действие ГОСТ 8269.1-97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48952892"/>
      <w:bookmarkStart w:id="2" w:name="sub_248952892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Приемка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8"/>
      <w:bookmarkEnd w:id="3"/>
      <w:r>
        <w:rPr>
          <w:rFonts w:cs="Arial" w:ascii="Arial" w:hAnsi="Arial"/>
          <w:sz w:val="20"/>
          <w:szCs w:val="20"/>
        </w:rPr>
        <w:t>Настоящий стандарт распространяется на золы-уноса (далее - золы) сухого отбора, образующиеся на тепловых электростанциях в результате сжигания углей в пылевидном состоянии и применяемые в качестве компонента для изготовления тяжелых, легких, ячеистых бетонов и строительных растворов, а также в качестве тонкомолотой добавки для жаростойких бетонов и минеральных вяжущих для приготовления смесей и грунтов в дорожном строительстве.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8"/>
      <w:bookmarkEnd w:id="4"/>
      <w:r>
        <w:rPr>
          <w:rFonts w:cs="Arial" w:ascii="Arial" w:hAnsi="Arial"/>
          <w:sz w:val="20"/>
          <w:szCs w:val="20"/>
        </w:rPr>
        <w:t>Стандарт не распространяется на золу, образующуюся от сжигания горючих сланцев, поставку и применение которой осуществляют по соответствующей нормативно-технической документации.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Применение золы - в соответствии с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приложением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100"/>
      <w:bookmarkStart w:id="6" w:name="sub_100"/>
      <w:bookmarkEnd w:id="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" w:name="sub_100"/>
      <w:bookmarkStart w:id="8" w:name="sub_1"/>
      <w:bookmarkEnd w:id="7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1"/>
      <w:bookmarkStart w:id="10" w:name="sub_1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1"/>
      <w:bookmarkEnd w:id="11"/>
      <w:r>
        <w:rPr>
          <w:rFonts w:cs="Arial" w:ascii="Arial" w:hAnsi="Arial"/>
          <w:sz w:val="20"/>
          <w:szCs w:val="20"/>
        </w:rPr>
        <w:t>1.1. Основные параметры и типы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1"/>
      <w:bookmarkStart w:id="13" w:name="sub_111"/>
      <w:bookmarkEnd w:id="12"/>
      <w:bookmarkEnd w:id="13"/>
      <w:r>
        <w:rPr>
          <w:rFonts w:cs="Arial" w:ascii="Arial" w:hAnsi="Arial"/>
          <w:sz w:val="20"/>
          <w:szCs w:val="20"/>
        </w:rPr>
        <w:t>1.1.1. Золы по виду сжигаемого угля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11"/>
      <w:bookmarkEnd w:id="14"/>
      <w:r>
        <w:rPr>
          <w:rFonts w:cs="Arial" w:ascii="Arial" w:hAnsi="Arial"/>
          <w:sz w:val="20"/>
          <w:szCs w:val="20"/>
        </w:rPr>
        <w:t>антрацитовые, образующиеся при сжигании антрацита, полуантрацита и тощего каменного угля (А);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каменноугольные, образующиеся при сжигании каменного, кроме тощего, угля (КУ);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буроугольные, образующиеся при сжигании бурого угля (Б).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12"/>
      <w:bookmarkEnd w:id="15"/>
      <w:r>
        <w:rPr>
          <w:rFonts w:cs="Arial" w:ascii="Arial" w:hAnsi="Arial"/>
          <w:sz w:val="20"/>
          <w:szCs w:val="20"/>
        </w:rPr>
        <w:t>1.1.2. Золы в зависимости от химического состава подразделяют на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2"/>
      <w:bookmarkEnd w:id="16"/>
      <w:r>
        <w:rPr>
          <w:rFonts w:cs="Arial" w:ascii="Arial" w:hAnsi="Arial"/>
          <w:sz w:val="20"/>
          <w:szCs w:val="20"/>
        </w:rPr>
        <w:t>- кислые (К) - антрацитовые, каменноугольные и буроугольные, содержащие оксид кальция до 10%;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основные (О) - буроугольные, содержащие оксид кальция более 10% по массе.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13"/>
      <w:bookmarkEnd w:id="17"/>
      <w:r>
        <w:rPr>
          <w:rFonts w:cs="Arial" w:ascii="Arial" w:hAnsi="Arial"/>
          <w:sz w:val="20"/>
          <w:szCs w:val="20"/>
        </w:rPr>
        <w:t>1.1.3. Золы в зависимости от качественных показателей подразделяют на 4 вида: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13"/>
      <w:bookmarkEnd w:id="18"/>
      <w:r>
        <w:rPr>
          <w:rFonts w:cs="Arial" w:ascii="Arial" w:hAnsi="Arial"/>
          <w:sz w:val="20"/>
          <w:szCs w:val="20"/>
        </w:rPr>
        <w:t>I - для железобетонных конструкций и изделий из тяжелого и легкого бетонов;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II - для бетонных конструкций и изделий из тяжелого и легкого бетонов, строительных растворов;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III - для изделий и конструкций из ячеистого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IV - для бетонных и железобетонных изделий и конструкций, работающих в особо тяжелых условиях (гидротехнические сооружения, дороги, аэродромы и др.).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14"/>
      <w:bookmarkEnd w:id="19"/>
      <w:r>
        <w:rPr>
          <w:rFonts w:cs="Arial" w:ascii="Arial" w:hAnsi="Arial"/>
          <w:sz w:val="20"/>
          <w:szCs w:val="20"/>
        </w:rPr>
        <w:t>1.1.4. Обозначение марки золы включает вид сжигаемого угля, тип и вид золы,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14"/>
      <w:bookmarkEnd w:id="20"/>
      <w:r>
        <w:rPr>
          <w:rFonts w:cs="Arial" w:ascii="Arial" w:hAnsi="Arial"/>
          <w:sz w:val="20"/>
          <w:szCs w:val="20"/>
        </w:rPr>
        <w:t>Пример условного обозначения каменноугольной кислой золы, применяемой для изготовления железобетонных конструкций: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ЗУ КУК-1 ГОСТ 25818-91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2"/>
      <w:bookmarkEnd w:id="21"/>
      <w:r>
        <w:rPr>
          <w:rFonts w:cs="Arial" w:ascii="Arial" w:hAnsi="Arial"/>
          <w:sz w:val="20"/>
          <w:szCs w:val="20"/>
        </w:rPr>
        <w:t>1.2. Характеристики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2"/>
      <w:bookmarkStart w:id="23" w:name="sub_121"/>
      <w:bookmarkEnd w:id="22"/>
      <w:bookmarkEnd w:id="23"/>
      <w:r>
        <w:rPr>
          <w:rFonts w:cs="Arial" w:ascii="Arial" w:hAnsi="Arial"/>
          <w:sz w:val="20"/>
          <w:szCs w:val="20"/>
        </w:rPr>
        <w:t>1.2.1. Качественные показатели зол различных видов должны соответствовать требованиям, указанным в таблице.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21"/>
      <w:bookmarkStart w:id="25" w:name="sub_122"/>
      <w:bookmarkEnd w:id="24"/>
      <w:bookmarkEnd w:id="25"/>
      <w:r>
        <w:rPr>
          <w:rFonts w:cs="Arial" w:ascii="Arial" w:hAnsi="Arial"/>
          <w:sz w:val="20"/>
          <w:szCs w:val="20"/>
        </w:rPr>
        <w:t>1.2.2. Золы в смеси с портландцементом должны обеспечивать равномерность изменения объема при испытании образцов кипячением в воде, в основные золы III вида - в автоклаве.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22"/>
      <w:bookmarkStart w:id="27" w:name="sub_123"/>
      <w:bookmarkEnd w:id="26"/>
      <w:bookmarkEnd w:id="27"/>
      <w:r>
        <w:rPr>
          <w:rFonts w:cs="Arial" w:ascii="Arial" w:hAnsi="Arial"/>
          <w:sz w:val="20"/>
          <w:szCs w:val="20"/>
        </w:rPr>
        <w:t>1.2.3. Влажность золы должна быть не более 1% по массе.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23"/>
      <w:bookmarkStart w:id="29" w:name="sub_124"/>
      <w:bookmarkEnd w:id="28"/>
      <w:bookmarkEnd w:id="29"/>
      <w:r>
        <w:rPr>
          <w:rFonts w:cs="Arial" w:ascii="Arial" w:hAnsi="Arial"/>
          <w:sz w:val="20"/>
          <w:szCs w:val="20"/>
        </w:rPr>
        <w:t>1.2.4. Золы-уноса в зависимости от величины суммарной удельной эффективной активности естественных радионуклидов А_эфф применяют: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24"/>
      <w:bookmarkEnd w:id="30"/>
      <w:r>
        <w:rPr>
          <w:rFonts w:cs="Arial" w:ascii="Arial" w:hAnsi="Arial"/>
          <w:sz w:val="20"/>
          <w:szCs w:val="20"/>
        </w:rPr>
        <w:t>для производства материалов, изделий и конструкций, применяемых для строительства и реконструкции жилых и общественных зданий при А_эфф, до 370 Бк/кг;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производства материалов, изделий и конструкций, применяемых для строительства производственных зданий и сооружений, а также строительства дорог в пределах территорий населенных пунктов и зон перспективной застройки при А_эфф свыше 370 Бк/кг до 740 Бк/кг.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редакция.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" w:name="sub_2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2.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" w:name="sub_2"/>
      <w:bookmarkStart w:id="33" w:name="sub_2"/>
      <w:bookmarkEnd w:id="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1"/>
      <w:bookmarkEnd w:id="34"/>
      <w:r>
        <w:rPr>
          <w:rFonts w:cs="Arial" w:ascii="Arial" w:hAnsi="Arial"/>
          <w:sz w:val="20"/>
          <w:szCs w:val="20"/>
        </w:rPr>
        <w:t>2.1. Зола должна быть принята техническим контролем предприятия-поставщика.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1"/>
      <w:bookmarkStart w:id="36" w:name="sub_22"/>
      <w:bookmarkEnd w:id="35"/>
      <w:bookmarkEnd w:id="36"/>
      <w:r>
        <w:rPr>
          <w:rFonts w:cs="Arial" w:ascii="Arial" w:hAnsi="Arial"/>
          <w:sz w:val="20"/>
          <w:szCs w:val="20"/>
        </w:rPr>
        <w:t>2.2. Предприятие-поставщик осуществляет контроль качества зол путем проведения их периодических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22"/>
      <w:bookmarkStart w:id="38" w:name="sub_22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│     Вид     │    Значение показателя 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сжигаемого  │   зависимости от вида золы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угля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├────────┬───────┬──────┬──────┤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  II   │ III  │  IV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Содержание    оксида│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кальция (СаО), % по массе:│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кислой золы, не более │Любой        │   10   │  10   │  10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основной золы,  св.  в│Бурый        │   10   │  10   │  10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 числе: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свободного оксида  кальция│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(СаO_св) не более:        │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кислой золы           │Любой        │        Не нормируется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основной золы         │Бурый        │   5    │   5   │  He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норми-│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руется│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Содержание    оксида│Любой        │   5    │   5   │  He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магния (MgO), % по  массе,│             │        │       │норми-│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         │             │        │       │руется│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Содержание сернистых  и│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сернокислых  соединений  в│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пересчете  на  SO3,   % по│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массе, не более: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кислой золы           │Любой        │   3    │   5   │  3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основной золы         │Бурый        │   5    │   5   │  6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Содержание   щелочных│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оксидов  в  пересчете   на│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Na2O,  %  по     массе, не│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более: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кислой золы           │Любой        │   3    │   3   │  3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основной золы         │Бурый        │  1,5   │  1,5  │ 3,5  │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Потеря массы при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прокаливании (п.п.п.), %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массе, не более: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кислой золы           │Антрацитовый │   20   │  25   │  10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Каменный     │   10   │  15   │  7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Бурый        │   3    │   5   │  5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основной золы         │Бурый        │   3    │   5   │  3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Удельная  поверхность,│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м2/кг, не менее: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кислой золы           │Любой        │  250   │  150  │ 250  │ 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основной золы         │Бурый        │  250   │  200  │ 150  │ 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Остаток на сите N  008,│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% по массе, не более: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кислой золы           │Любой        │   20   │  30   │  20  │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основной золы         │Бурый        │   20   │  20   │  30  │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: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Допускается  в  основных  золах  содержание  свободного  оксида│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кальция СаO_св и оксида магния MgO  выше  указанного  в  таблице,  если│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обеспечивается равномерность изменения объема образцов при испытании 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автоклаве  или   применение   этих   зол   обосновано   специальными│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исследованиями бетона по  долговечности  с  учетом  конкретных  условий│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эксплуатации.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Допускается  в  золах  содержание  сернистых   и   сернокислых│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и потеря массы при прокаливании выше  указанных  в  таблице,│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если применение этих  зол  обосновано  специальными   исследованиями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долговечности бетонов и коррозионной стойкости арматуры.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Допускается в золах I - III видов больший остаток на сите N 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меньшая величина удельной поверхности, чем указано  в  таблице,  если│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применении этих зол  обеспечиваются  заданные  показатели  качества│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бетона.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3"/>
      <w:bookmarkEnd w:id="39"/>
      <w:r>
        <w:rPr>
          <w:rFonts w:cs="Arial" w:ascii="Arial" w:hAnsi="Arial"/>
          <w:sz w:val="20"/>
          <w:szCs w:val="20"/>
        </w:rPr>
        <w:t>2.3. При периодических испытаниях определяют: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3"/>
      <w:bookmarkEnd w:id="40"/>
      <w:r>
        <w:rPr>
          <w:rFonts w:cs="Arial" w:ascii="Arial" w:hAnsi="Arial"/>
          <w:sz w:val="20"/>
          <w:szCs w:val="20"/>
        </w:rPr>
        <w:t>один раз в сутки - влажность, удельную поверхность или остаток на сите N 008, потерю массы при прокаливании, а для основных зол дополнительно - содержание свободного оксида кальция (CaO_св);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один раз в неделю для основных зол - содержание сернистых и сернокислых соединений в пересчете на SO3 и равномерность изменения объема;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один раз в квартал - содержание оксидов кальция (СаО), магния (MgO), натрия и калия в пересчете на Na2O, а для кислых зол - содержание сернистых и сернокислых соединений в пересчете на SO3 и равномерность изменения объема;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один раз в год - удельную активность радионуклидов.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Указанные показатели качества определяют также каждый раз при изменении вида угля и условий его сжигания.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4"/>
      <w:bookmarkEnd w:id="41"/>
      <w:r>
        <w:rPr>
          <w:rFonts w:cs="Arial" w:ascii="Arial" w:hAnsi="Arial"/>
          <w:sz w:val="20"/>
          <w:szCs w:val="20"/>
        </w:rPr>
        <w:t>2.4. Для проверки качества зол отбирают одну объединенную пробу, которую составляют не менее чем из пяти точечных проб. Масса точечной пробы должна быть не менее 2 кг. Количество и порядок отбора проб, обеспечивающие их представительность, устанавливают в технологической документации, разработанной в установленном порядке, с учетом конкретных условий работы тепловой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4"/>
      <w:bookmarkEnd w:id="42"/>
      <w:r>
        <w:rPr>
          <w:rFonts w:cs="Arial" w:ascii="Arial" w:hAnsi="Arial"/>
          <w:sz w:val="20"/>
          <w:szCs w:val="20"/>
        </w:rPr>
        <w:t>Из объединенной пробы отбирают лабораторную пробу, масса которой должна быть достаточной для проведения всех испытаний, предусмотренных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5"/>
      <w:bookmarkEnd w:id="43"/>
      <w:r>
        <w:rPr>
          <w:rFonts w:cs="Arial" w:ascii="Arial" w:hAnsi="Arial"/>
          <w:sz w:val="20"/>
          <w:szCs w:val="20"/>
        </w:rPr>
        <w:t>2.5. Потребитель имеет право проводить входной контроль качества зол, применяя при этом порядок отбора и подготовки проб в соответствии с требованиями ГОСТ 30515.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5"/>
      <w:bookmarkStart w:id="45" w:name="sub_26"/>
      <w:bookmarkEnd w:id="44"/>
      <w:bookmarkEnd w:id="45"/>
      <w:r>
        <w:rPr>
          <w:rFonts w:cs="Arial" w:ascii="Arial" w:hAnsi="Arial"/>
          <w:sz w:val="20"/>
          <w:szCs w:val="20"/>
        </w:rPr>
        <w:t>2.6. Количество поставляемой золы определяют по массе.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6"/>
      <w:bookmarkStart w:id="47" w:name="sub_27"/>
      <w:bookmarkEnd w:id="46"/>
      <w:bookmarkEnd w:id="47"/>
      <w:r>
        <w:rPr>
          <w:rFonts w:cs="Arial" w:ascii="Arial" w:hAnsi="Arial"/>
          <w:sz w:val="20"/>
          <w:szCs w:val="20"/>
        </w:rPr>
        <w:t>2.7. Предприятие-поставщик сопровождает каждую партию золы документом о качестве.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7"/>
      <w:bookmarkEnd w:id="48"/>
      <w:r>
        <w:rPr>
          <w:rFonts w:cs="Arial" w:ascii="Arial" w:hAnsi="Arial"/>
          <w:sz w:val="20"/>
          <w:szCs w:val="20"/>
        </w:rPr>
        <w:t>Партией считают количество золы, одновременно отгружаемое одному потребителю в течение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документе о качестве указывают: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обозначение золы в соответствии с </w:t>
      </w:r>
      <w:hyperlink w:anchor="sub_1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п.1.1.4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 адрес предприятия-поставщика;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 адрес потребителя;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и дату выдачи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партии и количество золы;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транспортных средств и номера накладных;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результаты периодических испытаний золы;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суммарную удельную эффективную активность естественных радионуклидов.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редакция.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" w:name="sub_3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3.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" w:name="sub_3"/>
      <w:bookmarkStart w:id="51" w:name="sub_3"/>
      <w:bookmarkEnd w:id="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1"/>
      <w:bookmarkEnd w:id="52"/>
      <w:r>
        <w:rPr>
          <w:rFonts w:cs="Arial" w:ascii="Arial" w:hAnsi="Arial"/>
          <w:sz w:val="20"/>
          <w:szCs w:val="20"/>
        </w:rPr>
        <w:t>3.1. Химический анализ зол проводят по ГОСТ 8269.1, влажность определяют по ГОСТ 8269.1.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1"/>
      <w:bookmarkEnd w:id="53"/>
      <w:r>
        <w:rPr>
          <w:rFonts w:cs="Arial" w:ascii="Arial" w:hAnsi="Arial"/>
          <w:sz w:val="20"/>
          <w:szCs w:val="20"/>
        </w:rPr>
        <w:t>(Измененная редакция. Изм. N 1).</w:t>
      </w:r>
    </w:p>
    <w:p>
      <w:pPr>
        <w:pStyle w:val="Normal"/>
        <w:autoSpaceDE w:val="false"/>
        <w:ind w:firstLine="720"/>
        <w:jc w:val="both"/>
        <w:rPr/>
      </w:pPr>
      <w:bookmarkStart w:id="54" w:name="sub_32"/>
      <w:bookmarkEnd w:id="54"/>
      <w:r>
        <w:rPr>
          <w:rFonts w:cs="Arial" w:ascii="Arial" w:hAnsi="Arial"/>
          <w:sz w:val="20"/>
          <w:szCs w:val="20"/>
        </w:rPr>
        <w:t xml:space="preserve">3.2. Содержание свободного оксида кальция (СаO_св) определяют по ГОСТ 23227 или по методике в соответствии с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приложением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2"/>
      <w:bookmarkStart w:id="56" w:name="sub_33"/>
      <w:bookmarkEnd w:id="55"/>
      <w:bookmarkEnd w:id="56"/>
      <w:r>
        <w:rPr>
          <w:rFonts w:cs="Arial" w:ascii="Arial" w:hAnsi="Arial"/>
          <w:sz w:val="20"/>
          <w:szCs w:val="20"/>
        </w:rPr>
        <w:t>3.3. Потерю массы при прокаливании определяют по ГОСТ 11022.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3"/>
      <w:bookmarkStart w:id="58" w:name="sub_34"/>
      <w:bookmarkEnd w:id="57"/>
      <w:bookmarkEnd w:id="58"/>
      <w:r>
        <w:rPr>
          <w:rFonts w:cs="Arial" w:ascii="Arial" w:hAnsi="Arial"/>
          <w:sz w:val="20"/>
          <w:szCs w:val="20"/>
        </w:rPr>
        <w:t>3.4. Остаток на сите N 008 и удельную поверхность определяют по ГОСТ 310.2.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4"/>
      <w:bookmarkStart w:id="60" w:name="sub_35"/>
      <w:bookmarkEnd w:id="59"/>
      <w:bookmarkEnd w:id="60"/>
      <w:r>
        <w:rPr>
          <w:rFonts w:cs="Arial" w:ascii="Arial" w:hAnsi="Arial"/>
          <w:sz w:val="20"/>
          <w:szCs w:val="20"/>
        </w:rPr>
        <w:t>3.5. Равномерность изменения объема смеси цемента с золой определяют по ГОСТ 310.3 методом кипячения, при этом золу смешивают с портландцементом в соотношении 1:1 до получения теста нормальной густоты.</w:t>
      </w:r>
    </w:p>
    <w:p>
      <w:pPr>
        <w:pStyle w:val="Normal"/>
        <w:autoSpaceDE w:val="false"/>
        <w:ind w:firstLine="720"/>
        <w:jc w:val="both"/>
        <w:rPr/>
      </w:pPr>
      <w:bookmarkStart w:id="61" w:name="sub_35"/>
      <w:bookmarkEnd w:id="61"/>
      <w:r>
        <w:rPr>
          <w:rFonts w:cs="Arial" w:ascii="Arial" w:hAnsi="Arial"/>
          <w:sz w:val="20"/>
          <w:szCs w:val="20"/>
        </w:rPr>
        <w:t xml:space="preserve">Равномерность изменения объема смеси цемента с золой, содержащей свободный оксид кальция (СаО_св) и оксид магния (MgO) выше указанных в таблице, а также с основной золой III вида определяют по ГОСТ 310.3 в автоклаве или в соответствии с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приложением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36"/>
      <w:bookmarkEnd w:id="62"/>
      <w:r>
        <w:rPr>
          <w:rFonts w:cs="Arial" w:ascii="Arial" w:hAnsi="Arial"/>
          <w:sz w:val="20"/>
          <w:szCs w:val="20"/>
        </w:rPr>
        <w:t>3.6. Удельную активность естественных радионуклидов, содержащихся в золе, определяют гамма-спектрометрическим методом по ГОСТ 30108.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36"/>
      <w:bookmarkEnd w:id="63"/>
      <w:r>
        <w:rPr>
          <w:rFonts w:cs="Arial" w:ascii="Arial" w:hAnsi="Arial"/>
          <w:sz w:val="20"/>
          <w:szCs w:val="20"/>
        </w:rPr>
        <w:t>(Измененная редакция.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4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4.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4"/>
      <w:bookmarkStart w:id="66" w:name="sub_4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1"/>
      <w:bookmarkEnd w:id="67"/>
      <w:r>
        <w:rPr>
          <w:rFonts w:cs="Arial" w:ascii="Arial" w:hAnsi="Arial"/>
          <w:sz w:val="20"/>
          <w:szCs w:val="20"/>
        </w:rPr>
        <w:t>4.1. Золы транспортируют в специализированных вагонах-цементовозах, хопперах, судах, а также в автоцементовозах в соответствии с Правилами перевозки грузов соответствующими видами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1"/>
      <w:bookmarkEnd w:id="68"/>
      <w:r>
        <w:rPr>
          <w:rFonts w:cs="Arial" w:ascii="Arial" w:hAnsi="Arial"/>
          <w:sz w:val="20"/>
          <w:szCs w:val="20"/>
        </w:rPr>
        <w:t>При транспортировке зол в вагонах-цементовозах и хопперах должны соблюдаться требования ГОСТ 22235, Правил перевозок грузов и технических условий погрузки и крепления грузов, утвержденных Министерством путей сообщения. Вагоны следует загружать с учетом полного использования их грузоподъемности.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2"/>
      <w:bookmarkEnd w:id="69"/>
      <w:r>
        <w:rPr>
          <w:rFonts w:cs="Arial" w:ascii="Arial" w:hAnsi="Arial"/>
          <w:sz w:val="20"/>
          <w:szCs w:val="20"/>
        </w:rPr>
        <w:t>4.2. Золы хранят в силосах или других крытых емкостях.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42"/>
      <w:bookmarkStart w:id="71" w:name="sub_42"/>
      <w:bookmarkEnd w:id="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2" w:name="sub_1000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1000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1001"/>
      <w:bookmarkEnd w:id="74"/>
      <w:r>
        <w:rPr>
          <w:rFonts w:cs="Arial" w:ascii="Arial" w:hAnsi="Arial"/>
          <w:sz w:val="20"/>
          <w:szCs w:val="20"/>
        </w:rPr>
        <w:t>1. При изготовлении тяжелых, легких бетонов и строительных растворов золы следует применять для экономии цемента, заполнителей, улучшения технологических свойств бетонной и растворной смесей, а также показателей качества бетонов и растворов.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1001"/>
      <w:bookmarkStart w:id="76" w:name="sub_1002"/>
      <w:bookmarkEnd w:id="75"/>
      <w:bookmarkEnd w:id="76"/>
      <w:r>
        <w:rPr>
          <w:rFonts w:cs="Arial" w:ascii="Arial" w:hAnsi="Arial"/>
          <w:sz w:val="20"/>
          <w:szCs w:val="20"/>
        </w:rPr>
        <w:t>2. При изготовлении ячеистых бетонов кислые золы следует применять в качестве кремнеземистого компонента смеси, а также с целью экономии цемента в бетонах неавтоклавного твердения. Основные золы с содержанием оксида кальция (СаО) не менее 30% следует применять в качестве вяжущего для частичной замены извести или цемента в ячеистых бетонах автоклавного и неавтоклавного твердения. Применение золы с удельной поверхностью менее 250 м2/кг допускается после ее предварительного домола.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1002"/>
      <w:bookmarkStart w:id="78" w:name="sub_1003"/>
      <w:bookmarkEnd w:id="77"/>
      <w:bookmarkEnd w:id="78"/>
      <w:r>
        <w:rPr>
          <w:rFonts w:cs="Arial" w:ascii="Arial" w:hAnsi="Arial"/>
          <w:sz w:val="20"/>
          <w:szCs w:val="20"/>
        </w:rPr>
        <w:t>3. Зола для жаростойких бетонов, применяемая для экономии цемента и улучшения эксплуатационных свойств бетона, по химическому составу и дисперсности должна соответствовать требованиям ГОСТ 20910.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1003"/>
      <w:bookmarkStart w:id="80" w:name="sub_1004"/>
      <w:bookmarkEnd w:id="79"/>
      <w:bookmarkEnd w:id="80"/>
      <w:r>
        <w:rPr>
          <w:rFonts w:cs="Arial" w:ascii="Arial" w:hAnsi="Arial"/>
          <w:sz w:val="20"/>
          <w:szCs w:val="20"/>
        </w:rPr>
        <w:t>4. В конструкционно-теплоизоляционных бетонах кислую золу следует применять для частичной или полной замены пористых песков и снижения средней плотности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004"/>
      <w:bookmarkStart w:id="82" w:name="sub_1005"/>
      <w:bookmarkEnd w:id="81"/>
      <w:bookmarkEnd w:id="82"/>
      <w:r>
        <w:rPr>
          <w:rFonts w:cs="Arial" w:ascii="Arial" w:hAnsi="Arial"/>
          <w:sz w:val="20"/>
          <w:szCs w:val="20"/>
        </w:rPr>
        <w:t>5. Для конструкций подводных и внутренних зон гидротехнических сооружений следует применять кислую золу IV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005"/>
      <w:bookmarkStart w:id="84" w:name="sub_1006"/>
      <w:bookmarkEnd w:id="83"/>
      <w:bookmarkEnd w:id="84"/>
      <w:r>
        <w:rPr>
          <w:rFonts w:cs="Arial" w:ascii="Arial" w:hAnsi="Arial"/>
          <w:sz w:val="20"/>
          <w:szCs w:val="20"/>
        </w:rPr>
        <w:t>6. Оптимальное содержание золы в тяжелых, легких, ячеистых бетонах и строительных растворах устанавливают в результате подбора составов на конкретных материалах при условии обеспечения требуемых показателей качества бетона и раствора в изделиях, конструкциях и коррозионной стойкости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1006"/>
      <w:bookmarkStart w:id="86" w:name="sub_1007"/>
      <w:bookmarkEnd w:id="85"/>
      <w:bookmarkEnd w:id="86"/>
      <w:r>
        <w:rPr>
          <w:rFonts w:cs="Arial" w:ascii="Arial" w:hAnsi="Arial"/>
          <w:sz w:val="20"/>
          <w:szCs w:val="20"/>
        </w:rPr>
        <w:t>7. В целях обеспечения коррозионной стойкости ненапрягаемой арматуры в железобетонных конструкциях, эксплуатируемых в неагрессивных средах, содержание кислой золы в бетоне не должно превышать по массе расход портландцемента. При этом минимальный расход цемента устанавливают по ГОСТ 26633. Возможность увеличения содержания золы в тяжелых, легких бетонах сборных и монолитных железобетонных конструкциях устанавливают после проведения специальных исследований по коррозионной стойкости арматуры, деформативным свойствам и долговечности бетонов, выполненных на конкретных материалах.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1007"/>
      <w:bookmarkStart w:id="88" w:name="sub_1008"/>
      <w:bookmarkEnd w:id="87"/>
      <w:bookmarkEnd w:id="88"/>
      <w:r>
        <w:rPr>
          <w:rFonts w:cs="Arial" w:ascii="Arial" w:hAnsi="Arial"/>
          <w:sz w:val="20"/>
          <w:szCs w:val="20"/>
        </w:rPr>
        <w:t>8. Применение кислой золы в бетонах железобетонных конструкций, в том числе преднапряженных, предназначенных для эксплуатации в агрессивных средах, может быть допущено при условии удовлетворения требований СНиП 2.03.11. Применение золы в бетонах преднапряженных конструкций, армированных термически упрочненной арматурой сталью, склонной к коррозионному растрескиванию, не допускается без проведения специальных исследований.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008"/>
      <w:bookmarkStart w:id="90" w:name="sub_1009"/>
      <w:bookmarkEnd w:id="89"/>
      <w:bookmarkEnd w:id="90"/>
      <w:r>
        <w:rPr>
          <w:rFonts w:cs="Arial" w:ascii="Arial" w:hAnsi="Arial"/>
          <w:sz w:val="20"/>
          <w:szCs w:val="20"/>
        </w:rPr>
        <w:t>9. Основные золы с содержанием оксида кальция (СаО) не менее 30% по массе, при изготовлении строительных растворов и бетонов для сборных и монолитных бетонных и железобетонных изделий и конструкций, следует применять в качестве компонента или другого вяжущего.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1009"/>
      <w:bookmarkEnd w:id="91"/>
      <w:r>
        <w:rPr>
          <w:rFonts w:cs="Arial" w:ascii="Arial" w:hAnsi="Arial"/>
          <w:sz w:val="20"/>
          <w:szCs w:val="20"/>
        </w:rPr>
        <w:t>При этом суммарное содержание сернистых и сернокислых соединений в бетоне в пересчете на SO3 не должно превышать 3% по массе.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2" w:name="sub_2000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3" w:name="sub_2000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Определение содержания свободного оксида кальция (СаО_св)</w:t>
        <w:br/>
        <w:t>ускоренным методом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2001"/>
      <w:bookmarkEnd w:id="94"/>
      <w:r>
        <w:rPr>
          <w:rFonts w:cs="Arial" w:ascii="Arial" w:hAnsi="Arial"/>
          <w:sz w:val="20"/>
          <w:szCs w:val="20"/>
        </w:rPr>
        <w:t>1. Аппаратура, реактивы и растворы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2001"/>
      <w:bookmarkEnd w:id="95"/>
      <w:r>
        <w:rPr>
          <w:rFonts w:cs="Arial" w:ascii="Arial" w:hAnsi="Arial"/>
          <w:sz w:val="20"/>
          <w:szCs w:val="20"/>
        </w:rPr>
        <w:t>Сахароза, 10%-ный раствор по ГОСТ 5833.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Кислота соляная 0,1 н раствор по ГОСТ 3118.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Фенолфталеин (индикатор), 1%-ный спиртовой раствор по ТУ 609-53-60.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2002"/>
      <w:bookmarkEnd w:id="96"/>
      <w:r>
        <w:rPr>
          <w:rFonts w:cs="Arial" w:ascii="Arial" w:hAnsi="Arial"/>
          <w:sz w:val="20"/>
          <w:szCs w:val="20"/>
        </w:rPr>
        <w:t>2. Проведение анализа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002"/>
      <w:bookmarkEnd w:id="97"/>
      <w:r>
        <w:rPr>
          <w:rFonts w:cs="Arial" w:ascii="Arial" w:hAnsi="Arial"/>
          <w:sz w:val="20"/>
          <w:szCs w:val="20"/>
        </w:rPr>
        <w:t>Навеску золы массой 1,5 г растирают в агатовой ступке в течение 5 мин. Навеску свежерастертой золы массой (0,2+-0,0002) г помещают в стакан вместимостью 500 мл, добавляют 100 мл 10%-ного раствора сахарозы и перемешивают в магнитной мешалке в течение 10 мин, после чего фильтруют в коническую колбу вместимостью 500 мл. С помощью пипетки отбирают 50 мл фильтрата и переносят в колбу вместимостью 250 мл, прибавляют 2 - 3 капли фенолфталеина и титруют 0,1 н раствором соляной кислоты. Титрование проводят по каплям до исчезновения окраски.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2003"/>
      <w:bookmarkEnd w:id="98"/>
      <w:r>
        <w:rPr>
          <w:rFonts w:cs="Arial" w:ascii="Arial" w:hAnsi="Arial"/>
          <w:sz w:val="20"/>
          <w:szCs w:val="20"/>
        </w:rPr>
        <w:t>3. Обработки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003"/>
      <w:bookmarkEnd w:id="99"/>
      <w:r>
        <w:rPr>
          <w:rFonts w:cs="Arial" w:ascii="Arial" w:hAnsi="Arial"/>
          <w:sz w:val="20"/>
          <w:szCs w:val="20"/>
        </w:rPr>
        <w:t>Массовую долю свободного оксида кальция в процентах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VV  x 0,002804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CaO  = ──────────────── x 100,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       V 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V    - объем раствора HCl, пошедший на титрование, мл;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      - объем исходного раствора, мл;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      - объем аликвотной части раствора, мл;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0,002804 - количество оксида кальция, соответствующее  1  мл   0,1 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соляной кислоты;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      - масса навески пробы,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0" w:name="sub_3000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1" w:name="sub_3000"/>
      <w:bookmarkEnd w:id="101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Определение равномерности изменения объема испытанием в автоклаве</w:t>
        <w:br/>
        <w:t>при давлении 2,1 МПа (21 кгc/см2)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3001"/>
      <w:bookmarkEnd w:id="102"/>
      <w:r>
        <w:rPr>
          <w:rFonts w:cs="Arial" w:ascii="Arial" w:hAnsi="Arial"/>
          <w:sz w:val="20"/>
          <w:szCs w:val="20"/>
        </w:rPr>
        <w:t>1. Аппаратура</w:t>
      </w:r>
    </w:p>
    <w:p>
      <w:pPr>
        <w:pStyle w:val="Normal"/>
        <w:autoSpaceDE w:val="false"/>
        <w:ind w:firstLine="720"/>
        <w:jc w:val="both"/>
        <w:rPr/>
      </w:pPr>
      <w:bookmarkStart w:id="103" w:name="sub_3001"/>
      <w:bookmarkEnd w:id="103"/>
      <w:r>
        <w:rPr>
          <w:rFonts w:cs="Arial" w:ascii="Arial" w:hAnsi="Arial"/>
          <w:sz w:val="20"/>
          <w:szCs w:val="20"/>
        </w:rPr>
        <w:t>Формы для изготовления образцов-призм размером (2,5 х 2,5 х 28,0) см (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Вкладыши из нержавеющей стали (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Длиномер оптический вертикальный типа ИЗВ-2 (Ленинградское оптико-механическое объединение) или любой другой прибор для измерения длины образцов, обеспечивающий точность отсчета не менее 0,01 мм.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Эталон с изолирующей оправой (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черт.3</w:t>
        </w:r>
      </w:hyperlink>
      <w:r>
        <w:rPr>
          <w:rFonts w:cs="Arial" w:ascii="Arial" w:hAnsi="Arial"/>
          <w:sz w:val="20"/>
          <w:szCs w:val="20"/>
        </w:rPr>
        <w:t>) для контрольной тарировки прибора.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Автоклав с контрольной автоматикой, способной поддерживать манометрическое давление (2,1+-0,1) МПа [(21+-1) кгс/см2] (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Ванна с гидравлическим затвором по ГОСТ 310.3.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3002"/>
      <w:bookmarkEnd w:id="104"/>
      <w:r>
        <w:rPr>
          <w:rFonts w:cs="Arial" w:ascii="Arial" w:hAnsi="Arial"/>
          <w:sz w:val="20"/>
          <w:szCs w:val="20"/>
        </w:rPr>
        <w:t>2. Изготовление образцов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3002"/>
      <w:bookmarkStart w:id="106" w:name="sub_3021"/>
      <w:bookmarkEnd w:id="105"/>
      <w:bookmarkEnd w:id="106"/>
      <w:r>
        <w:rPr>
          <w:rFonts w:cs="Arial" w:ascii="Arial" w:hAnsi="Arial"/>
          <w:sz w:val="20"/>
          <w:szCs w:val="20"/>
        </w:rPr>
        <w:t>2.1. Из цементно-зольного теста нормальной густоты изготавливают образцы-призмы размером (2,5х2,5х28,0) см с двумя вкладышами, расстояние между торцами которых должно быть 250 мм. Вкладыши располагают по продольной оси образцов на их торцах. Цементно-зольное тесто нормальной густоты приготавливают по ГОСТ 310.3, при этом кислую золу смешивают с цементом в соотношении 1:1, а основную золу - в соотношении, в котором предполагается использовать в производстве. Одновременно на том же цементе изготавливают образцы-призмы из цементного теста нормальной густоты (без золы).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3021"/>
      <w:bookmarkStart w:id="108" w:name="sub_3022"/>
      <w:bookmarkEnd w:id="107"/>
      <w:bookmarkEnd w:id="108"/>
      <w:r>
        <w:rPr>
          <w:rFonts w:cs="Arial" w:ascii="Arial" w:hAnsi="Arial"/>
          <w:sz w:val="20"/>
          <w:szCs w:val="20"/>
        </w:rPr>
        <w:t>2.2. Перед изготовлением образцов внутреннюю поверхность форм (исключая вкладыши) смазывают машинным маслом. Стыки наружных стенок с поддоном формы промазывают тонким слоем солидола или другой густой смазкой.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3022"/>
      <w:bookmarkStart w:id="110" w:name="sub_3023"/>
      <w:bookmarkEnd w:id="109"/>
      <w:bookmarkEnd w:id="110"/>
      <w:r>
        <w:rPr>
          <w:rFonts w:cs="Arial" w:ascii="Arial" w:hAnsi="Arial"/>
          <w:sz w:val="20"/>
          <w:szCs w:val="20"/>
        </w:rPr>
        <w:t>2.3. После окончания перемешивания форму заполняют цементно-зольным (цементным) тестом в два приема, примерно равными по высоте слоями. Каждый слой уплотняют штыковкой и отжатием теста в углы вокруг вкладышей. Избыток теста срезают вровень с верхом формы и поверхность образцов заглаживают.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3023"/>
      <w:bookmarkStart w:id="112" w:name="sub_3024"/>
      <w:bookmarkEnd w:id="111"/>
      <w:bookmarkEnd w:id="112"/>
      <w:r>
        <w:rPr>
          <w:rFonts w:cs="Arial" w:ascii="Arial" w:hAnsi="Arial"/>
          <w:sz w:val="20"/>
          <w:szCs w:val="20"/>
        </w:rPr>
        <w:t>2.4. Изготовленные образцы в формах хранят в ванне с гидравлическим затвором при температуре (20+-2)°С в течение (24+-2)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3024"/>
      <w:bookmarkStart w:id="114" w:name="sub_3025"/>
      <w:bookmarkEnd w:id="113"/>
      <w:bookmarkEnd w:id="114"/>
      <w:r>
        <w:rPr>
          <w:rFonts w:cs="Arial" w:ascii="Arial" w:hAnsi="Arial"/>
          <w:sz w:val="20"/>
          <w:szCs w:val="20"/>
        </w:rPr>
        <w:t>2.5. Образцы, имеющие через (24+-2) ч недостаточную прочность, допускается вынимать из форм через 48 ч с указанием этого срока в журнале.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3025"/>
      <w:bookmarkStart w:id="116" w:name="sub_3003"/>
      <w:bookmarkEnd w:id="115"/>
      <w:bookmarkEnd w:id="116"/>
      <w:r>
        <w:rPr>
          <w:rFonts w:cs="Arial" w:ascii="Arial" w:hAnsi="Arial"/>
          <w:sz w:val="20"/>
          <w:szCs w:val="20"/>
        </w:rPr>
        <w:t>3. Проведение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3003"/>
      <w:bookmarkStart w:id="118" w:name="sub_3031"/>
      <w:bookmarkEnd w:id="117"/>
      <w:bookmarkEnd w:id="118"/>
      <w:r>
        <w:rPr>
          <w:rFonts w:cs="Arial" w:ascii="Arial" w:hAnsi="Arial"/>
          <w:sz w:val="20"/>
          <w:szCs w:val="20"/>
        </w:rPr>
        <w:t>3.1. После распалубки измеряют первоначальную длину образцов-призм и эталона с точностью 0,01 мм, после чего образцы помещают в предварительно подготовленный автоклав. Эталон хранят постоянно в том же помещении, где и измеритель длины. В автоклаве образцы устанавливают в вертикальном положении над водой таким образом, чтобы вес образца не передавался на вкладыш-упор и образцы не касались друг друга и стенок автоклава.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3031"/>
      <w:bookmarkEnd w:id="119"/>
      <w:r>
        <w:rPr>
          <w:rFonts w:cs="Arial" w:ascii="Arial" w:hAnsi="Arial"/>
          <w:sz w:val="20"/>
          <w:szCs w:val="20"/>
        </w:rPr>
        <w:t>Автоклав должен содержать достаточное количество воды (7 - 10% от рабочего объема резервуара автоклава) температурой (20+-2)°С, обеспечивающей среду насыщенного пара в течение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включения автоклава открывают спускной кран, чтобы вытеснить из автоклава воздух. Как только из крана начнет выходить пар, кран необходимо закрыть и поднимать температуру в автоклаве со скоростью, обеспечивающей получение давления (2,1+-0,1) МПа за время 60 - 90 мин, считая со времени включения автоклава.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Давление (2,1+-0,1) МПа поддерживают в автоклаве в течение 3 ч. По окончании этого периода автоклав отключают и охлаждают с такой скоростью, чтобы через 1,5 ч давление в автоклаве не превышало 0,1 МПа. После этого осторожно открывают спускной кран и давление в автоклаве выравнивают с атмосферным.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Затем автоклав открывают, образцы помещают в воду температурой 90°С. Далее воду, в которую помещены образцы, охлаждают добавлением холодной воды таким образом, чтобы через 15 мин температура воды снизилась до (20+-2)°С.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Последующие 15 мин образцы выдерживают в воде указанной температуры. Затем образцы извлекают из воды, их поверхность обтирают, измеряют длину образцов после испытания в автоклаве и длину эталона. Допускается открывать автоклав и измерять образцы на следующий день после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Эталоном служит стальной стержень с закаленными концами, вделанный в деревянную оправу для предохранения его от влияния температуры. С длиной эталона сравнивают длины измеряемых образцов-призм.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процессе проведения автоклавного испытания необходимо строго соблюдать правила техники безопасности при работе с сосудами, находящимися под высоким давлением пара.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3032"/>
      <w:bookmarkEnd w:id="120"/>
      <w:r>
        <w:rPr>
          <w:rFonts w:cs="Arial" w:ascii="Arial" w:hAnsi="Arial"/>
          <w:sz w:val="20"/>
          <w:szCs w:val="20"/>
        </w:rPr>
        <w:t>3.2. Величину относительного удлинения подсчитывают как среднее арифметическое результатов измерений четырех образцов. В случае получение отрицательной деформации (усадки) перед величиной изменения длины ставят знак минус.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3032"/>
      <w:bookmarkStart w:id="122" w:name="sub_3004"/>
      <w:bookmarkEnd w:id="121"/>
      <w:bookmarkEnd w:id="122"/>
      <w:r>
        <w:rPr>
          <w:rFonts w:cs="Arial" w:ascii="Arial" w:hAnsi="Arial"/>
          <w:sz w:val="20"/>
          <w:szCs w:val="20"/>
        </w:rPr>
        <w:t>4.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3004"/>
      <w:bookmarkEnd w:id="123"/>
      <w:r>
        <w:rPr>
          <w:rFonts w:cs="Arial" w:ascii="Arial" w:hAnsi="Arial"/>
          <w:sz w:val="20"/>
          <w:szCs w:val="20"/>
        </w:rPr>
        <w:t>Относительное удлинение каждого образца эпсилон_i, %, рассчитывают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       0            0   э    0   э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l  - дельта l           (l - l )-(l - l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2           1            2   2    1   1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эпсилон = ────────────────────── x 100 = ────────────────── x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l                             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0                             0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l     - длина образца  до испытания  в автоклаве  с учетом длины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вкладышей,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        - длина образца после испытания в автоклаве с учетом длины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вкладышей,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       - эффективная  длина  образца  (расстояние между торцевыми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 поверхностями вкладышей), равная 250 мм;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       - длина эталона,  измеренная перед  испытанием образцов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автоклаве,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       - длина  эталона,  измеренная  после  испытания образцов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автоклаве,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Среднее относительное удлинение эпсилон_ср определяют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 эпсилон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i=1         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эпсилон = ──────────────.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     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при испытании относительное удлинение образцов не превышает 0,5%, считают золу выдержавшей испытание.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drawing>
          <wp:inline distT="0" distB="0" distL="0" distR="0">
            <wp:extent cx="4229735" cy="55721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4" w:name="sub_5"/>
      <w:bookmarkEnd w:id="124"/>
      <w:r>
        <w:rPr>
          <w:rFonts w:cs="Arial" w:ascii="Arial" w:hAnsi="Arial"/>
          <w:sz w:val="20"/>
          <w:szCs w:val="20"/>
        </w:rPr>
        <w:t>"Черт.1 Форма для изготовления образцов-призм"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5" w:name="sub_5"/>
      <w:bookmarkEnd w:id="12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915660" cy="55721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6" w:name="sub_6"/>
      <w:bookmarkEnd w:id="126"/>
      <w:r>
        <w:rPr>
          <w:rFonts w:cs="Arial" w:ascii="Arial" w:hAnsi="Arial"/>
          <w:sz w:val="20"/>
          <w:szCs w:val="20"/>
        </w:rPr>
        <w:t>"Черт.2 Вкладыш из нержавеющей стали и Черт. 3 Эталон с изолирующей оправой"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7" w:name="sub_6"/>
      <w:bookmarkEnd w:id="12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984625" cy="55721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8" w:name="sub_7"/>
      <w:bookmarkEnd w:id="128"/>
      <w:r>
        <w:rPr>
          <w:rFonts w:cs="Arial" w:ascii="Arial" w:hAnsi="Arial"/>
          <w:sz w:val="20"/>
          <w:szCs w:val="20"/>
        </w:rPr>
        <w:t>"Черт.4 Схема лабораторного автоклава"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7"/>
      <w:bookmarkStart w:id="130" w:name="sub_7"/>
      <w:bookmarkEnd w:id="1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2006-08-16T21:45:00Z</dcterms:created>
  <dc:creator>Виктор</dc:creator>
  <dc:description/>
  <dc:language>ru-RU</dc:language>
  <cp:lastModifiedBy>Виктор</cp:lastModifiedBy>
  <dcterms:modified xsi:type="dcterms:W3CDTF">2006-08-16T21:45:00Z</dcterms:modified>
  <cp:revision>2</cp:revision>
  <dc:subject/>
  <dc:title/>
</cp:coreProperties>
</file>