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25131-82</w:t>
        <w:br/>
        <w:t>"Покрытие по стали вспучивающееся огнезащитное ВПМ-2. Технические требования"</w:t>
        <w:br/>
        <w:t>(утв. постановлением Госстроя СССР от 31 декабря 1981 г. N 287)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Intumescent fire protective steel coating.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1982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вспучивающееся огнезащитное покрытие ВПМ-2, наносимое в условиях строительной площадки на стальные строительные конструкции с целью повышения их предела огнестойкости до 0,75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основные требования к покрытию, материалам для его приготовления и технологии нанесения.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Требования к покрытию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Покрытие следует применять для огнезащиты конструкций, эксплуатируемых внутри помещений с неагрессивной средой, положительной температурой, не превышающей 35°С, и относительной влажностью воздуха не более 60%. Допускается применять покрытие при относительной влажности воздуха не более 80% при условии нанесения на поверхность высохшего покрытия влагозащитного слоя.</w:t>
      </w:r>
    </w:p>
    <w:p>
      <w:pPr>
        <w:pStyle w:val="Normal"/>
        <w:autoSpaceDE w:val="false"/>
        <w:ind w:firstLine="720"/>
        <w:jc w:val="both"/>
        <w:rPr/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 xml:space="preserve">1.2. Материалы для приготовления состава покрытия, а также технология его нанесения на конструкции должны удовлетворять требованиям, приведенным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Покрытие должно быть сплошным и не иметь трещин, отслоений, вздутий.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Толщина высохшего покрытия должна быть не менее 3,5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sz w:val="20"/>
          <w:szCs w:val="20"/>
        </w:rPr>
        <w:t>2. Контроль качества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bookmarkEnd w:id="15"/>
      <w:r>
        <w:rPr>
          <w:rFonts w:cs="Arial" w:ascii="Arial" w:hAnsi="Arial"/>
          <w:sz w:val="20"/>
          <w:szCs w:val="20"/>
        </w:rPr>
        <w:t>2.1. Готовое покрытие должно быть проверено на соответствие требованиям настоящего стандарта. Приемку работ оформляют актом произвольной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Start w:id="17" w:name="sub_22"/>
      <w:bookmarkEnd w:id="16"/>
      <w:bookmarkEnd w:id="17"/>
      <w:r>
        <w:rPr>
          <w:rFonts w:cs="Arial" w:ascii="Arial" w:hAnsi="Arial"/>
          <w:sz w:val="20"/>
          <w:szCs w:val="20"/>
        </w:rPr>
        <w:t>2.2. При приемке производят контрольную проверку внешнего вида покрытия и его толщины.</w:t>
      </w:r>
    </w:p>
    <w:p>
      <w:pPr>
        <w:pStyle w:val="Normal"/>
        <w:autoSpaceDE w:val="false"/>
        <w:ind w:firstLine="720"/>
        <w:jc w:val="both"/>
        <w:rPr/>
      </w:pPr>
      <w:bookmarkStart w:id="18" w:name="sub_22"/>
      <w:bookmarkStart w:id="19" w:name="sub_23"/>
      <w:bookmarkEnd w:id="18"/>
      <w:bookmarkEnd w:id="19"/>
      <w:r>
        <w:rPr>
          <w:rFonts w:cs="Arial" w:ascii="Arial" w:hAnsi="Arial"/>
          <w:sz w:val="20"/>
          <w:szCs w:val="20"/>
        </w:rPr>
        <w:t>2.3. Контрольной проверке внешнего вида покрытия (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1.3</w:t>
        </w:r>
      </w:hyperlink>
      <w:r>
        <w:rPr>
          <w:rFonts w:cs="Arial" w:ascii="Arial" w:hAnsi="Arial"/>
          <w:sz w:val="20"/>
          <w:szCs w:val="20"/>
        </w:rPr>
        <w:t>) подвергают каждую конструкцию. Внешний вид покрытия определяют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3"/>
      <w:bookmarkStart w:id="21" w:name="sub_24"/>
      <w:bookmarkEnd w:id="20"/>
      <w:bookmarkEnd w:id="21"/>
      <w:r>
        <w:rPr>
          <w:rFonts w:cs="Arial" w:ascii="Arial" w:hAnsi="Arial"/>
          <w:sz w:val="20"/>
          <w:szCs w:val="20"/>
        </w:rPr>
        <w:t>2.4. Контрольной проверке толщины покрытия подвергают каждую конструкцию магнитным толщиномером марки МТ-33Н, изготавливаемым по нормативно-технической документации, утвержденной в установленном порядке, не менее чем в трех точках с интервалом 1м.</w:t>
      </w:r>
    </w:p>
    <w:p>
      <w:pPr>
        <w:pStyle w:val="Normal"/>
        <w:autoSpaceDE w:val="false"/>
        <w:ind w:firstLine="720"/>
        <w:jc w:val="both"/>
        <w:rPr/>
      </w:pPr>
      <w:bookmarkStart w:id="22" w:name="sub_24"/>
      <w:bookmarkStart w:id="23" w:name="sub_25"/>
      <w:bookmarkEnd w:id="22"/>
      <w:bookmarkEnd w:id="23"/>
      <w:r>
        <w:rPr>
          <w:rFonts w:cs="Arial" w:ascii="Arial" w:hAnsi="Arial"/>
          <w:sz w:val="20"/>
          <w:szCs w:val="20"/>
        </w:rPr>
        <w:t xml:space="preserve">2.5. При неудовлетворительных результатах хотя бы по одному из показателей, указанных в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1.4</w:t>
        </w:r>
      </w:hyperlink>
      <w:r>
        <w:rPr>
          <w:rFonts w:cs="Arial" w:ascii="Arial" w:hAnsi="Arial"/>
          <w:sz w:val="20"/>
          <w:szCs w:val="20"/>
        </w:rPr>
        <w:t>, покрытие приемке не подлежит.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5"/>
      <w:bookmarkStart w:id="25" w:name="sub_25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1000"/>
      <w:bookmarkEnd w:id="26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1000"/>
      <w:bookmarkEnd w:id="27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Приготовление и нанесение состава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1100"/>
      <w:bookmarkEnd w:id="28"/>
      <w:r>
        <w:rPr>
          <w:rFonts w:cs="Arial" w:ascii="Arial" w:hAnsi="Arial"/>
          <w:b/>
          <w:bCs/>
          <w:sz w:val="20"/>
          <w:szCs w:val="20"/>
        </w:rPr>
        <w:t>1.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1100"/>
      <w:bookmarkStart w:id="30" w:name="sub_1100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11"/>
      <w:bookmarkEnd w:id="31"/>
      <w:r>
        <w:rPr>
          <w:rFonts w:cs="Arial" w:ascii="Arial" w:hAnsi="Arial"/>
          <w:sz w:val="20"/>
          <w:szCs w:val="20"/>
        </w:rPr>
        <w:t>1.1. Для приготовления состава покрытия должны применяться материалы, приведенные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011"/>
      <w:bookmarkStart w:id="33" w:name="sub_1011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материалов          │      Норма расхода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%, по массе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01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Меламиномочевиноформальдегидная    смола│           30,2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101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ММФ-50       по        нормативно-технической│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утвержденной  в  установленном│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порядке. Массовая доля  нелетучих  веществ  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50%  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02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Карбоксиметилцеллюлоза  (КМЦ)   натриевая│           15,0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102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соль    техническая    марки    85-500     по│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нормативно-технической          документации,│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утвержденной в установленном порядке,  5%-ный│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водный раствор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103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Мелем     по     нормативно-технической│           17,4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103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утвержденной  в  установленном│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04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Дициандиамид технический по ГОСТ 6988-73  │            5,9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104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105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Аммофос марки А по ГОСТ 18918-79          │           26,1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105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106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Асбест хризотиловый марки П-5-67 или К-6-5│            2,7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106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12871-67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07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Нить стеклянная  рубленая  (стекловолокно)│            2,7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107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БС-10-84р-78 по  нормативно-технической│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утвержденной  в  установленном│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1200"/>
      <w:bookmarkEnd w:id="48"/>
      <w:r>
        <w:rPr>
          <w:rFonts w:cs="Arial" w:ascii="Arial" w:hAnsi="Arial"/>
          <w:b/>
          <w:bCs/>
          <w:sz w:val="20"/>
          <w:szCs w:val="20"/>
        </w:rPr>
        <w:t>2. Приготовление состава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1200"/>
      <w:bookmarkStart w:id="50" w:name="sub_1200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021"/>
      <w:bookmarkEnd w:id="51"/>
      <w:r>
        <w:rPr>
          <w:rFonts w:cs="Arial" w:ascii="Arial" w:hAnsi="Arial"/>
          <w:sz w:val="20"/>
          <w:szCs w:val="20"/>
        </w:rPr>
        <w:t>2.1. Приготовление состава покрытия должно состоять из следующих операций: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021"/>
      <w:bookmarkEnd w:id="52"/>
      <w:r>
        <w:rPr>
          <w:rFonts w:cs="Arial" w:ascii="Arial" w:hAnsi="Arial"/>
          <w:sz w:val="20"/>
          <w:szCs w:val="20"/>
        </w:rPr>
        <w:t>подготовка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пасты;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рабочего состава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месту производства работ состав покрытия доставляют в виде двух компонентов: пасты и аммофоса, смешиваемых перед нанесением на конструкции для получения рабочего состава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022"/>
      <w:bookmarkEnd w:id="53"/>
      <w:r>
        <w:rPr>
          <w:rFonts w:cs="Arial" w:ascii="Arial" w:hAnsi="Arial"/>
          <w:sz w:val="20"/>
          <w:szCs w:val="20"/>
        </w:rPr>
        <w:t>2.2. Приготовление пасты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022"/>
      <w:bookmarkStart w:id="55" w:name="sub_10221"/>
      <w:bookmarkEnd w:id="54"/>
      <w:bookmarkEnd w:id="55"/>
      <w:r>
        <w:rPr>
          <w:rFonts w:cs="Arial" w:ascii="Arial" w:hAnsi="Arial"/>
          <w:sz w:val="20"/>
          <w:szCs w:val="20"/>
        </w:rPr>
        <w:t>2.2.1. Приготовление пасты осуществляют централизованным порядком в заводских условиях или на строительном предприятии по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0221"/>
      <w:bookmarkStart w:id="57" w:name="sub_10222"/>
      <w:bookmarkEnd w:id="56"/>
      <w:bookmarkEnd w:id="57"/>
      <w:r>
        <w:rPr>
          <w:rFonts w:cs="Arial" w:ascii="Arial" w:hAnsi="Arial"/>
          <w:sz w:val="20"/>
          <w:szCs w:val="20"/>
        </w:rPr>
        <w:t>2.2.2. Приготовление пасты осуществляют путем перетира мелема и дициандиамида в смеси смолы ММФ-50 и 5%-ного водного раствора натриевой соли КМЦ и последующего смешивания полученной массы с асбестом и стекловолокном.</w:t>
      </w:r>
    </w:p>
    <w:p>
      <w:pPr>
        <w:pStyle w:val="Normal"/>
        <w:autoSpaceDE w:val="false"/>
        <w:ind w:firstLine="720"/>
        <w:jc w:val="both"/>
        <w:rPr/>
      </w:pPr>
      <w:bookmarkStart w:id="58" w:name="sub_10222"/>
      <w:bookmarkStart w:id="59" w:name="sub_10223"/>
      <w:bookmarkEnd w:id="58"/>
      <w:bookmarkEnd w:id="59"/>
      <w:r>
        <w:rPr>
          <w:rFonts w:cs="Arial" w:ascii="Arial" w:hAnsi="Arial"/>
          <w:sz w:val="20"/>
          <w:szCs w:val="20"/>
        </w:rPr>
        <w:t xml:space="preserve">2.2.3. Материалы и их соотношение для приготовления пасты должны отвечать требованиям 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1.1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 (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6">
        <w:r>
          <w:rPr>
            <w:rStyle w:val="Style15"/>
            <w:rFonts w:cs="Arial" w:ascii="Arial" w:hAnsi="Arial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0223"/>
      <w:bookmarkStart w:id="61" w:name="sub_10224"/>
      <w:bookmarkEnd w:id="60"/>
      <w:bookmarkEnd w:id="61"/>
      <w:r>
        <w:rPr>
          <w:rFonts w:cs="Arial" w:ascii="Arial" w:hAnsi="Arial"/>
          <w:sz w:val="20"/>
          <w:szCs w:val="20"/>
        </w:rPr>
        <w:t>2.2.4. Дозирование материалов производят весовыми дозаторами с погрешностью не более +-1,0%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0224"/>
      <w:bookmarkStart w:id="63" w:name="sub_10225"/>
      <w:bookmarkEnd w:id="62"/>
      <w:bookmarkEnd w:id="63"/>
      <w:r>
        <w:rPr>
          <w:rFonts w:cs="Arial" w:ascii="Arial" w:hAnsi="Arial"/>
          <w:sz w:val="20"/>
          <w:szCs w:val="20"/>
        </w:rPr>
        <w:t>2.2.5. Приготовление 5%-ного водного раствора натриевой соли КМЦ осуществляют в смесителях с перемешивающими устройствами путем разведения сухой натриевой соли КМЦ водой по ГОСТ 2874-73, подогретой до (55 +- 5)°С.</w:t>
      </w:r>
    </w:p>
    <w:p>
      <w:pPr>
        <w:pStyle w:val="Normal"/>
        <w:autoSpaceDE w:val="false"/>
        <w:ind w:firstLine="720"/>
        <w:jc w:val="both"/>
        <w:rPr/>
      </w:pPr>
      <w:bookmarkStart w:id="64" w:name="sub_10225"/>
      <w:bookmarkStart w:id="65" w:name="sub_10226"/>
      <w:bookmarkEnd w:id="64"/>
      <w:bookmarkEnd w:id="65"/>
      <w:r>
        <w:rPr>
          <w:rFonts w:cs="Arial" w:ascii="Arial" w:hAnsi="Arial"/>
          <w:sz w:val="20"/>
          <w:szCs w:val="20"/>
        </w:rPr>
        <w:t>2.2.6. Перетир мелема и дициандиамида в смеси смолы ММФ-50 и 5%-ного водного раствора натриевой соли КМЦ осуществляют в шаровых мальницах с фарфоровой футеровкой и фарфоровыми мелящими телами до степени перетира не более 80 мкм, определяемой по ГОСТ 6589-74.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0226"/>
      <w:bookmarkStart w:id="67" w:name="sub_10227"/>
      <w:bookmarkEnd w:id="66"/>
      <w:bookmarkEnd w:id="67"/>
      <w:r>
        <w:rPr>
          <w:rFonts w:cs="Arial" w:ascii="Arial" w:hAnsi="Arial"/>
          <w:sz w:val="20"/>
          <w:szCs w:val="20"/>
        </w:rPr>
        <w:t>2.2.7. Смешивание полученной массы с асбестом и стекловолокном осуществляют в смесителях типа СН-200 или СН-400, а затем в шнековых гомогенизирующих смесителях типа СНГ.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0227"/>
      <w:bookmarkEnd w:id="68"/>
      <w:r>
        <w:rPr>
          <w:rFonts w:cs="Arial" w:ascii="Arial" w:hAnsi="Arial"/>
          <w:sz w:val="20"/>
          <w:szCs w:val="20"/>
        </w:rPr>
        <w:t>Допускается вместо двух указанных смесителей применять смеситель с выгружающим шнеком типа СРШ-49.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0228"/>
      <w:bookmarkEnd w:id="69"/>
      <w:r>
        <w:rPr>
          <w:rFonts w:cs="Arial" w:ascii="Arial" w:hAnsi="Arial"/>
          <w:sz w:val="20"/>
          <w:szCs w:val="20"/>
        </w:rPr>
        <w:t>2.2.8. Упаковка пасты должна производиться в плотно закрывающуюся тару с полиэтиленовым вкладышем.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0228"/>
      <w:bookmarkStart w:id="71" w:name="sub_10229"/>
      <w:bookmarkEnd w:id="70"/>
      <w:bookmarkEnd w:id="71"/>
      <w:r>
        <w:rPr>
          <w:rFonts w:cs="Arial" w:ascii="Arial" w:hAnsi="Arial"/>
          <w:sz w:val="20"/>
          <w:szCs w:val="20"/>
        </w:rPr>
        <w:t>2.2.9. Паста должна транспортироваться при температуре от минус 40 до плюс 40°С в течение не более 1 мес и храниться при температуре от минус 5 до плюс 30°С в течение не более 6 мес с обязательным предохранением от воздействия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0229"/>
      <w:bookmarkStart w:id="73" w:name="sub_102210"/>
      <w:bookmarkEnd w:id="72"/>
      <w:bookmarkEnd w:id="73"/>
      <w:r>
        <w:rPr>
          <w:rFonts w:cs="Arial" w:ascii="Arial" w:hAnsi="Arial"/>
          <w:sz w:val="20"/>
          <w:szCs w:val="20"/>
        </w:rPr>
        <w:t>2.2.10. Аммофос должен транспортироваться и храниться в соответствии с ГОСТ 18918-79.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02210"/>
      <w:bookmarkStart w:id="75" w:name="sub_1023"/>
      <w:bookmarkEnd w:id="74"/>
      <w:bookmarkEnd w:id="75"/>
      <w:r>
        <w:rPr>
          <w:rFonts w:cs="Arial" w:ascii="Arial" w:hAnsi="Arial"/>
          <w:sz w:val="20"/>
          <w:szCs w:val="20"/>
        </w:rPr>
        <w:t>2.3. Приготовление рабочего состава покрытия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023"/>
      <w:bookmarkStart w:id="77" w:name="sub_10231"/>
      <w:bookmarkEnd w:id="76"/>
      <w:bookmarkEnd w:id="77"/>
      <w:r>
        <w:rPr>
          <w:rFonts w:cs="Arial" w:ascii="Arial" w:hAnsi="Arial"/>
          <w:sz w:val="20"/>
          <w:szCs w:val="20"/>
        </w:rPr>
        <w:t>2.3.1. Приготовление рабочего состава покрытия должно осуществляться на месте производства работ непосредственно перед нанесением на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0231"/>
      <w:bookmarkStart w:id="79" w:name="sub_10232"/>
      <w:bookmarkEnd w:id="78"/>
      <w:bookmarkEnd w:id="79"/>
      <w:r>
        <w:rPr>
          <w:rFonts w:cs="Arial" w:ascii="Arial" w:hAnsi="Arial"/>
          <w:sz w:val="20"/>
          <w:szCs w:val="20"/>
        </w:rPr>
        <w:t>2.3.2. Для приготовления рабочего состава покрытия пасту смешивают с аммофосом в растворосмесителях типа СО-26Б, СО-23Б, СО-46А в соотношении на 7,4 части пасты 2,6 части аммофоса, а затем дважды пропускают через краскотерку типа СО-110, СО-116.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232"/>
      <w:bookmarkStart w:id="81" w:name="sub_10233"/>
      <w:bookmarkEnd w:id="80"/>
      <w:bookmarkEnd w:id="81"/>
      <w:r>
        <w:rPr>
          <w:rFonts w:cs="Arial" w:ascii="Arial" w:hAnsi="Arial"/>
          <w:sz w:val="20"/>
          <w:szCs w:val="20"/>
        </w:rPr>
        <w:t>2.3.3. При приготовлении рабочего состава покрытия его температура не должна превышать 35°С.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0233"/>
      <w:bookmarkStart w:id="83" w:name="sub_10234"/>
      <w:bookmarkEnd w:id="82"/>
      <w:bookmarkEnd w:id="83"/>
      <w:r>
        <w:rPr>
          <w:rFonts w:cs="Arial" w:ascii="Arial" w:hAnsi="Arial"/>
          <w:sz w:val="20"/>
          <w:szCs w:val="20"/>
        </w:rPr>
        <w:t>2.3.4. Рабочий состав покрытия должен храниться не более суток в закрытой емкости.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0234"/>
      <w:bookmarkStart w:id="85" w:name="sub_10234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6" w:name="sub_1300"/>
      <w:bookmarkEnd w:id="86"/>
      <w:r>
        <w:rPr>
          <w:rFonts w:cs="Arial" w:ascii="Arial" w:hAnsi="Arial"/>
          <w:b/>
          <w:bCs/>
          <w:sz w:val="20"/>
          <w:szCs w:val="20"/>
        </w:rPr>
        <w:t>3. Подготовка поверхности под покрытие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7" w:name="sub_1300"/>
      <w:bookmarkStart w:id="88" w:name="sub_1300"/>
      <w:bookmarkEnd w:id="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031"/>
      <w:bookmarkEnd w:id="89"/>
      <w:r>
        <w:rPr>
          <w:rFonts w:cs="Arial" w:ascii="Arial" w:hAnsi="Arial"/>
          <w:sz w:val="20"/>
          <w:szCs w:val="20"/>
        </w:rPr>
        <w:t>3.1. Поверхность конструкций перед нанесением покрытия должна быть очищена от грязи, ржавчины, окалины и старой краски, обезжирена растворителями (ксилолом, сольвеном или уайт-спиритом) и загрунтована глифталевой грунтовкой ГФ-0163 по нормативно-технической документации, утвержденной в установленном порядке, или фенольной ФЛ-03К по ГОСТ 9109-81 в соответствии с требованиями СНиП по защите строительных конструкций и сооружений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31"/>
      <w:bookmarkEnd w:id="90"/>
      <w:r>
        <w:rPr>
          <w:rFonts w:cs="Arial" w:ascii="Arial" w:hAnsi="Arial"/>
          <w:sz w:val="20"/>
          <w:szCs w:val="20"/>
        </w:rPr>
        <w:t>Допускается нанесение указанных грунтовок на поверхности, ранее покрытые грунтовкой ГФ-020.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032"/>
      <w:bookmarkEnd w:id="91"/>
      <w:r>
        <w:rPr>
          <w:rFonts w:cs="Arial" w:ascii="Arial" w:hAnsi="Arial"/>
          <w:sz w:val="20"/>
          <w:szCs w:val="20"/>
        </w:rPr>
        <w:t>3.2. Грунтовка должна наноситься пневматическим краскораспылителем по ГОСТ 20223-74, кистью по ГОСТ 10597-80 или валиком по ГОСТ 10831-80 в один-два слоя в соответствии с нормативно-технической документацией на данный вид грунтовки.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032"/>
      <w:bookmarkStart w:id="93" w:name="sub_1032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4" w:name="sub_230704900"/>
      <w:bookmarkEnd w:id="94"/>
      <w:r>
        <w:rPr>
          <w:rFonts w:cs="Arial" w:ascii="Arial" w:hAnsi="Arial"/>
          <w:i/>
          <w:iCs/>
          <w:sz w:val="20"/>
          <w:szCs w:val="20"/>
        </w:rPr>
        <w:t>Взамен ГОСТа 10597-80 постановлением Госстроя СССР от 22 декабря 1986 г. N 59 утвержден и введен в действие с 1 января 1988 г. ГОСТ 10597-87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5" w:name="sub_230704900"/>
      <w:bookmarkStart w:id="96" w:name="sub_230704900"/>
      <w:bookmarkEnd w:id="9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Взамен ГОСТа 10831-80 постановлением Госстроя СССР от 17 декабря 1987 г. N 296 утвержден и введен в действие с 1 января 1989 г. ГОСТ 10831-87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сушки для грунтовки ГФ-0163 - не менее 24 ч для каждого слоя, для грунтовки ФЛ-03К - не менее 8 ч при температуре (20 +- 2)°С.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7" w:name="sub_1400"/>
      <w:bookmarkEnd w:id="97"/>
      <w:r>
        <w:rPr>
          <w:rFonts w:cs="Arial" w:ascii="Arial" w:hAnsi="Arial"/>
          <w:b/>
          <w:bCs/>
          <w:sz w:val="20"/>
          <w:szCs w:val="20"/>
        </w:rPr>
        <w:t>4. Нанесение состава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8" w:name="sub_1400"/>
      <w:bookmarkStart w:id="99" w:name="sub_1400"/>
      <w:bookmarkEnd w:id="9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041"/>
      <w:bookmarkEnd w:id="100"/>
      <w:r>
        <w:rPr>
          <w:rFonts w:cs="Arial" w:ascii="Arial" w:hAnsi="Arial"/>
          <w:sz w:val="20"/>
          <w:szCs w:val="20"/>
        </w:rPr>
        <w:t>4.1. Состав покрытия должен наноситься в 2-3 слоя установкой пневматического действия при следующих режимах работы: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041"/>
      <w:bookmarkStart w:id="102" w:name="sub_1041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давление в красконагнетательном бачке, МПа (кгс/см2) ............ 0,4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давление распыления, МПа (кгс/см2) .............................. 0,5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от сопла пистолета-распылителя до защищаемой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поверхности, мм ................................................. 600-700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труднодоступных местах указанное расстояние может быть сокращено до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наносить состав покрытия за два раза шпателем по ГОСТ 10778-76.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1042"/>
      <w:bookmarkEnd w:id="103"/>
      <w:r>
        <w:rPr>
          <w:rFonts w:cs="Arial" w:ascii="Arial" w:hAnsi="Arial"/>
          <w:sz w:val="20"/>
          <w:szCs w:val="20"/>
        </w:rPr>
        <w:t>4.2. Толщина сырого слоя покрытия должна быть не менее 6 мм. Общий расход рабочего состава покрытия с учетом производственных потерь должен составить 6,0 кг/м2.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042"/>
      <w:bookmarkStart w:id="105" w:name="sub_1043"/>
      <w:bookmarkEnd w:id="104"/>
      <w:bookmarkEnd w:id="105"/>
      <w:r>
        <w:rPr>
          <w:rFonts w:cs="Arial" w:ascii="Arial" w:hAnsi="Arial"/>
          <w:sz w:val="20"/>
          <w:szCs w:val="20"/>
        </w:rPr>
        <w:t>4.3. Нанесение и сушка состава покрытия должны производиться при температуре окружающего воздуха не ниже 10 и не выше 35°С и влажности не выше 80%.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1043"/>
      <w:bookmarkEnd w:id="106"/>
      <w:r>
        <w:rPr>
          <w:rFonts w:cs="Arial" w:ascii="Arial" w:hAnsi="Arial"/>
          <w:sz w:val="20"/>
          <w:szCs w:val="20"/>
        </w:rPr>
        <w:t>Продолжительность сушки - не менее 24 ч для каждого слоя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044"/>
      <w:bookmarkEnd w:id="107"/>
      <w:r>
        <w:rPr>
          <w:rFonts w:cs="Arial" w:ascii="Arial" w:hAnsi="Arial"/>
          <w:sz w:val="20"/>
          <w:szCs w:val="20"/>
        </w:rPr>
        <w:t>4.4. На высушенное покрытие не ранее чем через 5-6 суток после нанесения последнего слоя в качестве влагозащиты или декоративной отделки, если они предусмотрены проектом, должна быть нанесена какая-либо из пентафталевых эмалей марок: ПФ-115 по ГОСТ 6465-76, ПФ-218 по ГОСТ 21227-75, ПФ-223 по ГОСТ 14923-78, эмалей на основе сополимеров и винилхлорида марок: ХВ-785 по ГОСТ 7313-75, ХВ-124 по ГОСТ 10144-74 или кремнийорганическая эмаль марки КО-174 по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44"/>
      <w:bookmarkStart w:id="109" w:name="sub_1045"/>
      <w:bookmarkEnd w:id="108"/>
      <w:bookmarkEnd w:id="109"/>
      <w:r>
        <w:rPr>
          <w:rFonts w:cs="Arial" w:ascii="Arial" w:hAnsi="Arial"/>
          <w:sz w:val="20"/>
          <w:szCs w:val="20"/>
        </w:rPr>
        <w:t>4.5. Эмали должны наноситься в два слоя пневмораспылением при помощи краскораспылителя по ГОСТ 20223-74 или вручную кистью по ГОСТ 10597-80, или валиком по ГОСТ 10831-80. Общий расход эмали - не более 250 г/м2.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045"/>
      <w:bookmarkStart w:id="111" w:name="sub_1045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2" w:name="sub_230707564"/>
      <w:bookmarkEnd w:id="112"/>
      <w:r>
        <w:rPr>
          <w:rFonts w:cs="Arial" w:ascii="Arial" w:hAnsi="Arial"/>
          <w:i/>
          <w:iCs/>
          <w:sz w:val="20"/>
          <w:szCs w:val="20"/>
        </w:rPr>
        <w:t>Взамен ГОСТа 10597-80 постановлением Госстроя СССР от 22 декабря 1986 г. N 59 утвержден и введен в действие с 1 января 1988 г. ГОСТ 10597-87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3" w:name="sub_230707564"/>
      <w:bookmarkStart w:id="114" w:name="sub_230707564"/>
      <w:bookmarkEnd w:id="1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Взамен ГОСТа 10831-80 постановлением Госстроя СССР от 17 декабря 1987 г. N 296 утвержден и введен в действие с 1 января 1989 г. ГОСТ 10831-87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Нанесение и сушка эмалей должны производиться согласно стандартам в другой нормативно-технической документации на эти виды эмалей, утвержденной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5" w:name="sub_1500"/>
      <w:bookmarkEnd w:id="115"/>
      <w:r>
        <w:rPr>
          <w:rFonts w:cs="Arial" w:ascii="Arial" w:hAnsi="Arial"/>
          <w:b/>
          <w:bCs/>
          <w:sz w:val="20"/>
          <w:szCs w:val="20"/>
        </w:rPr>
        <w:t>5.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6" w:name="sub_1500"/>
      <w:bookmarkStart w:id="117" w:name="sub_1500"/>
      <w:bookmarkEnd w:id="1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051"/>
      <w:bookmarkEnd w:id="118"/>
      <w:r>
        <w:rPr>
          <w:rFonts w:cs="Arial" w:ascii="Arial" w:hAnsi="Arial"/>
          <w:sz w:val="20"/>
          <w:szCs w:val="20"/>
        </w:rPr>
        <w:t>5.1. Контроль качества приготовления и нанесения состава покрытия производят пооперационно на всех этапах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1051"/>
      <w:bookmarkStart w:id="120" w:name="sub_1052"/>
      <w:bookmarkEnd w:id="119"/>
      <w:bookmarkEnd w:id="120"/>
      <w:r>
        <w:rPr>
          <w:rFonts w:cs="Arial" w:ascii="Arial" w:hAnsi="Arial"/>
          <w:sz w:val="20"/>
          <w:szCs w:val="20"/>
        </w:rPr>
        <w:t>5.2. При контроле проверяют: качество подготовки поверхности под покрытие, температуру рабочего состава покрытия при его приготовлении, параметры нанесения, толщину нанесенного сырого слоя.</w:t>
      </w:r>
    </w:p>
    <w:p>
      <w:pPr>
        <w:pStyle w:val="Normal"/>
        <w:autoSpaceDE w:val="false"/>
        <w:ind w:firstLine="720"/>
        <w:jc w:val="both"/>
        <w:rPr/>
      </w:pPr>
      <w:bookmarkStart w:id="121" w:name="sub_1052"/>
      <w:bookmarkStart w:id="122" w:name="sub_1053"/>
      <w:bookmarkEnd w:id="121"/>
      <w:bookmarkEnd w:id="122"/>
      <w:r>
        <w:rPr>
          <w:rFonts w:cs="Arial" w:ascii="Arial" w:hAnsi="Arial"/>
          <w:sz w:val="20"/>
          <w:szCs w:val="20"/>
        </w:rPr>
        <w:t>5.3. Качество подготовки поверхности (</w:t>
      </w:r>
      <w:hyperlink w:anchor="sub_10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3.1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32">
        <w:r>
          <w:rPr>
            <w:rStyle w:val="Style15"/>
            <w:rFonts w:cs="Arial" w:ascii="Arial" w:hAnsi="Arial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>) проверяют визуально. Приемку подготовленной поверхности оформляют актом на скрытые работы.</w:t>
      </w:r>
    </w:p>
    <w:p>
      <w:pPr>
        <w:pStyle w:val="Normal"/>
        <w:autoSpaceDE w:val="false"/>
        <w:ind w:firstLine="720"/>
        <w:jc w:val="both"/>
        <w:rPr/>
      </w:pPr>
      <w:bookmarkStart w:id="123" w:name="sub_1053"/>
      <w:bookmarkStart w:id="124" w:name="sub_1054"/>
      <w:bookmarkEnd w:id="123"/>
      <w:bookmarkEnd w:id="124"/>
      <w:r>
        <w:rPr>
          <w:rFonts w:cs="Arial" w:ascii="Arial" w:hAnsi="Arial"/>
          <w:sz w:val="20"/>
          <w:szCs w:val="20"/>
        </w:rPr>
        <w:t>5.4. Температуру рабочего состава покрытия при его приготовлении (</w:t>
      </w:r>
      <w:hyperlink w:anchor="sub_102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2.3.3</w:t>
        </w:r>
      </w:hyperlink>
      <w:r>
        <w:rPr>
          <w:rFonts w:cs="Arial" w:ascii="Arial" w:hAnsi="Arial"/>
          <w:sz w:val="20"/>
          <w:szCs w:val="20"/>
        </w:rPr>
        <w:t>) контролируют техническим термометром П N 4 по ГОСТ 2823-73.</w:t>
      </w:r>
    </w:p>
    <w:p>
      <w:pPr>
        <w:pStyle w:val="Normal"/>
        <w:autoSpaceDE w:val="false"/>
        <w:ind w:firstLine="720"/>
        <w:jc w:val="both"/>
        <w:rPr/>
      </w:pPr>
      <w:bookmarkStart w:id="125" w:name="sub_1054"/>
      <w:bookmarkStart w:id="126" w:name="sub_1055"/>
      <w:bookmarkEnd w:id="125"/>
      <w:bookmarkEnd w:id="126"/>
      <w:r>
        <w:rPr>
          <w:rFonts w:cs="Arial" w:ascii="Arial" w:hAnsi="Arial"/>
          <w:sz w:val="20"/>
          <w:szCs w:val="20"/>
        </w:rPr>
        <w:t>5.5. Давление в красконагнетательном бачке и рабочее давление распыления (</w:t>
      </w:r>
      <w:hyperlink w:anchor="sub_10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4.1</w:t>
        </w:r>
      </w:hyperlink>
      <w:r>
        <w:rPr>
          <w:rFonts w:cs="Arial" w:ascii="Arial" w:hAnsi="Arial"/>
          <w:sz w:val="20"/>
          <w:szCs w:val="20"/>
        </w:rPr>
        <w:t>) контролируют при помощи манометра по ГОСТ 8625-77.</w:t>
      </w:r>
    </w:p>
    <w:p>
      <w:pPr>
        <w:pStyle w:val="Normal"/>
        <w:autoSpaceDE w:val="false"/>
        <w:ind w:firstLine="720"/>
        <w:jc w:val="both"/>
        <w:rPr/>
      </w:pPr>
      <w:bookmarkStart w:id="127" w:name="sub_1055"/>
      <w:bookmarkStart w:id="128" w:name="sub_1056"/>
      <w:bookmarkEnd w:id="127"/>
      <w:bookmarkEnd w:id="128"/>
      <w:r>
        <w:rPr>
          <w:rFonts w:cs="Arial" w:ascii="Arial" w:hAnsi="Arial"/>
          <w:sz w:val="20"/>
          <w:szCs w:val="20"/>
        </w:rPr>
        <w:t>5.6. Толщину сырого слоя покрытия (</w:t>
      </w:r>
      <w:hyperlink w:anchor="sub_104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4.2</w:t>
        </w:r>
      </w:hyperlink>
      <w:r>
        <w:rPr>
          <w:rFonts w:cs="Arial" w:ascii="Arial" w:hAnsi="Arial"/>
          <w:sz w:val="20"/>
          <w:szCs w:val="20"/>
        </w:rPr>
        <w:t>) контролируют щупом с острым концом, имеющим шкалу делений ценой в миллиметр.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056"/>
      <w:bookmarkStart w:id="130" w:name="sub_1056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1" w:name="sub_1600"/>
      <w:bookmarkEnd w:id="131"/>
      <w:r>
        <w:rPr>
          <w:rFonts w:cs="Arial" w:ascii="Arial" w:hAnsi="Arial"/>
          <w:b/>
          <w:bCs/>
          <w:sz w:val="20"/>
          <w:szCs w:val="20"/>
        </w:rPr>
        <w:t>6.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2" w:name="sub_1600"/>
      <w:bookmarkStart w:id="133" w:name="sub_1600"/>
      <w:bookmarkEnd w:id="1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1061"/>
      <w:bookmarkEnd w:id="134"/>
      <w:r>
        <w:rPr>
          <w:rFonts w:cs="Arial" w:ascii="Arial" w:hAnsi="Arial"/>
          <w:sz w:val="20"/>
          <w:szCs w:val="20"/>
        </w:rPr>
        <w:t>6.1. При выполнении работ по нанесению состава покрытия следует руководствоваться требованиями главы СНиП по технике безопасности в строительстве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061"/>
      <w:bookmarkStart w:id="136" w:name="sub_1062"/>
      <w:bookmarkEnd w:id="135"/>
      <w:bookmarkEnd w:id="136"/>
      <w:r>
        <w:rPr>
          <w:rFonts w:cs="Arial" w:ascii="Arial" w:hAnsi="Arial"/>
          <w:sz w:val="20"/>
          <w:szCs w:val="20"/>
        </w:rPr>
        <w:t>6.2. Лица, производящие работы по приготовлению и нанесению состава покрытия, должны быть обеспечены средствами индивидуальной защиты: защитными пастами и мазями, резиновыми перчатками, респираторами, защитными очками и плотными комбинезонами.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062"/>
      <w:bookmarkStart w:id="138" w:name="sub_1063"/>
      <w:bookmarkEnd w:id="137"/>
      <w:bookmarkEnd w:id="138"/>
      <w:r>
        <w:rPr>
          <w:rFonts w:cs="Arial" w:ascii="Arial" w:hAnsi="Arial"/>
          <w:sz w:val="20"/>
          <w:szCs w:val="20"/>
        </w:rPr>
        <w:t>6.3. При работе с оборудованием, предназначенным для приготовления и нанесения состава покрытия, необходимо соблюдать требования безопасности, предусмотренные в инструкциях по эксплуатации данного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063"/>
      <w:bookmarkStart w:id="140" w:name="sub_1063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2007-05-02T14:07:00Z</dcterms:created>
  <dc:creator>VIKTOR</dc:creator>
  <dc:description/>
  <dc:language>ru-RU</dc:language>
  <cp:lastModifiedBy>VIKTOR</cp:lastModifiedBy>
  <dcterms:modified xsi:type="dcterms:W3CDTF">2007-05-02T14:07:00Z</dcterms:modified>
  <cp:revision>2</cp:revision>
  <dc:subject/>
  <dc:title/>
</cp:coreProperties>
</file>