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10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24587-81</w:t>
        <w:br/>
        <w:t>"Лотки-водовыпуски железобетонные оросительных систем. Технические условия"</w:t>
        <w:br/>
        <w:t>(утв. постановлением Госстроя СССР от 18 ноября 1980 г. N 179)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Reinforced concrete flumes-water outlets of irrigation systems.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Указания по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6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Рабочие чертежи закладных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железобетонные раструбные лотки-водовыпуски параболического сечения (ЛРВ), предназначенные для забора воды из распределительных каналов оросительных систем с уклонами меньше критических, сооружаемых во всех климатических районах страны с сейсмичностью до 8 баллов включительно.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Форма, основные параметры и размеры лотков-водовыпусков должны соответствовать принятым в ГОСТ 21509-76 для железобетонных ненапряженных раструбных лотков типа ЛР.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Лотки-водовыпуски должны отличаться от лотков типа ЛР наличием закладных деталей, предназначенных для крепления вентильного затвора с условным проходом 325 мм и рабочим давлением до 0,1 МПа.</w:t>
      </w:r>
    </w:p>
    <w:p>
      <w:pPr>
        <w:pStyle w:val="Normal"/>
        <w:autoSpaceDE w:val="false"/>
        <w:ind w:firstLine="720"/>
        <w:jc w:val="both"/>
        <w:rPr/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 xml:space="preserve">1.2. Расположение закладных деталей для крепления вентильного затвора должно соответствовать указанному на </w:t>
      </w:r>
      <w:hyperlink w:anchor="sub_77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 xml:space="preserve">Форма и размеры закладных деталей (фланца и стенок) должны соответствовать обязательному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приложению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Марки лотков обозначаются буквами ЛРВ (лоток раструбный с водовыпуском) и цифрами, которые обозначают высоту сечения лотка в дециметрах.</w:t>
      </w:r>
    </w:p>
    <w:p>
      <w:pPr>
        <w:pStyle w:val="Normal"/>
        <w:autoSpaceDE w:val="false"/>
        <w:ind w:firstLine="720"/>
        <w:jc w:val="both"/>
        <w:rPr/>
      </w:pPr>
      <w:bookmarkStart w:id="8" w:name="sub_13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железобетонного лотка с водовыпуском высотой сечения 800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ЛРВ-8 ГОСТ 24587-81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t>2.1. Лотки-водовыпуски должны изготавливаться в соответствии с требованиями ГОСТ 21509-76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bookmarkStart w:id="14" w:name="sub_22"/>
      <w:bookmarkEnd w:id="13"/>
      <w:bookmarkEnd w:id="14"/>
      <w:r>
        <w:rPr>
          <w:rFonts w:cs="Arial" w:ascii="Arial" w:hAnsi="Arial"/>
          <w:sz w:val="20"/>
          <w:szCs w:val="20"/>
        </w:rPr>
        <w:t>2.2. Технические требования к бетону, материалам для приготовления бетона и арматуре для армирования лотков-водовыпусков должны соответствовать требованиям ГОСТ 21509-76.</w:t>
      </w:r>
    </w:p>
    <w:p>
      <w:pPr>
        <w:pStyle w:val="Normal"/>
        <w:autoSpaceDE w:val="false"/>
        <w:ind w:firstLine="720"/>
        <w:jc w:val="both"/>
        <w:rPr/>
      </w:pPr>
      <w:bookmarkStart w:id="15" w:name="sub_22"/>
      <w:bookmarkStart w:id="16" w:name="sub_23"/>
      <w:bookmarkEnd w:id="15"/>
      <w:bookmarkEnd w:id="16"/>
      <w:r>
        <w:rPr>
          <w:rFonts w:cs="Arial" w:ascii="Arial" w:hAnsi="Arial"/>
          <w:sz w:val="20"/>
          <w:szCs w:val="20"/>
        </w:rPr>
        <w:t xml:space="preserve">2.3. Для установки закладных деталей в арматурной сетке вырезается отверстие в соответствии с </w:t>
      </w:r>
      <w:hyperlink w:anchor="sub_77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чертежом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"/>
      <w:bookmarkEnd w:id="17"/>
      <w:r>
        <w:rPr>
          <w:rFonts w:cs="Arial" w:ascii="Arial" w:hAnsi="Arial"/>
          <w:sz w:val="20"/>
          <w:szCs w:val="20"/>
        </w:rPr>
        <w:t>Закладные детали (фланцы и привариваемые к ним стенки) должны устанавливаться на арматурном каркасе лотка и закрепляться в проектном положении путем сварки анкеров с арматурной сеткой.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bookmarkEnd w:id="18"/>
      <w:r>
        <w:rPr>
          <w:rFonts w:cs="Arial" w:ascii="Arial" w:hAnsi="Arial"/>
          <w:sz w:val="20"/>
          <w:szCs w:val="20"/>
        </w:rPr>
        <w:t>2.4. Сварные арматурные изделия должны удовлетворять требованиям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4"/>
      <w:bookmarkStart w:id="20" w:name="sub_24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" w:name="sub_172307520"/>
      <w:bookmarkEnd w:id="2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10922-75 постановлением Госстроя СССР от 18 мая 1990 г. N 45 утвержден и введен в действие с 1 января 1991 г.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" w:name="sub_172307520"/>
      <w:bookmarkStart w:id="23" w:name="sub_172307520"/>
      <w:bookmarkEnd w:id="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5"/>
      <w:bookmarkEnd w:id="24"/>
      <w:r>
        <w:rPr>
          <w:rFonts w:cs="Arial" w:ascii="Arial" w:hAnsi="Arial"/>
          <w:sz w:val="20"/>
          <w:szCs w:val="20"/>
        </w:rPr>
        <w:t>2.5. Опорные поверхности закладных деталей должны иметь гладкие наружные и внутренние поверхности. Не допускаются подтеки, возвышения наплавленного металла, вмятины, заусеницы.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5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145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771"/>
      <w:bookmarkEnd w:id="26"/>
      <w:r>
        <w:rPr>
          <w:rFonts w:cs="Arial" w:ascii="Arial" w:hAnsi="Arial"/>
          <w:sz w:val="20"/>
          <w:szCs w:val="20"/>
        </w:rPr>
        <w:t>"Чертеж"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771"/>
      <w:bookmarkStart w:id="28" w:name="sub_771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6"/>
      <w:bookmarkEnd w:id="29"/>
      <w:r>
        <w:rPr>
          <w:rFonts w:cs="Arial" w:ascii="Arial" w:hAnsi="Arial"/>
          <w:sz w:val="20"/>
          <w:szCs w:val="20"/>
        </w:rPr>
        <w:t>2.6. Закладные детали должны изготавливаться из листовой стали ВСтЗсп по ГОСТ 380-71 и ГОСТ 19903-74 или ГОСТ 19904-74, анкера - из арматурной стали класса А-1 по ГОСТ 5781-75.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6"/>
      <w:bookmarkStart w:id="31" w:name="sub_26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172307844"/>
      <w:bookmarkEnd w:id="3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380-71 в части требований к сортовому и фасонному прокату постановлением Госстроя СССР от 23 марта 1988 г. N 677 утвержден и введен в действие с 1 января 1990 г. ГОСТ 535-88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172307844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19904-74 постановлением Госстандарта СССР от 28 марта 1990 г. N 664 с 1 января 1991 г. введен в действие ГОСТ 19904-90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5781-75 постановлением Госстандарта СССР от 17 декабря 1982 г. N 4800 с 1 июля 1983 года введен в действие ГОСТ 5781-82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"/>
      <w:bookmarkEnd w:id="34"/>
      <w:r>
        <w:rPr>
          <w:rFonts w:cs="Arial" w:ascii="Arial" w:hAnsi="Arial"/>
          <w:sz w:val="20"/>
          <w:szCs w:val="20"/>
        </w:rPr>
        <w:t>2.7. Отклонения по толщине листов, из которых изготавливаются изделия закладных деталей, должны соответствовать предусмотренным ГОСТ 19903-74 или ГОСТ 19904-74.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"/>
      <w:bookmarkStart w:id="36" w:name="sub_28"/>
      <w:bookmarkEnd w:id="35"/>
      <w:bookmarkEnd w:id="36"/>
      <w:r>
        <w:rPr>
          <w:rFonts w:cs="Arial" w:ascii="Arial" w:hAnsi="Arial"/>
          <w:sz w:val="20"/>
          <w:szCs w:val="20"/>
        </w:rPr>
        <w:t>2.8. Сварку производить электродами Э42.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8"/>
      <w:bookmarkEnd w:id="37"/>
      <w:r>
        <w:rPr>
          <w:rFonts w:cs="Arial" w:ascii="Arial" w:hAnsi="Arial"/>
          <w:sz w:val="20"/>
          <w:szCs w:val="20"/>
        </w:rPr>
        <w:t>Механические свойства сварных соединений и наплавленного металла при нормальной температуре должны соответствовать предусмотренным в ГОСТ 9467-75.</w:t>
      </w:r>
    </w:p>
    <w:p>
      <w:pPr>
        <w:pStyle w:val="Normal"/>
        <w:autoSpaceDE w:val="false"/>
        <w:ind w:firstLine="720"/>
        <w:jc w:val="both"/>
        <w:rPr/>
      </w:pPr>
      <w:bookmarkStart w:id="38" w:name="sub_29"/>
      <w:bookmarkEnd w:id="38"/>
      <w:r>
        <w:rPr>
          <w:rFonts w:cs="Arial" w:ascii="Arial" w:hAnsi="Arial"/>
          <w:sz w:val="20"/>
          <w:szCs w:val="20"/>
        </w:rPr>
        <w:t xml:space="preserve">2.9. Отклонения стальных закладных деталей не должны превышать указанных в чертежах обязательного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9"/>
      <w:bookmarkStart w:id="40" w:name="sub_210"/>
      <w:bookmarkEnd w:id="39"/>
      <w:bookmarkEnd w:id="40"/>
      <w:r>
        <w:rPr>
          <w:rFonts w:cs="Arial" w:ascii="Arial" w:hAnsi="Arial"/>
          <w:sz w:val="20"/>
          <w:szCs w:val="20"/>
        </w:rPr>
        <w:t>2.10. Открытые поверхности стальных закладных деталей лотков должны иметь лакокрасочное покрытие, которое следует наносить на очищенные от наплывов бетона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0"/>
      <w:bookmarkEnd w:id="41"/>
      <w:r>
        <w:rPr>
          <w:rFonts w:cs="Arial" w:ascii="Arial" w:hAnsi="Arial"/>
          <w:sz w:val="20"/>
          <w:szCs w:val="20"/>
        </w:rPr>
        <w:t>Техническая характеристика лакокрасочных покрытий должна назначаться в соответствии с требованиями главы СНиП II-28-73.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172317692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СНиПа II-28-73 постановлением Госстроя СССР от 30 августа 1985 г. N 137 утверждены и введены в действие с 1 января 1986 г. СНиП 2.03.11-85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172317692"/>
      <w:bookmarkStart w:id="44" w:name="sub_172317692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3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300"/>
      <w:bookmarkStart w:id="47" w:name="sub_3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1"/>
      <w:bookmarkEnd w:id="48"/>
      <w:r>
        <w:rPr>
          <w:rFonts w:cs="Arial" w:ascii="Arial" w:hAnsi="Arial"/>
          <w:sz w:val="20"/>
          <w:szCs w:val="20"/>
        </w:rPr>
        <w:t>3.1. Приемка лотков-водовыпусков должна производиться в соответствии с требованиями ГОСТ 21509-76.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31"/>
      <w:bookmarkStart w:id="50" w:name="sub_31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4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400"/>
      <w:bookmarkStart w:id="53" w:name="sub_400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"/>
      <w:bookmarkEnd w:id="54"/>
      <w:r>
        <w:rPr>
          <w:rFonts w:cs="Arial" w:ascii="Arial" w:hAnsi="Arial"/>
          <w:sz w:val="20"/>
          <w:szCs w:val="20"/>
        </w:rPr>
        <w:t>4.1. Испытание лотков-водовыпусков должно производиться по ГОСТ 21509-76.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"/>
      <w:bookmarkStart w:id="56" w:name="sub_42"/>
      <w:bookmarkEnd w:id="55"/>
      <w:bookmarkEnd w:id="56"/>
      <w:r>
        <w:rPr>
          <w:rFonts w:cs="Arial" w:ascii="Arial" w:hAnsi="Arial"/>
          <w:sz w:val="20"/>
          <w:szCs w:val="20"/>
        </w:rPr>
        <w:t>4.2. Перед испытанием на водонепроницаемость лотков-водовыпусков отверстие в закладной части закрывается съемной заглушкой.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2"/>
      <w:bookmarkStart w:id="58" w:name="sub_43"/>
      <w:bookmarkEnd w:id="57"/>
      <w:bookmarkEnd w:id="58"/>
      <w:r>
        <w:rPr>
          <w:rFonts w:cs="Arial" w:ascii="Arial" w:hAnsi="Arial"/>
          <w:sz w:val="20"/>
          <w:szCs w:val="20"/>
        </w:rPr>
        <w:t>4.3. Испытание сварных соединений арматурных изделий и закладных деталей и оценку их качества следует производить по ГОСТ 10922-75.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43"/>
      <w:bookmarkStart w:id="60" w:name="sub_43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172319524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10922-75 постановлением Госстроя СССР от 18 мая 1990 г. N 45 утвержден и введен в действие с 1 января 1991 г.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172319524"/>
      <w:bookmarkStart w:id="63" w:name="sub_172319524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50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500"/>
      <w:bookmarkStart w:id="66" w:name="sub_50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1"/>
      <w:bookmarkEnd w:id="67"/>
      <w:r>
        <w:rPr>
          <w:rFonts w:cs="Arial" w:ascii="Arial" w:hAnsi="Arial"/>
          <w:sz w:val="20"/>
          <w:szCs w:val="20"/>
        </w:rPr>
        <w:t>5.1. Маркировка, транспортирование и хранение лотков-водовыпусков должны производиться в соответствии с ГОСТ 21509-76.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1"/>
      <w:bookmarkStart w:id="69" w:name="sub_52"/>
      <w:bookmarkEnd w:id="68"/>
      <w:bookmarkEnd w:id="69"/>
      <w:r>
        <w:rPr>
          <w:rFonts w:cs="Arial" w:ascii="Arial" w:hAnsi="Arial"/>
          <w:sz w:val="20"/>
          <w:szCs w:val="20"/>
        </w:rPr>
        <w:t>5.2. Закладные детали должны иметь маркировку масляной краской на наружных поверхностях фланцев. Маркировочная надпись должна указывать на принадлежность фланцев к соответствующему лотку, например, для лотка ЛРВ-4 фланец маркируется - 4.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52"/>
      <w:bookmarkStart w:id="71" w:name="sub_52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6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6.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600"/>
      <w:bookmarkStart w:id="74" w:name="sub_6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1"/>
      <w:bookmarkEnd w:id="75"/>
      <w:r>
        <w:rPr>
          <w:rFonts w:cs="Arial" w:ascii="Arial" w:hAnsi="Arial"/>
          <w:sz w:val="20"/>
          <w:szCs w:val="20"/>
        </w:rPr>
        <w:t>6.1. Укладка лотка-водовыпуска на стоечные опоры разрешается при достижении бетоном омоноличивания стойки прочности не ниже 50% от проектной, пуск воды по лоткам - при 100% прочности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1"/>
      <w:bookmarkStart w:id="77" w:name="sub_62"/>
      <w:bookmarkEnd w:id="76"/>
      <w:bookmarkEnd w:id="77"/>
      <w:r>
        <w:rPr>
          <w:rFonts w:cs="Arial" w:ascii="Arial" w:hAnsi="Arial"/>
          <w:sz w:val="20"/>
          <w:szCs w:val="20"/>
        </w:rPr>
        <w:t>6.2. Для обеспечения водонепроницаемости стыков лотков-водовыпусков с примыкающими лотками рекомендуются применять жгуты круглого сечения из резины или пароизола. Для обеспечения герметичности стыков жгуты из резины или пароизола должны быть обжаты соответственно на 30 и 50%.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2"/>
      <w:bookmarkEnd w:id="78"/>
      <w:r>
        <w:rPr>
          <w:rFonts w:cs="Arial" w:ascii="Arial" w:hAnsi="Arial"/>
          <w:sz w:val="20"/>
          <w:szCs w:val="20"/>
        </w:rPr>
        <w:t>Жгуты из резины должны соответствовать ГОСТ 6467-79, а из пароизола - ГОСТ 19177-73.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9" w:name="sub_172321184"/>
      <w:bookmarkEnd w:id="7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ГОСТа 19177-73 постановлением Госстроя СССР от 7 декабря 1981 г. N 204 утвержден и введен в действие с 1 января 1983 г. ГОСТ 19177-81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0" w:name="sub_172321184"/>
      <w:bookmarkStart w:id="81" w:name="sub_172321184"/>
      <w:bookmarkEnd w:id="8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7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700"/>
      <w:bookmarkStart w:id="84" w:name="sub_70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71"/>
      <w:bookmarkEnd w:id="85"/>
      <w:r>
        <w:rPr>
          <w:rFonts w:cs="Arial" w:ascii="Arial" w:hAnsi="Arial"/>
          <w:sz w:val="20"/>
          <w:szCs w:val="20"/>
        </w:rPr>
        <w:t>7.1. Завод-изготовитель гарантирует соответствие поставляемых им изделий требованиям настоящего стандарта при соблюдении потребителем правил транспортирования и хранения, установленных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71"/>
      <w:bookmarkStart w:id="87" w:name="sub_72"/>
      <w:bookmarkEnd w:id="86"/>
      <w:bookmarkEnd w:id="87"/>
      <w:r>
        <w:rPr>
          <w:rFonts w:cs="Arial" w:ascii="Arial" w:hAnsi="Arial"/>
          <w:sz w:val="20"/>
          <w:szCs w:val="20"/>
        </w:rPr>
        <w:t>7.2. Некачественные лотки-водовыпуски завод-изготовитель обязан заменить в сроки, согласованные с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72"/>
      <w:bookmarkStart w:id="89" w:name="sub_72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1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1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Рабочие чертежи закладных деталей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3368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1001"/>
      <w:bookmarkEnd w:id="92"/>
      <w:r>
        <w:rPr>
          <w:rFonts w:cs="Arial" w:ascii="Arial" w:hAnsi="Arial"/>
          <w:sz w:val="20"/>
          <w:szCs w:val="20"/>
        </w:rPr>
        <w:t>"Выборка стали"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3" w:name="sub_1001"/>
      <w:bookmarkEnd w:id="9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9108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4" w:name="sub_1002"/>
      <w:bookmarkEnd w:id="94"/>
      <w:r>
        <w:rPr>
          <w:rFonts w:cs="Arial" w:ascii="Arial" w:hAnsi="Arial"/>
          <w:sz w:val="20"/>
          <w:szCs w:val="20"/>
        </w:rPr>
        <w:t>"Фланец. Сборочный чертеж"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5" w:name="sub_1002"/>
      <w:bookmarkEnd w:id="9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0822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1003"/>
      <w:bookmarkEnd w:id="96"/>
      <w:r>
        <w:rPr>
          <w:rFonts w:cs="Arial" w:ascii="Arial" w:hAnsi="Arial"/>
          <w:sz w:val="20"/>
          <w:szCs w:val="20"/>
        </w:rPr>
        <w:t>"Фланец"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1003"/>
      <w:bookmarkEnd w:id="9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1013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1004"/>
      <w:bookmarkEnd w:id="98"/>
      <w:r>
        <w:rPr>
          <w:rFonts w:cs="Arial" w:ascii="Arial" w:hAnsi="Arial"/>
          <w:sz w:val="20"/>
          <w:szCs w:val="20"/>
        </w:rPr>
        <w:t>"Обечайка"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1004"/>
      <w:bookmarkEnd w:id="9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48225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1005"/>
      <w:bookmarkEnd w:id="100"/>
      <w:r>
        <w:rPr>
          <w:rFonts w:cs="Arial" w:ascii="Arial" w:hAnsi="Arial"/>
          <w:sz w:val="20"/>
          <w:szCs w:val="20"/>
        </w:rPr>
        <w:t>"Фланец закладной. Лист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1005"/>
      <w:bookmarkEnd w:id="1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4124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1006"/>
      <w:bookmarkEnd w:id="102"/>
      <w:r>
        <w:rPr>
          <w:rFonts w:cs="Arial" w:ascii="Arial" w:hAnsi="Arial"/>
          <w:sz w:val="20"/>
          <w:szCs w:val="20"/>
        </w:rPr>
        <w:t>"Фланец закладной. Сборочный чертеж"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1006"/>
      <w:bookmarkEnd w:id="10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4124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4" w:name="sub_1007"/>
      <w:bookmarkEnd w:id="104"/>
      <w:r>
        <w:rPr>
          <w:rFonts w:cs="Arial" w:ascii="Arial" w:hAnsi="Arial"/>
          <w:sz w:val="20"/>
          <w:szCs w:val="20"/>
        </w:rPr>
        <w:t>"Фланец закладной. Лист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5" w:name="sub_1007"/>
      <w:bookmarkEnd w:id="10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2791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6" w:name="sub_1008"/>
      <w:bookmarkEnd w:id="106"/>
      <w:r>
        <w:rPr>
          <w:rFonts w:cs="Arial" w:ascii="Arial" w:hAnsi="Arial"/>
          <w:sz w:val="20"/>
          <w:szCs w:val="20"/>
        </w:rPr>
        <w:t>"Стенка"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1008"/>
      <w:bookmarkEnd w:id="10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4569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8" w:name="sub_1009"/>
      <w:bookmarkEnd w:id="108"/>
      <w:r>
        <w:rPr>
          <w:rFonts w:cs="Arial" w:ascii="Arial" w:hAnsi="Arial"/>
          <w:sz w:val="20"/>
          <w:szCs w:val="20"/>
        </w:rPr>
        <w:t>"Анкерный стержень"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09"/>
      <w:bookmarkStart w:id="110" w:name="sub_1009"/>
      <w:bookmarkEnd w:id="1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2007-02-10T20:50:00Z</dcterms:created>
  <dc:creator>Виктор</dc:creator>
  <dc:description/>
  <dc:language>ru-RU</dc:language>
  <cp:lastModifiedBy>Виктор</cp:lastModifiedBy>
  <dcterms:modified xsi:type="dcterms:W3CDTF">2007-02-10T20:50:00Z</dcterms:modified>
  <cp:revision>2</cp:revision>
  <dc:subject/>
  <dc:title/>
</cp:coreProperties>
</file>