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286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24404-80</w:t>
        <w:br/>
        <w:t>"Изделия из древесины и древесных материалов. Покрытия лакокрасочные. Классификация и обозначения"</w:t>
        <w:br/>
        <w:t>(утв. постановлением Госстроя СССР от 17 сентября 1980 г. N 146)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286"/>
      <w:bookmarkStart w:id="2" w:name="sub_1286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Product of woods and wooden materials. Coatings of lacguers and paints.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Classification and designations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- 1 июля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Обозначение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Термины, применяемые в настоящем стандарте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Ориентировочные классы покрытий на  лицевых  поверхностях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изделий из древесины и древесных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лакокрасочные покрытия (в дальнейшем - покрытия), наносимые на поверхности изделий из древесины и древесных материалов, применяемых в строительстве, и устанавливает классификацию покрытий по внешнему виду и условиям эксплуатации, а также их обозначение в конструкторской и технологической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Основные термины, применяемые в настоящем стандарте, и их определения приведены в рекомендуемом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 Классификация по внешнему виду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11"/>
      <w:bookmarkEnd w:id="7"/>
      <w:bookmarkEnd w:id="8"/>
      <w:r>
        <w:rPr>
          <w:rFonts w:cs="Arial" w:ascii="Arial" w:hAnsi="Arial"/>
          <w:sz w:val="20"/>
          <w:szCs w:val="20"/>
        </w:rPr>
        <w:t>1.1.1. Внешний вид покрытия характеризуется качеством исполнения покрытия и его оптическими свойствами.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1"/>
      <w:bookmarkStart w:id="10" w:name="sub_112"/>
      <w:bookmarkEnd w:id="9"/>
      <w:bookmarkEnd w:id="10"/>
      <w:r>
        <w:rPr>
          <w:rFonts w:cs="Arial" w:ascii="Arial" w:hAnsi="Arial"/>
          <w:sz w:val="20"/>
          <w:szCs w:val="20"/>
        </w:rPr>
        <w:t>1.1.2. Классификацию покрытий по качеству исполнения производят в соответствии с таблицей.</w:t>
      </w:r>
    </w:p>
    <w:p>
      <w:pPr>
        <w:pStyle w:val="Normal"/>
        <w:autoSpaceDE w:val="false"/>
        <w:ind w:firstLine="720"/>
        <w:jc w:val="both"/>
        <w:rPr/>
      </w:pPr>
      <w:bookmarkStart w:id="11" w:name="sub_112"/>
      <w:bookmarkEnd w:id="11"/>
      <w:r>
        <w:rPr>
          <w:rFonts w:cs="Arial" w:ascii="Arial" w:hAnsi="Arial"/>
          <w:sz w:val="20"/>
          <w:szCs w:val="20"/>
        </w:rPr>
        <w:t xml:space="preserve">Ориентировочные классы покрытий на лицевых поверхностях изделий из древесины и древесных материалов могут быть определены по рекомендуемому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3"/>
      <w:bookmarkEnd w:id="12"/>
      <w:r>
        <w:rPr>
          <w:rFonts w:cs="Arial" w:ascii="Arial" w:hAnsi="Arial"/>
          <w:sz w:val="20"/>
          <w:szCs w:val="20"/>
        </w:rPr>
        <w:t>1.1.3. В зависимости от оптических свойств покрытия делят 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3"/>
      <w:bookmarkEnd w:id="13"/>
      <w:r>
        <w:rPr>
          <w:rFonts w:cs="Arial" w:ascii="Arial" w:hAnsi="Arial"/>
          <w:sz w:val="20"/>
          <w:szCs w:val="20"/>
        </w:rPr>
        <w:t>прозрачные и непрозрачные (в том числе с декоративным рисунком);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степени блеска - на глянцевые и матовые.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показателей│           Нормы для покрытий классов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внешнего вида покрытия  ├─────────┬───────┬─────┬─────┬──────────────┤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 II  │ III │ IV  │      V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├───────────────────────────┼─────────┴───────┼─────┼─────┼──────────────┤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Царапины  шириной  до│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мм,   глубиной   менее│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покрытия:          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количество,  шт./м2,    не│                 │   2 │   3 │Допускаются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│                 │     │     │без  ограниче-│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длина, см/м2,     не│                 │  20 │  50 │     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Пузыри  (в  том  числе│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проколы):                  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до  0,5   мм в│  Не допускаются │   5 │  10 │   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количестве,   шт./м2,    не│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от  1,0   мм в│                 │   3 │   5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количестве,   шт./м2,    не│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Включения:              │         │   5   │  10 │  30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до  0,5   мм в│    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количестве,   шт./дм2,   не│    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│    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до  1,0   мм в│Не       │   5   │  10 │  10 │Допускаются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количестве,   шт./м2,    не│допуска-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│ются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         Пропуски│    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  материала│    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просвечивание│    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нижележащего    слоя    для│    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непрозрачного      покрытия│    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площадью,     см2/м2,│    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│    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│   5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Потеки общей площадью,│Не       │       │  10 │  20 │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см2/м2, не более           │допуска-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ются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Вмятины  площадью  не│Не       │       │   2 │   3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 см2  в  количестве,│допуска-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шт./м2, не более           │ются     │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Поднятие ворса        │     Не допускается    │   Допускается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 Риски,     штрихи,│Не       │   Допускаются     │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шагрень,        структурные│допуска- │  незначительные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неровности                 │ются     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Неравномерность глянца│  Не допускается │  10 │  20 │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матовости     общей│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площадью,   см2/м2,      не│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  Разнооттеночность│  Не допускается │  20 │  40 │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  площадью,   см2/м2,│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Пятна:               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мм, не более      │  Не допускаются │   5 │  10 │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количество,    шт./м2,   не│                 │   2 │   2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│                 │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Дефекты         печати│               Не допускаются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(расплывчатость  и  перекос│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рисунка,      различия    в│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 окраски)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991"/>
      <w:bookmarkEnd w:id="14"/>
      <w:r>
        <w:rPr>
          <w:rFonts w:cs="Arial" w:ascii="Arial" w:hAnsi="Arial"/>
          <w:sz w:val="20"/>
          <w:szCs w:val="20"/>
        </w:rPr>
        <w:t>* Включения диаметром от 1 до 2 мм допускаются без ограничения.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991"/>
      <w:bookmarkStart w:id="16" w:name="sub_99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 поверхности покрытия не допускается наличие дефектов одновременно более: II класс - 2, III класс - 5, IV класс - 8. На поверхности покрытия V класса количество допускаемых дефектов не ограничивается.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Скопление включений не допускается. Расстояние между включениями не должно быть менее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4"/>
      <w:bookmarkEnd w:id="17"/>
      <w:r>
        <w:rPr>
          <w:rFonts w:cs="Arial" w:ascii="Arial" w:hAnsi="Arial"/>
          <w:sz w:val="20"/>
          <w:szCs w:val="20"/>
        </w:rPr>
        <w:t>1.1.4. Качество исполнения покрытия проверяют визуально или с применением простых измерительных средств (металлической линейки, лупы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4"/>
      <w:bookmarkEnd w:id="18"/>
      <w:r>
        <w:rPr>
          <w:rFonts w:cs="Arial" w:ascii="Arial" w:hAnsi="Arial"/>
          <w:sz w:val="20"/>
          <w:szCs w:val="20"/>
        </w:rPr>
        <w:t>Осмотр поверхности, в зависимости от ее размеров и вида дефектов, производят с расстояния от 300 до 1000 мм под углом от 30 до 90° при дневном или искусственном освещении. Нормы искусственного освещения принимают в соответствии с требованиями главы СНиП II-А.9-71.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15"/>
      <w:bookmarkEnd w:id="19"/>
      <w:r>
        <w:rPr>
          <w:rFonts w:cs="Arial" w:ascii="Arial" w:hAnsi="Arial"/>
          <w:sz w:val="20"/>
          <w:szCs w:val="20"/>
        </w:rPr>
        <w:t>1.1.5. Блеск глянцевых прозрачных покрытий определяют рефлектоскопом Р-4 по ГОСТ 16143-75. Степень блеска покрытий I класса не должна быть ниже 8 строки, II класса - ниже 3 строки. Степень блеска глянцевых прозрачных покрытий III, IV, V классов не регламентируется.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15"/>
      <w:bookmarkStart w:id="21" w:name="sub_116"/>
      <w:bookmarkEnd w:id="20"/>
      <w:bookmarkEnd w:id="21"/>
      <w:r>
        <w:rPr>
          <w:rFonts w:cs="Arial" w:ascii="Arial" w:hAnsi="Arial"/>
          <w:sz w:val="20"/>
          <w:szCs w:val="20"/>
        </w:rPr>
        <w:t>1.1.6. Степень блеска глянцевых непрозрачных покрытий и матовость покрытий определяют визуально путем сравнения с образцами-эталонами,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6"/>
      <w:bookmarkStart w:id="23" w:name="sub_117"/>
      <w:bookmarkEnd w:id="22"/>
      <w:bookmarkEnd w:id="23"/>
      <w:r>
        <w:rPr>
          <w:rFonts w:cs="Arial" w:ascii="Arial" w:hAnsi="Arial"/>
          <w:sz w:val="20"/>
          <w:szCs w:val="20"/>
        </w:rPr>
        <w:t>1.1.7. Образцы-эталоны должны проверяться не реже одного раза в год. Размеры образцов-эталонов из плитных материалов должны быть не менее 150-200 мм; длина образцов-эталонов в виде брусков должна быть не менее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7"/>
      <w:bookmarkStart w:id="25" w:name="sub_118"/>
      <w:bookmarkEnd w:id="24"/>
      <w:bookmarkEnd w:id="25"/>
      <w:r>
        <w:rPr>
          <w:rFonts w:cs="Arial" w:ascii="Arial" w:hAnsi="Arial"/>
          <w:sz w:val="20"/>
          <w:szCs w:val="20"/>
        </w:rPr>
        <w:t>1.1.8. Параметры шероховатости поверхности изделий из древесины и древесных материалов под отделку определяют по нормативно-технической документации на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8"/>
      <w:bookmarkStart w:id="27" w:name="sub_12"/>
      <w:bookmarkEnd w:id="26"/>
      <w:bookmarkEnd w:id="27"/>
      <w:r>
        <w:rPr>
          <w:rFonts w:cs="Arial" w:ascii="Arial" w:hAnsi="Arial"/>
          <w:sz w:val="20"/>
          <w:szCs w:val="20"/>
        </w:rPr>
        <w:t>1.2. Классификация по условиям эксплуатации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2"/>
      <w:bookmarkStart w:id="29" w:name="sub_121"/>
      <w:bookmarkEnd w:id="28"/>
      <w:bookmarkEnd w:id="29"/>
      <w:r>
        <w:rPr>
          <w:rFonts w:cs="Arial" w:ascii="Arial" w:hAnsi="Arial"/>
          <w:sz w:val="20"/>
          <w:szCs w:val="20"/>
        </w:rPr>
        <w:t>1.2.1. По условиям эксплуатации покрытия делят на стойкие к воздействию климатических факторов и стойкие в особых средах.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21"/>
      <w:bookmarkStart w:id="31" w:name="sub_122"/>
      <w:bookmarkEnd w:id="30"/>
      <w:bookmarkEnd w:id="31"/>
      <w:r>
        <w:rPr>
          <w:rFonts w:cs="Arial" w:ascii="Arial" w:hAnsi="Arial"/>
          <w:sz w:val="20"/>
          <w:szCs w:val="20"/>
        </w:rPr>
        <w:t>1.2.2. Покрытия, стойкие к воздействию климатических факторов, подразделяют по ГОСТ 9.104-79, стойкие в особых средах - по ГОСТ 9.032-74.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22"/>
      <w:bookmarkStart w:id="33" w:name="sub_122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2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2. Обозначение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200"/>
      <w:bookmarkStart w:id="36" w:name="sub_200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"/>
      <w:bookmarkEnd w:id="37"/>
      <w:r>
        <w:rPr>
          <w:rFonts w:cs="Arial" w:ascii="Arial" w:hAnsi="Arial"/>
          <w:sz w:val="20"/>
          <w:szCs w:val="20"/>
        </w:rPr>
        <w:t>2.1. Обозначение покрытий записывают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"/>
      <w:bookmarkEnd w:id="38"/>
      <w:r>
        <w:rPr>
          <w:rFonts w:cs="Arial" w:ascii="Arial" w:hAnsi="Arial"/>
          <w:sz w:val="20"/>
          <w:szCs w:val="20"/>
        </w:rPr>
        <w:t>а) лакокрасочный материал внешнего слоя покрытия по ГОСТ 9825-73;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класс покрытия в соответствии с таблицей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оптические свойства покрытия: прозрачное - П, непрозрачное - Н, непрозрачное с декоративным рисунком - НД;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степень блеска покрытия: глянцевое - Г, матовое -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условия эксплуатации покрытия: покрытия, стойкие к воздействию климатических факторов, обозначают по ГОСТ 9.104-79, стойкие в особых средах - по ГОСТ 9.032-74.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2"/>
      <w:bookmarkEnd w:id="39"/>
      <w:r>
        <w:rPr>
          <w:rFonts w:cs="Arial" w:ascii="Arial" w:hAnsi="Arial"/>
          <w:sz w:val="20"/>
          <w:szCs w:val="20"/>
        </w:rPr>
        <w:t>2.2. Цвет покрытия, при необходимости, указывают полным наименованием после условного обозначения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2"/>
      <w:bookmarkStart w:id="41" w:name="sub_23"/>
      <w:bookmarkEnd w:id="40"/>
      <w:bookmarkEnd w:id="41"/>
      <w:r>
        <w:rPr>
          <w:rFonts w:cs="Arial" w:ascii="Arial" w:hAnsi="Arial"/>
          <w:sz w:val="20"/>
          <w:szCs w:val="20"/>
        </w:rPr>
        <w:t>2.3. Основное условие эксплуатации покрытия в обозначении указывают на первом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3"/>
      <w:bookmarkStart w:id="43" w:name="sub_24"/>
      <w:bookmarkEnd w:id="42"/>
      <w:bookmarkEnd w:id="43"/>
      <w:r>
        <w:rPr>
          <w:rFonts w:cs="Arial" w:ascii="Arial" w:hAnsi="Arial"/>
          <w:sz w:val="20"/>
          <w:szCs w:val="20"/>
        </w:rPr>
        <w:t>2.4. Допускается указывать обозначение системы покрытия по ГОСТ 2.310-68 в технологической последовательности (шпатлевка, грунтовка, внешний слой покрытия, количество слоев).</w:t>
      </w:r>
    </w:p>
    <w:p>
      <w:pPr>
        <w:pStyle w:val="Normal"/>
        <w:autoSpaceDE w:val="false"/>
        <w:ind w:firstLine="720"/>
        <w:jc w:val="both"/>
        <w:rPr/>
      </w:pPr>
      <w:bookmarkStart w:id="44" w:name="sub_24"/>
      <w:bookmarkStart w:id="45" w:name="sub_25"/>
      <w:bookmarkEnd w:id="44"/>
      <w:bookmarkEnd w:id="45"/>
      <w:r>
        <w:rPr>
          <w:rFonts w:cs="Arial" w:ascii="Arial" w:hAnsi="Arial"/>
          <w:sz w:val="20"/>
          <w:szCs w:val="20"/>
        </w:rPr>
        <w:t xml:space="preserve">2.5.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Примеры обозначения</w:t>
      </w:r>
      <w:r>
        <w:rPr>
          <w:rFonts w:cs="Arial" w:ascii="Arial" w:hAnsi="Arial"/>
          <w:sz w:val="20"/>
          <w:szCs w:val="20"/>
        </w:rPr>
        <w:t xml:space="preserve"> покрытий: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5"/>
      <w:bookmarkEnd w:id="46"/>
      <w:r>
        <w:rPr>
          <w:rFonts w:cs="Arial" w:ascii="Arial" w:hAnsi="Arial"/>
          <w:sz w:val="20"/>
          <w:szCs w:val="20"/>
        </w:rPr>
        <w:t>Покрытие голубой пентафталевой эмалью, III класса, непрозрачное, глянцевое, эксплуатирующееся в атмосфере, загрязненной газами химических и других производств в условиях умеренного макроклиматического района: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Эмаль ПФ-115.III.Н.Г.7/1-У2 голубая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Покрытие нитроцеллюлозным лаком II класса, непрозрачное с декоративным рисунком, глянцевое, эксплуатирующееся в закрытом помещении с естественной вентиляцией в промышленной атмосфере тропического сухого макроклиматического района: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Лак НЦ-2101.II.НД.Г.Т2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Покрытие алкидно-мочевинным лаком IV класса, прозрачное, глянцевое, эксплуатирующееся в закрытом отапливаемом и искусственно вентилируемом помещении в условиях умеренного макроклиматического района в атмосфере сельской местности: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Лак МЧ-270.IV.П.Г.У4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10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1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Термины, применяемые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  │              Определение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Лакокрасочное покрытие         │По ГОСТ 9.072-77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Прозрачная отделка             │По ГОСТ 17743-72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Непрозрачная отделка           │По ГОСТ 17743-72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Покрытие    с    декоративным│Искусственное        воспроизведение│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рисунком                          │текстуры и цвета древесины, а  также│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рисунков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Царапины                       │По ГОСТ 20400-74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Пузыри                         │По ГОСТ 9.072-77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Проколы                        │По ГОСТ 9.072-77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Включения                      │По ГОСТ 9.072-77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Пропуски                       │По ГОСТ 20400-74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Потеки                        │По ГОСТ 9.072-77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Вмятина                       │По ГОСТ 20400-74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Риски                         │По ГОСТ 20400-74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Штрихи                        │По ГОСТ 9.072-77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Шагрень                       │По ГОСТ 20400-74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Структурные неровности        │Неровности   покрытия,    являющиеся│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следствием специфических неровностей│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строения древесины или  неровностей,│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образующихся     при     прессовании│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древесных материалов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Разнооттеночность             │По ГОСТ 9.032-77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545696024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  <w:t>По-видимому, в тексте предыдущего абзаца имеется в виду ГОСТ 9.032-74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545696024"/>
      <w:bookmarkStart w:id="51" w:name="sub_545696024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Пятно                         │Ограниченный   участок   поверхности│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отличающийся по цвету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Расплывчатость рисунка        │Нечеткое изображение рисунка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2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20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Ориентировочные классы покрытий на лицевых поверхностях изделий из древесины и древесных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изделий                │  Класс покрытия, не ниже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Плиты          древесноволокнистые      с│            III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лакокрасочным покрытием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Встроенные и антресольные шкафы          │            III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Окна и двери балконные                   │            III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Паркетные доски и щиты                   │            III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Доски подоконные                         │            III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Детали фрезерованные  для  строительства,│            III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доски пола, наличники, поручни,│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плинтусы и т.п.                             │            III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обшивки, раскладки и т.п.                   │            IV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Детали      для   малоэтажных   жилых   и│            IV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зданий (за исключением  деталей│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обшивки)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Детали   наружной   обшивки   малоэтажных│             V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жилых и общественных зданий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Детали опалубки, ворот, заборов и т.п.   │             V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Соответствующие классы лакокрасочных покрытий на лицевых поверхностях изделий из древесины и древесных материалов указывают в стандартах и технических условиях на продукцию.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2007-02-10T23:07:00Z</dcterms:created>
  <dc:creator>Виктор</dc:creator>
  <dc:description/>
  <dc:language>ru-RU</dc:language>
  <cp:lastModifiedBy>Виктор</cp:lastModifiedBy>
  <dcterms:modified xsi:type="dcterms:W3CDTF">2007-02-10T23:07:00Z</dcterms:modified>
  <cp:revision>2</cp:revision>
  <dc:subject/>
  <dc:title/>
</cp:coreProperties>
</file>