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24211-2003</w:t>
        <w:br/>
        <w:t>"Добавки для бетонов и строительных растворов. Общие технические условия"</w:t>
        <w:br/>
        <w:t>(введен в действие постановлением Госстроя РФ от 21 июня 2003 г. N 90)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Additives for concretes and mortars. 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марта</w:t>
      </w:r>
      <w:r>
        <w:rPr>
          <w:rFonts w:cs="Arial" w:ascii="Arial" w:hAnsi="Arial"/>
          <w:sz w:val="20"/>
          <w:szCs w:val="20"/>
          <w:lang w:val="en-US"/>
        </w:rPr>
        <w:t xml:space="preserve"> 2004 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24211-91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неорганические и органические вещества естественного и искусственного происхождения и их комплексы (далее - добавки), применяемые в качестве модификаторов свойств бетонных и растворных смесей, бетонов и строительных растворов, изготавливаемых на вяжущих на основе портландцементного клинкера.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следует учитывать при разработке технических условий и других нормативных документов, по которым выпускаются конкретные виды добавок, устанавливающих перечень нормируемых показателей качества, обеспечивающих технологическую и техническую эффективность в бетонах и растворах добавок конкретного вида, а также при разработке технологической документации на их применение в бетонах и растворах.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Перечень нормативных документов, ссылки на которые использованы в настоящем стандарте, приведен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/>
      </w:pPr>
      <w:bookmarkStart w:id="9" w:name="sub_3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добавка:</w:t>
      </w:r>
      <w:r>
        <w:rPr>
          <w:rFonts w:cs="Arial" w:ascii="Arial" w:hAnsi="Arial"/>
          <w:sz w:val="20"/>
          <w:szCs w:val="20"/>
        </w:rPr>
        <w:t xml:space="preserve"> Продукт, вводимый в бетонные и растворные смеси с целью улучшения их технологических свойств, повышения строительно-технических свойств бетонов и растворов и придания им новых свойств.</w:t>
      </w:r>
    </w:p>
    <w:p>
      <w:pPr>
        <w:pStyle w:val="Normal"/>
        <w:autoSpaceDE w:val="false"/>
        <w:ind w:firstLine="720"/>
        <w:jc w:val="both"/>
        <w:rPr/>
      </w:pPr>
      <w:bookmarkStart w:id="10" w:name="sub_301"/>
      <w:bookmarkStart w:id="11" w:name="sub_302"/>
      <w:bookmarkEnd w:id="1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комплексная добавка:</w:t>
      </w:r>
      <w:r>
        <w:rPr>
          <w:rFonts w:cs="Arial" w:ascii="Arial" w:hAnsi="Arial"/>
          <w:sz w:val="20"/>
          <w:szCs w:val="20"/>
        </w:rPr>
        <w:t xml:space="preserve"> Продукт, состоящий из двух или более добавок, обладающий моно- или полифункциональным действием.</w:t>
      </w:r>
    </w:p>
    <w:p>
      <w:pPr>
        <w:pStyle w:val="Normal"/>
        <w:autoSpaceDE w:val="false"/>
        <w:ind w:firstLine="720"/>
        <w:jc w:val="both"/>
        <w:rPr/>
      </w:pPr>
      <w:bookmarkStart w:id="12" w:name="sub_302"/>
      <w:bookmarkStart w:id="13" w:name="sub_303"/>
      <w:bookmarkEnd w:id="12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основной эффект действия добавки:</w:t>
      </w:r>
      <w:r>
        <w:rPr>
          <w:rFonts w:cs="Arial" w:ascii="Arial" w:hAnsi="Arial"/>
          <w:sz w:val="20"/>
          <w:szCs w:val="20"/>
        </w:rPr>
        <w:t xml:space="preserve"> Эффект, характеризующий основное назначение добавки.</w:t>
      </w:r>
    </w:p>
    <w:p>
      <w:pPr>
        <w:pStyle w:val="Normal"/>
        <w:autoSpaceDE w:val="false"/>
        <w:ind w:firstLine="720"/>
        <w:jc w:val="both"/>
        <w:rPr/>
      </w:pPr>
      <w:bookmarkStart w:id="14" w:name="sub_303"/>
      <w:bookmarkStart w:id="15" w:name="sub_304"/>
      <w:bookmarkEnd w:id="1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дополнительные эффекты действия добавки:</w:t>
      </w:r>
      <w:r>
        <w:rPr>
          <w:rFonts w:cs="Arial" w:ascii="Arial" w:hAnsi="Arial"/>
          <w:sz w:val="20"/>
          <w:szCs w:val="20"/>
        </w:rPr>
        <w:t xml:space="preserve"> Возможные положительные или отрицательные эффекты, сопутствующие основному эффекту.</w:t>
      </w:r>
    </w:p>
    <w:p>
      <w:pPr>
        <w:pStyle w:val="Normal"/>
        <w:autoSpaceDE w:val="false"/>
        <w:ind w:firstLine="720"/>
        <w:jc w:val="both"/>
        <w:rPr/>
      </w:pPr>
      <w:bookmarkStart w:id="16" w:name="sub_304"/>
      <w:bookmarkStart w:id="17" w:name="sub_305"/>
      <w:bookmarkEnd w:id="16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критерий эффективности:</w:t>
      </w:r>
      <w:r>
        <w:rPr>
          <w:rFonts w:cs="Arial" w:ascii="Arial" w:hAnsi="Arial"/>
          <w:sz w:val="20"/>
          <w:szCs w:val="20"/>
        </w:rPr>
        <w:t xml:space="preserve"> Величина показателя или показателей основного эффекта действия добавки.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05"/>
      <w:bookmarkStart w:id="19" w:name="sub_305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400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4 Классификация и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400"/>
      <w:bookmarkStart w:id="22" w:name="sub_400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3" w:name="sub_41"/>
      <w:bookmarkEnd w:id="23"/>
      <w:r>
        <w:rPr>
          <w:rFonts w:cs="Arial" w:ascii="Arial" w:hAnsi="Arial"/>
          <w:sz w:val="20"/>
          <w:szCs w:val="20"/>
        </w:rPr>
        <w:t xml:space="preserve">4.1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Добавки</w:t>
        </w:r>
      </w:hyperlink>
      <w:r>
        <w:rPr>
          <w:rFonts w:cs="Arial" w:ascii="Arial" w:hAnsi="Arial"/>
          <w:sz w:val="20"/>
          <w:szCs w:val="20"/>
        </w:rPr>
        <w:t>, применяемые для модифицирования свойств бетонных и растворных смесей, бетонов и растворов, в зависимости от основного эффекта действия подразделяют на виды: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1"/>
      <w:bookmarkStart w:id="25" w:name="sub_411"/>
      <w:bookmarkEnd w:id="24"/>
      <w:bookmarkEnd w:id="25"/>
      <w:r>
        <w:rPr>
          <w:rFonts w:cs="Arial" w:ascii="Arial" w:hAnsi="Arial"/>
          <w:sz w:val="20"/>
          <w:szCs w:val="20"/>
        </w:rPr>
        <w:t>4.1.1 Регулирующие свойства готовых к употреблению бетонных и растворных смесей: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11"/>
      <w:bookmarkEnd w:id="26"/>
      <w:r>
        <w:rPr>
          <w:rFonts w:cs="Arial" w:ascii="Arial" w:hAnsi="Arial"/>
          <w:sz w:val="20"/>
          <w:szCs w:val="20"/>
        </w:rPr>
        <w:t>пластифицирующие-водоредуцирующие: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суперпластифицирующие;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сильнопластифицирующие;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пластифицирующие;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стабилизирующие;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регулирующие сохраняемость подвижности;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поризующие: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воздухововлекающие;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пенообразующие;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газообразующие.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12"/>
      <w:bookmarkEnd w:id="27"/>
      <w:r>
        <w:rPr>
          <w:rFonts w:cs="Arial" w:ascii="Arial" w:hAnsi="Arial"/>
          <w:sz w:val="20"/>
          <w:szCs w:val="20"/>
        </w:rPr>
        <w:t>4.1.2 Изменяющие свойства бетонов и растворов: регулирующие кинетику твердения: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12"/>
      <w:bookmarkEnd w:id="28"/>
      <w:r>
        <w:rPr>
          <w:rFonts w:cs="Arial" w:ascii="Arial" w:hAnsi="Arial"/>
          <w:sz w:val="20"/>
          <w:szCs w:val="20"/>
        </w:rPr>
        <w:t>ускорители;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замедлители;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прочность;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снижающие проницаемость;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защитные свойства по отношению к стальной арматуре;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морозостойкость;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коррозионную 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сульфатостойкость;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стойкость против коррозии, вызванной реакцией кремнезема заполнителей со щелочами цемента и добавок;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регулирующие процессы усадки и расширения.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13"/>
      <w:bookmarkEnd w:id="29"/>
      <w:r>
        <w:rPr>
          <w:rFonts w:cs="Arial" w:ascii="Arial" w:hAnsi="Arial"/>
          <w:sz w:val="20"/>
          <w:szCs w:val="20"/>
        </w:rPr>
        <w:t>4.1.3 Придающие бетонам и растворам специальные свойства: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13"/>
      <w:bookmarkEnd w:id="30"/>
      <w:r>
        <w:rPr>
          <w:rFonts w:cs="Arial" w:ascii="Arial" w:hAnsi="Arial"/>
          <w:sz w:val="20"/>
          <w:szCs w:val="20"/>
        </w:rPr>
        <w:t>противоморозные;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гидрофобизирующие;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биоцидные;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повышающие стойкость к высолообразованию.</w:t>
      </w:r>
    </w:p>
    <w:p>
      <w:pPr>
        <w:pStyle w:val="Normal"/>
        <w:autoSpaceDE w:val="false"/>
        <w:ind w:firstLine="720"/>
        <w:jc w:val="both"/>
        <w:rPr/>
      </w:pPr>
      <w:bookmarkStart w:id="31" w:name="sub_42"/>
      <w:bookmarkEnd w:id="31"/>
      <w:r>
        <w:rPr>
          <w:rFonts w:cs="Arial" w:ascii="Arial" w:hAnsi="Arial"/>
          <w:sz w:val="20"/>
          <w:szCs w:val="20"/>
        </w:rPr>
        <w:t xml:space="preserve">4.2 Эффективность применения добавок определяют по результатам испытаний по ГОСТ 30459 и устанавливают в соответствии с </w:t>
      </w:r>
      <w:hyperlink w:anchor="sub_3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критериями эффективности</w:t>
        </w:r>
      </w:hyperlink>
      <w:r>
        <w:rPr>
          <w:rFonts w:cs="Arial" w:ascii="Arial" w:hAnsi="Arial"/>
          <w:sz w:val="20"/>
          <w:szCs w:val="20"/>
        </w:rPr>
        <w:t xml:space="preserve">, приведенными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2"/>
      <w:bookmarkStart w:id="33" w:name="sub_43"/>
      <w:bookmarkEnd w:id="32"/>
      <w:bookmarkEnd w:id="33"/>
      <w:r>
        <w:rPr>
          <w:rFonts w:cs="Arial" w:ascii="Arial" w:hAnsi="Arial"/>
          <w:sz w:val="20"/>
          <w:szCs w:val="20"/>
        </w:rPr>
        <w:t>4.3 Нормативные и технические документы на продукты, используемые в качестве добавок для бетонов (растворов), но выпускаемые промышленностью для других целей, должны дополнительно устанавливать перечень нормируемых показателей качества (эффективности), обеспечивающих технологическую и техническую эффективность добавок в бетонах (растворах).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3"/>
      <w:bookmarkEnd w:id="34"/>
      <w:r>
        <w:rPr>
          <w:rFonts w:cs="Arial" w:ascii="Arial" w:hAnsi="Arial"/>
          <w:sz w:val="20"/>
          <w:szCs w:val="20"/>
        </w:rPr>
        <w:t>При отсутствии в действующих нормативных и технических документах указанного перечня следует дополнительно разрабатывать нормативные или технические документы, устанавливающие эти показатели.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500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5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500"/>
      <w:bookmarkStart w:id="37" w:name="sub_500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1"/>
      <w:bookmarkEnd w:id="38"/>
      <w:r>
        <w:rPr>
          <w:rFonts w:cs="Arial" w:ascii="Arial" w:hAnsi="Arial"/>
          <w:sz w:val="20"/>
          <w:szCs w:val="20"/>
        </w:rPr>
        <w:t>5.1 Безопасность применения в строительстве добавок подтверждают оценкой санитарно-гигиенических характеристик добавок и наличием санитарно-эпидемиологического заключения уполномоченных органов Минздрава, которое необходимо возобновлять по истечении срока действия или при изменении качества сырьевых материалов и технологии изготовления добавок.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51"/>
      <w:bookmarkStart w:id="40" w:name="sub_51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"/>
      <w:bookmarkStart w:id="43" w:name="sub_1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┬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добавок        │ Показатели основного  │    Критерий     │  Возможные дополнительные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эффекта действия    │  эффективности  │  эффекты действия добавок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добавок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──────────────────┴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1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 Добавки, регулирующие свойства готовых к употреблению бетонных и растворных смесей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1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────┬─────────────────┬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11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Пластифицирующие-во-│                        │                 │При          │При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11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доредуцирующие      │                        │                 │пластификации│водоредуциро-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                        │                 ├─────────────┼──────────────┤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111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1.1.1 Суперпластифи-│Увеличение   подвижности│От П1 до П5      │Замедление   │Повышение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111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цирующие      │бетонной смеси от П1 (ОК│От П_к1 до П_К4  │схватывания  │прочности,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=  2   -   4     см) или│                 │смесей      и│снижение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растворной смеси от П_к1├─────────────────┤твердения    │проницаемости;│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112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1.1.2 Сильнопласти- │(П_к = 2  -  4  см)  при│От П1 до П4      │бетонов     и│снижение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112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фицирующие    │снижении       прочности│От П_к1 до П_к3  │растворов;   │деформаций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(раствора) во все│                 │повышение    │усадки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сроки твердения не более├─────────────────┤деформаций   │ползучести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113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1.1.3 Пластифицирую-│чем на 5%               │От П1 до П3      │усадки      и│бетонов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113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          │                        │От П_К1 до П_к2  │ползучести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12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1.2  Стабилизирующие     │Снижение                │В 2 раза и более │Увеличение подвижности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1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раствороотделения      и│                 │смесей; замедление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водоотделения    тяжелой│                 │нарастания прочности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смеси с  маркой│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удобоукладываемости│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П5, растворной  смеси  -│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П_к4,      легкобетонной│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- П3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13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1.3  Регулирующие        │Увеличение или  снижение│В 1,5 раза и     │Изменение кинетики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13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сохраняемость       │времени    сохраняемости│более            │тепловыделения и кинетики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подвижности         │первоначальной          │                 │нарастания прочности бетона;│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подвижности смеси       │                 │образование высолов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┴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14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1.4  Поризующие        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14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┬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141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1.4.1 Воздухововле- │Обеспечение   увеличения│На 1,5 - 5%      │Повышение       подвижности;│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141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кающие       и│объема воздуха (газа)  в│                 │снижение         растворо-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газообразующие│тяжелых, мелкозернистых,│                 │водоотделения        смесей;│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легких   конструкционных│                 │повышение   морозостойкости;│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и   растворных│                 │снижение          прочности;│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смесях                  │                 │изменение  водопоглощения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водонепроницаемости,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снижение плотности бетонов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142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1.4.2 Воздухововле- │Обеспечение   в   легких│От 6% до 30%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142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кающие,  газо-│конструкционно-теплоизо-│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│ляционных              и│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пенообразующие│теплоизоляционных смесях│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содержания        объема│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(газа)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├──────────────────────────┼────────────────────────┼─────────────────┤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114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1.4.3 Воздухововле- │Обеспечение  в  ячеистых│От 15% до 90%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143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кающие,  газо-│смесях содержания объема│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│воздуха (газа)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пенообразующие│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───┴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2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 Добавки, изменяющие свойства бетонов и растворов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2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21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  Регулирующие      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21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кинетику твердения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┬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211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   Ускорители  │Увеличение  прочности  в│                 │Образование         высолов;│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211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1 сут:         │                 │повышение электропроводности│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смесей, бетонов, растворов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нормального твердения   │На 50% и более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тепловой обработки│На 30% и более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снижении прочности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(раствора) в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28 сут не более│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чем на 5%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212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 Замедлители   │Снижение     прочности в│На 30% и более   │Снижение            скорости│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212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  3     сут при│                 │тепловыделения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снижении       прочности│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(раствора) в│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28 сут не более│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чем на 5%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22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  Повышающие прочность│Увеличение  прочности  в│На 20% и более   │Снижение       проницаемости│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22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проектном возрасте      │                 │бетона и раствора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23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  Снижающие           │Увеличение   марки    по│На  2     марки и│Повышение стойкости бетона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23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проницаемость       │водонепроницаемости     │более            │воздействию агрессивных сред│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24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  Повышающие  защитные│Повышение пассивирующего│Обеспечение      │Увеличение       подвижности│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24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свойства          по│действия       бетона по│значения         │смеси;              снижение│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отношению к стальной│отношению   к   стальной│плотности    тока│проницаемости        бетона;│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арматуре            │арматуре                │пассивации  стали│увеличение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     менее 10│электропроводности бетона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mA/см2          и│раствора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потенциала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пассивации  стали│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менее   минус│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mV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25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2.5  Повышающие          │Повышение  стойкости   в│Повышение   марки│             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125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морозостойкость     │условиях   многократного│по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переменного             │морозостойкости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замораживания          и│на  2   ступени и│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оттаивания              │более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┴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26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2.6  Повышающие        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126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коррозионную      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стойкость           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┬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1261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2.6.1 Сульфатостой- │Повышение  стойкости   в│По ГОСТ 27677    │Изменение      реологических│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261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кость         │условиях      сульфатной│                 │характеристик         смеси;│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коррозии                │                 │изменение         прочности,│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проницаемости      бетонов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262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2.6.2 Стойкость     │Снижение      деформаций│По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ГОСТ 8269.0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│растворов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1262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        │расширения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коррозии,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вызванной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реакцией 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кремнезема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заполнителей с│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щелочами 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и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добавок      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27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2.7  Регулирующие  │Снижение      деформаций│Деформации       │Повышение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27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процессы      │усадки   и   обеспечение│расширения     не│водонепроницаемости,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усадки       и│деформаций расширения   │менее 0,2%       │прочности,  трещиностойкости│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расширения    │                        │                 │бетонов и растворов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───┴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3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 Добавки, придающие бетонам и растворам специальные свойства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13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────┬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31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  Противоморозные     │Обеспечение    твердения│Набор   прочности│Образование         высолов;│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131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отрицательных│при отрицательной│снижение             времени│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температурах            │температуре     в│сохраняемости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 28  сут│удобоукладываемости смесей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 менее    30%│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контрольного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нормального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твердения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132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  Гидрофобизирующие   │Снижение водопоглощения │В 2 раза и более │Замедление          скорости│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32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схватывания   и   твердения;│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снижение         прочности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тепловыделения;    повышение│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морозостойкости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коррозионной       стойкости│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бетонов и растворов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33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  Биоцидные           │Наличие      биоцидности│Отсутствие       │Изменение      реологических│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33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(бактерицидности       и│биокоррозии      │характеристик        смесей;│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фунгицидности)          │Отсутствие       │изменение         прочности,│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Предотвращение          │высолов          │проницаемости      бетонов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высолов     │                 │растворов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├──────────────────────────┼────────────────────────┼─────────────────┤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34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  Повышающие стойкость│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34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высолообразованию │                        │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┴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0" w:name="sub_52"/>
      <w:bookmarkEnd w:id="100"/>
      <w:r>
        <w:rPr>
          <w:rFonts w:cs="Arial" w:ascii="Arial" w:hAnsi="Arial"/>
          <w:sz w:val="20"/>
          <w:szCs w:val="20"/>
        </w:rPr>
        <w:t xml:space="preserve">5.2 Работу с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добавками</w:t>
        </w:r>
      </w:hyperlink>
      <w:r>
        <w:rPr>
          <w:rFonts w:cs="Arial" w:ascii="Arial" w:hAnsi="Arial"/>
          <w:sz w:val="20"/>
          <w:szCs w:val="20"/>
        </w:rPr>
        <w:t xml:space="preserve"> следует проводить в соответствии с требованиями действующих строительных норм по технике безопасности в строительстве, нормативных и технических документов на добавки конкретного вида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2"/>
      <w:bookmarkStart w:id="102" w:name="sub_53"/>
      <w:bookmarkEnd w:id="101"/>
      <w:bookmarkEnd w:id="102"/>
      <w:r>
        <w:rPr>
          <w:rFonts w:cs="Arial" w:ascii="Arial" w:hAnsi="Arial"/>
          <w:sz w:val="20"/>
          <w:szCs w:val="20"/>
        </w:rPr>
        <w:t>5.3 При проектировании складов, узлов приготовления эмульсий, водных растворов, суспензий добавок и бетонов с добавками должны соблюдаться требования действующих норм проектирования в части санитарной, взрывной, взрывопожарной и пожарной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53"/>
      <w:bookmarkStart w:id="104" w:name="sub_53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6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6 Требования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600"/>
      <w:bookmarkStart w:id="107" w:name="sub_600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61"/>
      <w:bookmarkEnd w:id="108"/>
      <w:r>
        <w:rPr>
          <w:rFonts w:cs="Arial" w:ascii="Arial" w:hAnsi="Arial"/>
          <w:sz w:val="20"/>
          <w:szCs w:val="20"/>
        </w:rPr>
        <w:t>6.1 Добавки не должны выделять во внешнюю среду вредные химические вещества в количествах, превышающих предельно допустимые концентрации (ПДК), утвержденные Минздравом.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1"/>
      <w:bookmarkStart w:id="110" w:name="sub_62"/>
      <w:bookmarkEnd w:id="109"/>
      <w:bookmarkEnd w:id="110"/>
      <w:r>
        <w:rPr>
          <w:rFonts w:cs="Arial" w:ascii="Arial" w:hAnsi="Arial"/>
          <w:sz w:val="20"/>
          <w:szCs w:val="20"/>
        </w:rPr>
        <w:t>6.2 Запрещается сбрасывать или сливать в водоемы санитарно-бытового использования и в канализацию добавки, их растворы, эмульсии, а также отходы, образующиеся от промывки тракта хранения, подачи и дозирования добавок.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62"/>
      <w:bookmarkStart w:id="112" w:name="sub_62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700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7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700"/>
      <w:bookmarkStart w:id="115" w:name="sub_700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71"/>
      <w:bookmarkEnd w:id="116"/>
      <w:r>
        <w:rPr>
          <w:rFonts w:cs="Arial" w:ascii="Arial" w:hAnsi="Arial"/>
          <w:sz w:val="20"/>
          <w:szCs w:val="20"/>
        </w:rPr>
        <w:t>7.1 Добавки должны быть приняты службой технического контроля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71"/>
      <w:bookmarkStart w:id="118" w:name="sub_72"/>
      <w:bookmarkEnd w:id="117"/>
      <w:bookmarkEnd w:id="118"/>
      <w:r>
        <w:rPr>
          <w:rFonts w:cs="Arial" w:ascii="Arial" w:hAnsi="Arial"/>
          <w:sz w:val="20"/>
          <w:szCs w:val="20"/>
        </w:rPr>
        <w:t>7.2 Приемку добавок производят партиями. За партию принимают объем или массу однородного продукта, полученного из материалов постоянного качества по единой технологии, сопровождаемого одним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72"/>
      <w:bookmarkEnd w:id="119"/>
      <w:r>
        <w:rPr>
          <w:rFonts w:cs="Arial" w:ascii="Arial" w:hAnsi="Arial"/>
          <w:sz w:val="20"/>
          <w:szCs w:val="20"/>
        </w:rPr>
        <w:t>Время изготовления партии добавки и максимальная масса партии должны быть указаны в нормативном или техническом документе на конкретный вид добавки.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73"/>
      <w:bookmarkEnd w:id="120"/>
      <w:r>
        <w:rPr>
          <w:rFonts w:cs="Arial" w:ascii="Arial" w:hAnsi="Arial"/>
          <w:sz w:val="20"/>
          <w:szCs w:val="20"/>
        </w:rPr>
        <w:t>7.3 Документ о качестве должен содержать следующие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73"/>
      <w:bookmarkEnd w:id="121"/>
      <w:r>
        <w:rPr>
          <w:rFonts w:cs="Arial" w:ascii="Arial" w:hAnsi="Arial"/>
          <w:sz w:val="20"/>
          <w:szCs w:val="20"/>
        </w:rPr>
        <w:t>- наименование предприятия-изготовителя, его товарный знак, адрес и телефон;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брутто и нетто (объем);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вид тары и число упаковочных единиц в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знак опасности по ГОСТ 19433 (при необходимости);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приемо-сдаточных испытаний данной партии добавки, предусмотренные нормативным или техническим документом, по которому выпускается добавка;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нормативного или технического документа, по которому выпускается добавка.</w:t>
      </w:r>
    </w:p>
    <w:p>
      <w:pPr>
        <w:pStyle w:val="Normal"/>
        <w:autoSpaceDE w:val="false"/>
        <w:ind w:firstLine="720"/>
        <w:jc w:val="both"/>
        <w:rPr/>
      </w:pPr>
      <w:bookmarkStart w:id="122" w:name="sub_74"/>
      <w:bookmarkEnd w:id="122"/>
      <w:r>
        <w:rPr>
          <w:rFonts w:cs="Arial" w:ascii="Arial" w:hAnsi="Arial"/>
          <w:sz w:val="20"/>
          <w:szCs w:val="20"/>
        </w:rPr>
        <w:t xml:space="preserve">7.4 Потребитель имеет право проводить контрольную проверку эффективности действия добавок, используя методы по ГОСТ 30459 для определения нормируемых </w:t>
      </w:r>
      <w:hyperlink w:anchor="sub_3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критериев эффективности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74"/>
      <w:bookmarkStart w:id="124" w:name="sub_7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80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8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800"/>
      <w:bookmarkStart w:id="127" w:name="sub_800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8" w:name="sub_81"/>
      <w:bookmarkEnd w:id="128"/>
      <w:r>
        <w:rPr>
          <w:rFonts w:cs="Arial" w:ascii="Arial" w:hAnsi="Arial"/>
          <w:sz w:val="20"/>
          <w:szCs w:val="20"/>
        </w:rPr>
        <w:t xml:space="preserve">8.1 Показатели качества добавок следует определять по нормативному или техническому документу, в соответствии с которым выпускается данная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добавка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81"/>
      <w:bookmarkStart w:id="130" w:name="sub_82"/>
      <w:bookmarkEnd w:id="129"/>
      <w:bookmarkEnd w:id="130"/>
      <w:r>
        <w:rPr>
          <w:rFonts w:cs="Arial" w:ascii="Arial" w:hAnsi="Arial"/>
          <w:sz w:val="20"/>
          <w:szCs w:val="20"/>
        </w:rPr>
        <w:t>8.2 Показатели эффективности действия добавок, в том числе комплексных, в смесях и бетонах следует определять по ГОСТ 30459.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82"/>
      <w:bookmarkStart w:id="132" w:name="sub_82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900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9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900"/>
      <w:bookmarkStart w:id="135" w:name="sub_900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91"/>
      <w:bookmarkEnd w:id="136"/>
      <w:r>
        <w:rPr>
          <w:rFonts w:cs="Arial" w:ascii="Arial" w:hAnsi="Arial"/>
          <w:sz w:val="20"/>
          <w:szCs w:val="20"/>
        </w:rPr>
        <w:t>9.1 Добавки для бетонов и растворов транспортируют транспортом любого вида по ГОСТ 10674, ГОСТ 10935 и ГОСТ 21398, обеспечивающим сохранность тары от механических повреждений, в соответствии с правилами перевозки грузов, действующими на соответствующих видах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91"/>
      <w:bookmarkStart w:id="138" w:name="sub_92"/>
      <w:bookmarkEnd w:id="137"/>
      <w:bookmarkEnd w:id="138"/>
      <w:r>
        <w:rPr>
          <w:rFonts w:cs="Arial" w:ascii="Arial" w:hAnsi="Arial"/>
          <w:sz w:val="20"/>
          <w:szCs w:val="20"/>
        </w:rPr>
        <w:t>9.2 Добавки транспортируют в виде водных растворов и эмульсий, маслообразных продуктов, паст, аморфных и кристаллических порошков, монолитной массы с защитой от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92"/>
      <w:bookmarkStart w:id="140" w:name="sub_93"/>
      <w:bookmarkEnd w:id="139"/>
      <w:bookmarkEnd w:id="140"/>
      <w:r>
        <w:rPr>
          <w:rFonts w:cs="Arial" w:ascii="Arial" w:hAnsi="Arial"/>
          <w:sz w:val="20"/>
          <w:szCs w:val="20"/>
        </w:rPr>
        <w:t>9.3 Тара, предназначенная для транспортирования добавок, должна быть чистой и сухой. При повторном использовании, при необходимости, ее пропаривают, моют и сушат.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93"/>
      <w:bookmarkStart w:id="142" w:name="sub_94"/>
      <w:bookmarkEnd w:id="141"/>
      <w:bookmarkEnd w:id="142"/>
      <w:r>
        <w:rPr>
          <w:rFonts w:cs="Arial" w:ascii="Arial" w:hAnsi="Arial"/>
          <w:sz w:val="20"/>
          <w:szCs w:val="20"/>
        </w:rPr>
        <w:t>9.4 Транспортную тару маркируют в соответствии с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94"/>
      <w:bookmarkStart w:id="144" w:name="sub_95"/>
      <w:bookmarkEnd w:id="143"/>
      <w:bookmarkEnd w:id="144"/>
      <w:r>
        <w:rPr>
          <w:rFonts w:cs="Arial" w:ascii="Arial" w:hAnsi="Arial"/>
          <w:sz w:val="20"/>
          <w:szCs w:val="20"/>
        </w:rPr>
        <w:t>9.5 Тара должна быть опломбирована пломбой технического контроля завода-изготовителя по ГОСТ 18677.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95"/>
      <w:bookmarkStart w:id="146" w:name="sub_96"/>
      <w:bookmarkEnd w:id="145"/>
      <w:bookmarkEnd w:id="146"/>
      <w:r>
        <w:rPr>
          <w:rFonts w:cs="Arial" w:ascii="Arial" w:hAnsi="Arial"/>
          <w:sz w:val="20"/>
          <w:szCs w:val="20"/>
        </w:rPr>
        <w:t>9.6 Порошкообразные добавки следует транспортировать в полиэтиленовых мешках по ГОСТ 17811 или бумажных по ГОСТ 2226; металлических бочках по ГОСТ 6247, ГОСТ 13950, ГОСТ 21029; металлических барабанах по ГОСТ 5044 и ГОСТ 18896 или фанерных по ГОСТ 9338; металлических банках по ГОСТ 6128.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96"/>
      <w:bookmarkStart w:id="148" w:name="sub_97"/>
      <w:bookmarkEnd w:id="147"/>
      <w:bookmarkEnd w:id="148"/>
      <w:r>
        <w:rPr>
          <w:rFonts w:cs="Arial" w:ascii="Arial" w:hAnsi="Arial"/>
          <w:sz w:val="20"/>
          <w:szCs w:val="20"/>
        </w:rPr>
        <w:t>9.7 Пастообразные добавки транспортируют в полиэтиленовых мешках, металлических банках по ГОСТ 6128 или полиэтиленовых бочках.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97"/>
      <w:bookmarkStart w:id="150" w:name="sub_98"/>
      <w:bookmarkEnd w:id="149"/>
      <w:bookmarkEnd w:id="150"/>
      <w:r>
        <w:rPr>
          <w:rFonts w:cs="Arial" w:ascii="Arial" w:hAnsi="Arial"/>
          <w:sz w:val="20"/>
          <w:szCs w:val="20"/>
        </w:rPr>
        <w:t>9.8 Добавки в виде монолит-глыбы транспортируют в полиэтиленовых или бумажных мешках.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98"/>
      <w:bookmarkStart w:id="152" w:name="sub_99"/>
      <w:bookmarkEnd w:id="151"/>
      <w:bookmarkEnd w:id="152"/>
      <w:r>
        <w:rPr>
          <w:rFonts w:cs="Arial" w:ascii="Arial" w:hAnsi="Arial"/>
          <w:sz w:val="20"/>
          <w:szCs w:val="20"/>
        </w:rPr>
        <w:t>9.9 Водные растворы добавок транспортируют в железнодорожных цистернах, автоцистернах, полимерных и металлических банках, бидонах, канистрах. Тара с жидкими добавками должна быть герметично закрыта.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99"/>
      <w:bookmarkStart w:id="154" w:name="sub_910"/>
      <w:bookmarkEnd w:id="153"/>
      <w:bookmarkEnd w:id="154"/>
      <w:r>
        <w:rPr>
          <w:rFonts w:cs="Arial" w:ascii="Arial" w:hAnsi="Arial"/>
          <w:sz w:val="20"/>
          <w:szCs w:val="20"/>
        </w:rPr>
        <w:t>9.10 Маслообразные кремнийорганические добавки и их водные эмульсии упаковывают по ГОСТ 9980.3, ГОСТ 5799 в тару, пред назначенную для кремнийорганических лаков, и транспортируют по ГОСТ 9980.5.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910"/>
      <w:bookmarkEnd w:id="155"/>
      <w:r>
        <w:rPr>
          <w:rFonts w:cs="Arial" w:ascii="Arial" w:hAnsi="Arial"/>
          <w:sz w:val="20"/>
          <w:szCs w:val="20"/>
        </w:rPr>
        <w:t>Упаковка должна обеспечивать полную герметичность емкости на период транспортирования и срока хранения продукта.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911"/>
      <w:bookmarkEnd w:id="156"/>
      <w:r>
        <w:rPr>
          <w:rFonts w:cs="Arial" w:ascii="Arial" w:hAnsi="Arial"/>
          <w:sz w:val="20"/>
          <w:szCs w:val="20"/>
        </w:rPr>
        <w:t>9.11 Канистры, бидоны, банки при транспортировании помещают в ящики по ГОСТ 2991 и ГОСТ 18573, стеклянные бутыли - в дощатые обрешетки по ГОСТ 12082.</w:t>
      </w:r>
    </w:p>
    <w:p>
      <w:pPr>
        <w:pStyle w:val="Normal"/>
        <w:autoSpaceDE w:val="false"/>
        <w:ind w:firstLine="720"/>
        <w:jc w:val="both"/>
        <w:rPr/>
      </w:pPr>
      <w:bookmarkStart w:id="157" w:name="sub_911"/>
      <w:bookmarkStart w:id="158" w:name="sub_912"/>
      <w:bookmarkEnd w:id="157"/>
      <w:bookmarkEnd w:id="158"/>
      <w:r>
        <w:rPr>
          <w:rFonts w:cs="Arial" w:ascii="Arial" w:hAnsi="Arial"/>
          <w:sz w:val="20"/>
          <w:szCs w:val="20"/>
        </w:rPr>
        <w:t xml:space="preserve">9.12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Добавки</w:t>
        </w:r>
      </w:hyperlink>
      <w:r>
        <w:rPr>
          <w:rFonts w:cs="Arial" w:ascii="Arial" w:hAnsi="Arial"/>
          <w:sz w:val="20"/>
          <w:szCs w:val="20"/>
        </w:rPr>
        <w:t>, коррозионно-активные по отношению к сталям обычных марок, транспортируют в полиэтиленовой таре или бочках из коррозионно-стойкой стали по ГОСТ 26155.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912"/>
      <w:bookmarkStart w:id="160" w:name="sub_913"/>
      <w:bookmarkEnd w:id="159"/>
      <w:bookmarkEnd w:id="160"/>
      <w:r>
        <w:rPr>
          <w:rFonts w:cs="Arial" w:ascii="Arial" w:hAnsi="Arial"/>
          <w:sz w:val="20"/>
          <w:szCs w:val="20"/>
        </w:rPr>
        <w:t>9.13 При транспортировании добавок, относящихся ко 2-му и 3-му классам опасности по ГОСТ 12.1.007, следует исключить свободное перемещение и механическое повреждение тары.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913"/>
      <w:bookmarkStart w:id="162" w:name="sub_914"/>
      <w:bookmarkEnd w:id="161"/>
      <w:bookmarkEnd w:id="162"/>
      <w:r>
        <w:rPr>
          <w:rFonts w:cs="Arial" w:ascii="Arial" w:hAnsi="Arial"/>
          <w:sz w:val="20"/>
          <w:szCs w:val="20"/>
        </w:rPr>
        <w:t>9.14 При заливке цистерн, бочек, фляг и других емкостей уровень налива рассчитывают с учетом максимального использования их вместимости и коэффициента объемного расширения продукта при возможном перепаде температур в пути следования.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914"/>
      <w:bookmarkStart w:id="164" w:name="sub_915"/>
      <w:bookmarkEnd w:id="163"/>
      <w:bookmarkEnd w:id="164"/>
      <w:r>
        <w:rPr>
          <w:rFonts w:cs="Arial" w:ascii="Arial" w:hAnsi="Arial"/>
          <w:sz w:val="20"/>
          <w:szCs w:val="20"/>
        </w:rPr>
        <w:t>9.15 Добавки следует хранить в условиях, исключающих попадание в них посторонних веществ и атмосферных осадков. Водные растворы добавок должны храниться в закрытой таре, порошкообразные и кристаллические - в условиях, исключающих их увлажнение.</w:t>
      </w:r>
    </w:p>
    <w:p>
      <w:pPr>
        <w:pStyle w:val="Normal"/>
        <w:autoSpaceDE w:val="false"/>
        <w:ind w:firstLine="720"/>
        <w:jc w:val="both"/>
        <w:rPr/>
      </w:pPr>
      <w:bookmarkStart w:id="165" w:name="sub_915"/>
      <w:bookmarkStart w:id="166" w:name="sub_916"/>
      <w:bookmarkEnd w:id="165"/>
      <w:bookmarkEnd w:id="166"/>
      <w:r>
        <w:rPr>
          <w:rFonts w:cs="Arial" w:ascii="Arial" w:hAnsi="Arial"/>
          <w:sz w:val="20"/>
          <w:szCs w:val="20"/>
        </w:rPr>
        <w:t xml:space="preserve">9.16 Добавки, подвергающиеся замораживанию, должны после оттаивания сохранять свой </w:t>
      </w:r>
      <w:hyperlink w:anchor="sub_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основной эффект</w:t>
        </w:r>
      </w:hyperlink>
      <w:r>
        <w:rPr>
          <w:rFonts w:cs="Arial" w:ascii="Arial" w:hAnsi="Arial"/>
          <w:sz w:val="20"/>
          <w:szCs w:val="20"/>
        </w:rPr>
        <w:t xml:space="preserve"> и не приводить к изменению </w:t>
      </w:r>
      <w:hyperlink w:anchor="sub_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дополнительных эффектов действия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916"/>
      <w:bookmarkEnd w:id="167"/>
      <w:r>
        <w:rPr>
          <w:rFonts w:cs="Arial" w:ascii="Arial" w:hAnsi="Arial"/>
          <w:sz w:val="20"/>
          <w:szCs w:val="20"/>
        </w:rPr>
        <w:t>При транспортировании и хранении добавок, не сохраняющих свои свойства после замораживания, тара должна быть оборудована системой поддержания положительной температуры.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917"/>
      <w:bookmarkEnd w:id="168"/>
      <w:r>
        <w:rPr>
          <w:rFonts w:cs="Arial" w:ascii="Arial" w:hAnsi="Arial"/>
          <w:sz w:val="20"/>
          <w:szCs w:val="20"/>
        </w:rPr>
        <w:t>9.17 Емкости для жидких добавок, при хранении которых могут происходить их замораживание, расслоение или выпадение осадка, должны быть оборудованы системами обогрева и перемешивания.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917"/>
      <w:bookmarkStart w:id="170" w:name="sub_918"/>
      <w:bookmarkEnd w:id="169"/>
      <w:bookmarkEnd w:id="170"/>
      <w:r>
        <w:rPr>
          <w:rFonts w:cs="Arial" w:ascii="Arial" w:hAnsi="Arial"/>
          <w:sz w:val="20"/>
          <w:szCs w:val="20"/>
        </w:rPr>
        <w:t>9.18 Маслообразные кремнийорганические добавки хранят в таре изготовителя в закрытом складском помещении: водородсодержащие - при температуре от 0°С до +30°С отдельно от кислот и щелочей, прочие - при температуре от минус 25°С до +30°С.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918"/>
      <w:bookmarkStart w:id="172" w:name="sub_919"/>
      <w:bookmarkEnd w:id="171"/>
      <w:bookmarkEnd w:id="172"/>
      <w:r>
        <w:rPr>
          <w:rFonts w:cs="Arial" w:ascii="Arial" w:hAnsi="Arial"/>
          <w:sz w:val="20"/>
          <w:szCs w:val="20"/>
        </w:rPr>
        <w:t>9.19 Добавки, относящиеся ко 2-му и 3-му классам опасности по ГОСТ 12.1.007, следует хранить в герметично закрытой упаковке. Места хранения таких добавок, помещения для их приготовления и дозирования должны быть оборудованы приточно-вытяжной вентиляцией местного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919"/>
      <w:bookmarkStart w:id="174" w:name="sub_920"/>
      <w:bookmarkEnd w:id="173"/>
      <w:bookmarkEnd w:id="174"/>
      <w:r>
        <w:rPr>
          <w:rFonts w:cs="Arial" w:ascii="Arial" w:hAnsi="Arial"/>
          <w:sz w:val="20"/>
          <w:szCs w:val="20"/>
        </w:rPr>
        <w:t>9.20 Пожаро- и взрывоопасные добавки должны храниться в цистернах, резервуарах и металлических бочках в производственных или вспомогательных помещениях у наружных стен, отделенных от основного производства несгораемой перегородкой.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920"/>
      <w:bookmarkStart w:id="176" w:name="sub_921"/>
      <w:bookmarkEnd w:id="175"/>
      <w:bookmarkEnd w:id="176"/>
      <w:r>
        <w:rPr>
          <w:rFonts w:cs="Arial" w:ascii="Arial" w:hAnsi="Arial"/>
          <w:sz w:val="20"/>
          <w:szCs w:val="20"/>
        </w:rPr>
        <w:t>9.21 Запрещается совместное хранение добавок, способных выделять во внешнюю среду пожаро- и взрывоопасные продукты, с солями, легковоспламеняющимися газами и жидкостями, органическими и горючими материалами, веществами на спиртовой основе, едкими, взрывчатыми и радиоактивными веществами. Строительство складов для таких добавок, их размещение, противопожарное обеспечение должны проводиться в соответствии с действующими нормами и правилами проектирования.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921"/>
      <w:bookmarkStart w:id="178" w:name="sub_922"/>
      <w:bookmarkEnd w:id="177"/>
      <w:bookmarkEnd w:id="178"/>
      <w:r>
        <w:rPr>
          <w:rFonts w:cs="Arial" w:ascii="Arial" w:hAnsi="Arial"/>
          <w:sz w:val="20"/>
          <w:szCs w:val="20"/>
        </w:rPr>
        <w:t>9.22 Гарантийный срок хранения добавок при правильном транспортировании и хранении следует устанавливать в нормативном или техническом документе, устанавливающем требования к конкретному виду добавки.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922"/>
      <w:bookmarkStart w:id="180" w:name="sub_922"/>
      <w:bookmarkEnd w:id="1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1" w:name="sub_1000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2" w:name="sub_1000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</w:t>
        <w:br/>
        <w:t>нормативных документов, ссылки на которые приведены в настоящем стандарте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12.1.007-76 │ССБТ.  Вредные  вещества.   Классификация     и общие│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безопасности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2226-88     │Мешки бумажные. Технические условия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2991-85     │Ящики дощатые неразборные для грузов  массой  до  500│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кг. Общие технические условия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5044-79     │Барабаны   стальные   тонкостенные   для   химических│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продуктов. Технические условия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5799-78     │Фляги  для  лакокрасочных   материалов.   Технические│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6128-81     │Банки   металлические   для   химических   продуктов.│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6247-79     │Бочки стальные сварные с обручами катания на корпусе.│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8269.0-97   │Щебень и гравий из плотных  горных  пород  и  отходов│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производства  для  строительных  работ.│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Методы физико-механических испытаний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9338-80     │Барабаны фанерные. Технические условия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9980.3-86   │Материалы лакокрасочные. Упаковка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9980.5-86   │Материалы лакокрасочные. Транспортирование и хранение│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10674-82    │Вагоны-цистерны магистральных  железных  дорог  колеи│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1520 мм. Общие технические условия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10935-97    │Вагоны грузовые крытые магистральных  железных  дорог│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1520 мм. Общие технические условия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12082-82    │Обрешетки дощатые для грузов массой до 500 кг.  Общие│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13950-91    │Бочки  стальные  сварные  и  закатные  с   гофрами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корпусе. Технические условия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14192-96    │Маркировка грузов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17811-78    │Мешки  полиэтиленовые   для   химической   продукции.│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18573-86    │Ящики    деревянные    для    продукции    химической│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промышленности. Технические условия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18677-73    │Пломбы. Конструкция и размеры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18896-73    │Барабаны  стальные   толстостенные   для   химических│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продуктов. Технические условия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19433-88    │Грузы опасные. Классификация и маркировка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21029-75    │Бочки   алюминиевые   для    химических    продуктов.│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21398-89    │Автомобили грузовые. Общие технические требования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26155-84    │Бочки  из  коррозионно-стойкой   стали.   Технические│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27677-88    │Защита от коррозии  в  строительстве.  Бетоны.  Общие│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к проведению испытаний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30459-2003  │Добавки для бетонов и строительных растворов.  Методы│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эффективности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При пользовании настоящим стандартом целесообразно проверить действие ссылочных стандартов по указателю "Государственные стандарты", составленному по состоянию на 1 января текущего года, и по соответствующим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2006-08-16T20:49:00Z</dcterms:created>
  <dc:creator>Виктор</dc:creator>
  <dc:description/>
  <dc:language>ru-RU</dc:language>
  <cp:lastModifiedBy>Виктор</cp:lastModifiedBy>
  <dcterms:modified xsi:type="dcterms:W3CDTF">2006-08-16T20:50:00Z</dcterms:modified>
  <cp:revision>2</cp:revision>
  <dc:subject/>
  <dc:title/>
</cp:coreProperties>
</file>