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23838-89</w:t>
        <w:br/>
        <w:t>"Здания предприятий. Параметры"</w:t>
        <w:br/>
        <w:t>(утв. постановлением Госстроя СССР от 11 января 1989 г. N 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Buildings of enterprises. Parameters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ГОСТа 23837-79, ГОСТа 23838-79, ГОСТа 23839-79, ГОСТа 23840-79, ГОСТа 24336-80, ГОСТа 24337-80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1989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Координационные    размеры    и    их    сочетания    в    первичных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объемно-планировочных элементах здания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 формирования  секций  и  компоновки  на  их  основе 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различной этажности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Термины и пояснения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9999"/>
      <w:bookmarkEnd w:id="0"/>
      <w:r>
        <w:rPr>
          <w:rFonts w:cs="Arial" w:ascii="Arial" w:hAnsi="Arial"/>
          <w:sz w:val="20"/>
          <w:szCs w:val="20"/>
        </w:rPr>
        <w:t>Несоблюдение стандарта преследуется по закону.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9999"/>
      <w:bookmarkEnd w:id="1"/>
      <w:r>
        <w:rPr>
          <w:rFonts w:cs="Arial" w:ascii="Arial" w:hAnsi="Arial"/>
          <w:sz w:val="20"/>
          <w:szCs w:val="20"/>
        </w:rPr>
        <w:t>Настоящий стандарт распространяется на производственные, административные, бытовые и складские здания (далее - здания) предприятий всех отраслей промышленности и народного хозяйства.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здания гражданского строительства (жилые и общественные).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обязателен при разработке: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норм, стандартов и других нормативных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типовых, индивидуальных и экспериментальных проектов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сортаментов, номенклатур, каталогов и проектной документации на типовые строительные конструкции и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сортаментов, номенклатур, каталогов и проектной документации на оборудование, заменяющее конструктивные элементы зданий или составляющее с ним единое целое, а также оборудование, размеры которого должны быть согласованы с размерами объемно-планировочных и конструктивных элементов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не обязателен при разработке проектов зданий: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уникальных;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экспериментальных, если необходимость отступления от настоящего стандарта обусловлена особенностями эксперимента;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реконструируемых и пристраиваемых к зданиям, построенным ранее без соблюдения правил модульной координации размеров в строительстве (МКРС);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имеющих размеры и форму, которые определяются специфическими видами технологии или оборудования, препятствующими применению правил МКРС;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имеющих полностью или частично косоугольные или криволинейные очертания.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основные координационные размеры (геометрические параметры) - </w:t>
      </w:r>
      <w:hyperlink w:anchor="sub_1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модульные пролеты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модульные шаги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модульные высоты</w:t>
        </w:r>
      </w:hyperlink>
      <w:r>
        <w:rPr>
          <w:rFonts w:cs="Arial" w:ascii="Arial" w:hAnsi="Arial"/>
          <w:sz w:val="20"/>
          <w:szCs w:val="20"/>
        </w:rPr>
        <w:t xml:space="preserve"> этажей, а также их сочетания в </w:t>
      </w:r>
      <w:hyperlink w:anchor="sub_10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первичных объемно-планировочных элементах (ячейках)</w:t>
        </w:r>
      </w:hyperlink>
      <w:r>
        <w:rPr>
          <w:rFonts w:cs="Arial" w:ascii="Arial" w:hAnsi="Arial"/>
          <w:sz w:val="20"/>
          <w:szCs w:val="20"/>
        </w:rPr>
        <w:t xml:space="preserve"> надземной части зданий с прямоугольной системой модульных координат; правила формирования </w:t>
      </w:r>
      <w:hyperlink w:anchor="sub_1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секций</w:t>
        </w:r>
      </w:hyperlink>
      <w:r>
        <w:rPr>
          <w:rFonts w:cs="Arial" w:ascii="Arial" w:hAnsi="Arial"/>
          <w:sz w:val="20"/>
          <w:szCs w:val="20"/>
        </w:rPr>
        <w:t xml:space="preserve"> из первичных объемно-планировочных элементов зданий и компоновки на их основе зданий различной этажности (одноэтажных, многоэтажных и смешанной этажности), за исключением зданий, предназначенных для строительства на подрабатываемых территориях, в районах с вечномерзлыми и просадочными от замачивания грунтами и в районах с сейсмичностью более 6 баллов по шкале ГОСТ 6249.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Принятые в стандарте специальные термины и определения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1. Координационные размеры и их сочетания в первичных объемно-планировочных элементах здания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 xml:space="preserve">1.1. Основные координационные размеры - модульные пролеты, </w:t>
      </w:r>
      <w:hyperlink w:anchor="sub_1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модульные шаги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модульные высоты</w:t>
        </w:r>
      </w:hyperlink>
      <w:r>
        <w:rPr>
          <w:rFonts w:cs="Arial" w:ascii="Arial" w:hAnsi="Arial"/>
          <w:sz w:val="20"/>
          <w:szCs w:val="20"/>
        </w:rPr>
        <w:t xml:space="preserve"> этажей - и их сочетания в </w:t>
      </w:r>
      <w:hyperlink w:anchor="sub_10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первичных объемно-планировочных элементах</w:t>
        </w:r>
      </w:hyperlink>
      <w:r>
        <w:rPr>
          <w:rFonts w:cs="Arial" w:ascii="Arial" w:hAnsi="Arial"/>
          <w:sz w:val="20"/>
          <w:szCs w:val="20"/>
        </w:rPr>
        <w:t xml:space="preserve"> зданий должны назначаться исходя из функциональных требований и экономической целесообразности.</w:t>
      </w:r>
    </w:p>
    <w:p>
      <w:pPr>
        <w:pStyle w:val="Normal"/>
        <w:autoSpaceDE w:val="false"/>
        <w:ind w:firstLine="720"/>
        <w:jc w:val="both"/>
        <w:rPr/>
      </w:pPr>
      <w:bookmarkStart w:id="6" w:name="sub_11"/>
      <w:bookmarkStart w:id="7" w:name="sub_12"/>
      <w:bookmarkEnd w:id="6"/>
      <w:bookmarkEnd w:id="7"/>
      <w:r>
        <w:rPr>
          <w:rFonts w:cs="Arial" w:ascii="Arial" w:hAnsi="Arial"/>
          <w:sz w:val="20"/>
          <w:szCs w:val="20"/>
        </w:rPr>
        <w:t xml:space="preserve">1.2. Размеры </w:t>
      </w:r>
      <w:hyperlink w:anchor="sub_1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модульных пролетов</w:t>
        </w:r>
      </w:hyperlink>
      <w:r>
        <w:rPr>
          <w:rFonts w:cs="Arial" w:ascii="Arial" w:hAnsi="Arial"/>
          <w:sz w:val="20"/>
          <w:szCs w:val="20"/>
        </w:rPr>
        <w:t xml:space="preserve"> L_0, модульных шагов В_0 и модульных высот этажей Н_0 первичных объемно-планировочных элементов зданий следует назначать кратными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укрупненным модулям</w:t>
        </w:r>
      </w:hyperlink>
      <w:r>
        <w:rPr>
          <w:rFonts w:cs="Arial" w:ascii="Arial" w:hAnsi="Arial"/>
          <w:sz w:val="20"/>
          <w:szCs w:val="20"/>
        </w:rPr>
        <w:t xml:space="preserve"> в соответствии с таблицей (установленным на базе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основного модуля</w:t>
        </w:r>
      </w:hyperlink>
      <w:r>
        <w:rPr>
          <w:rFonts w:cs="Arial" w:ascii="Arial" w:hAnsi="Arial"/>
          <w:sz w:val="20"/>
          <w:szCs w:val="20"/>
        </w:rPr>
        <w:t xml:space="preserve"> М, равного 100 мм).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2"/>
      <w:bookmarkStart w:id="9" w:name="sub_12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881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881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Предельные величины, мм          │    Укрупненный модуль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├─────────────┬───────────┤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принимаемый │допускаемый│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Модульные пролет L_0 и шаг B_0: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18000                                    │     30M     │    15М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18000                                   │     60М     │    30М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Модульная высота этажа Н_0: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3600                                     │      3M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3600                                    │      6М     │     3М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высоты этажей 2800 мм, кратной основному модулю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назначении основных координационных размеров и их сочетаний в </w:t>
      </w:r>
      <w:hyperlink w:anchor="sub_10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первичных объемно-планировочных элементах</w:t>
        </w:r>
      </w:hyperlink>
      <w:r>
        <w:rPr>
          <w:rFonts w:cs="Arial" w:ascii="Arial" w:hAnsi="Arial"/>
          <w:sz w:val="20"/>
          <w:szCs w:val="20"/>
        </w:rPr>
        <w:t xml:space="preserve"> зданий должны соблюдаться требования других нормативных документов, устанавливающих геометрические параметры зданий.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2. Правила формирования секций и компоновки на их основе зданий различной этажности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00"/>
      <w:bookmarkStart w:id="14" w:name="sub_2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" w:name="sub_21"/>
      <w:bookmarkEnd w:id="15"/>
      <w:r>
        <w:rPr>
          <w:rFonts w:cs="Arial" w:ascii="Arial" w:hAnsi="Arial"/>
          <w:sz w:val="20"/>
          <w:szCs w:val="20"/>
        </w:rPr>
        <w:t xml:space="preserve">2.1. </w:t>
      </w:r>
      <w:hyperlink w:anchor="sub_1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Секция</w:t>
        </w:r>
      </w:hyperlink>
      <w:r>
        <w:rPr>
          <w:rFonts w:cs="Arial" w:ascii="Arial" w:hAnsi="Arial"/>
          <w:sz w:val="20"/>
          <w:szCs w:val="20"/>
        </w:rPr>
        <w:t xml:space="preserve"> должна формироваться исходя из функциональных требований и экономической целесообразности из однотипных (по </w:t>
      </w:r>
      <w:hyperlink w:anchor="sub_1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модульным пролетам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шагам</w:t>
        </w:r>
      </w:hyperlink>
      <w:r>
        <w:rPr>
          <w:rFonts w:cs="Arial" w:ascii="Arial" w:hAnsi="Arial"/>
          <w:sz w:val="20"/>
          <w:szCs w:val="20"/>
        </w:rPr>
        <w:t xml:space="preserve"> и высотам этажей) или из возможно меньшего числа разнотипных первичных объемно-планировочных элементов, образуемых на основе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укрупненных модулей</w:t>
        </w:r>
      </w:hyperlink>
      <w:r>
        <w:rPr>
          <w:rFonts w:cs="Arial" w:ascii="Arial" w:hAnsi="Arial"/>
          <w:sz w:val="20"/>
          <w:szCs w:val="20"/>
        </w:rPr>
        <w:t xml:space="preserve">, приведенных в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1"/>
      <w:bookmarkStart w:id="17" w:name="sub_22"/>
      <w:bookmarkEnd w:id="16"/>
      <w:bookmarkEnd w:id="17"/>
      <w:r>
        <w:rPr>
          <w:rFonts w:cs="Arial" w:ascii="Arial" w:hAnsi="Arial"/>
          <w:sz w:val="20"/>
          <w:szCs w:val="20"/>
        </w:rPr>
        <w:t>2.2. При формировании секции с опорными кранами грузоподъемность кранов должна приниматься исходя из постоянной технологической потребности в ней, имея в виду, что для выполнения разовых монтажных или ремонтных работ, требующих большей грузоподъемности, должны использоваться напольные подъемно-транспортные средства или специальные приспособления к опорным кранам, позволяющие при разовых подъемах повысить их грузоподъемность без увеличения нагрузки на несущие конструкции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2"/>
      <w:bookmarkStart w:id="19" w:name="sub_23"/>
      <w:bookmarkEnd w:id="18"/>
      <w:bookmarkEnd w:id="19"/>
      <w:r>
        <w:rPr>
          <w:rFonts w:cs="Arial" w:ascii="Arial" w:hAnsi="Arial"/>
          <w:sz w:val="20"/>
          <w:szCs w:val="20"/>
        </w:rPr>
        <w:t>2.3. Модульную высоту этажа секций с опорными кранами следует принимать равной округленной до величины укрупненного модуля суммы входящих в нее размеров: максимальной высоты подъема крюка крана, требуемой для данного производства; габаритного размера крана по высоте от верхнего положения его крюка до верхнего контура его конструкций и механизмов; минимально допустимого габарита приближения крана к стропильным конструкциям, равного 100 мм, а также размера предельного прогиба несущих конструкций покрытия, определяемого по СНиП 2.01.12-88,</w:t>
      </w:r>
    </w:p>
    <w:p>
      <w:pPr>
        <w:pStyle w:val="Normal"/>
        <w:autoSpaceDE w:val="false"/>
        <w:ind w:firstLine="720"/>
        <w:jc w:val="both"/>
        <w:rPr/>
      </w:pPr>
      <w:bookmarkStart w:id="20" w:name="sub_23"/>
      <w:bookmarkStart w:id="21" w:name="sub_24"/>
      <w:bookmarkEnd w:id="20"/>
      <w:bookmarkEnd w:id="21"/>
      <w:r>
        <w:rPr>
          <w:rFonts w:cs="Arial" w:ascii="Arial" w:hAnsi="Arial"/>
          <w:sz w:val="20"/>
          <w:szCs w:val="20"/>
        </w:rPr>
        <w:t xml:space="preserve">2.4. Здание следует компоновать исходя из функциональных, экономических и архитектурно-художественных требований, применяя однотипные или возможно меньшее число разнотипных </w:t>
      </w:r>
      <w:hyperlink w:anchor="sub_1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секций</w:t>
        </w:r>
      </w:hyperlink>
      <w:r>
        <w:rPr>
          <w:rFonts w:cs="Arial" w:ascii="Arial" w:hAnsi="Arial"/>
          <w:sz w:val="20"/>
          <w:szCs w:val="20"/>
        </w:rPr>
        <w:t xml:space="preserve"> и располагая их </w:t>
      </w:r>
      <w:hyperlink w:anchor="sub_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пролетами</w:t>
        </w:r>
      </w:hyperlink>
      <w:r>
        <w:rPr>
          <w:rFonts w:cs="Arial" w:ascii="Arial" w:hAnsi="Arial"/>
          <w:sz w:val="20"/>
          <w:szCs w:val="20"/>
        </w:rPr>
        <w:t xml:space="preserve"> в одном направлении, обеспечивая при этом наибольшие возможности применения строительных конструкций и изделий заводского изготовления и максимально возможное ограничение количества их типоразмеров.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4"/>
      <w:bookmarkEnd w:id="22"/>
      <w:r>
        <w:rPr>
          <w:rFonts w:cs="Arial" w:ascii="Arial" w:hAnsi="Arial"/>
          <w:sz w:val="20"/>
          <w:szCs w:val="20"/>
        </w:rPr>
        <w:t>Компоновка здания из секций с взаимно перпендикулярным направлением пролетов, а также из разнотипных секций, в том числе с перепадами высот этажей между смежными секциями, должны осуществляться лишь при функциональной необходимости и технико-экономической целесообразности. При этом величину перепада высот следует принимать кратной 6М (600 мм).</w:t>
      </w:r>
    </w:p>
    <w:p>
      <w:pPr>
        <w:pStyle w:val="Normal"/>
        <w:autoSpaceDE w:val="false"/>
        <w:ind w:firstLine="720"/>
        <w:jc w:val="both"/>
        <w:rPr/>
      </w:pPr>
      <w:bookmarkStart w:id="23" w:name="sub_25"/>
      <w:bookmarkEnd w:id="23"/>
      <w:r>
        <w:rPr>
          <w:rFonts w:cs="Arial" w:ascii="Arial" w:hAnsi="Arial"/>
          <w:sz w:val="20"/>
          <w:szCs w:val="20"/>
        </w:rPr>
        <w:t xml:space="preserve">2.5. Для всего проектируемого здания (во всех входящих в его состав секциях)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модульная пространственная координационная система</w:t>
        </w:r>
      </w:hyperlink>
      <w:r>
        <w:rPr>
          <w:rFonts w:cs="Arial" w:ascii="Arial" w:hAnsi="Arial"/>
          <w:sz w:val="20"/>
          <w:szCs w:val="20"/>
        </w:rPr>
        <w:t xml:space="preserve"> и соответствующая основная модульная сетка должны быть непрерывными.</w:t>
      </w:r>
    </w:p>
    <w:p>
      <w:pPr>
        <w:pStyle w:val="Normal"/>
        <w:autoSpaceDE w:val="false"/>
        <w:ind w:firstLine="720"/>
        <w:jc w:val="both"/>
        <w:rPr/>
      </w:pPr>
      <w:bookmarkStart w:id="24" w:name="sub_25"/>
      <w:bookmarkEnd w:id="24"/>
      <w:r>
        <w:rPr>
          <w:rFonts w:cs="Arial" w:ascii="Arial" w:hAnsi="Arial"/>
          <w:sz w:val="20"/>
          <w:szCs w:val="20"/>
        </w:rPr>
        <w:t xml:space="preserve">Разрывы модульной пространственной системы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вставками</w:t>
        </w:r>
      </w:hyperlink>
      <w:r>
        <w:rPr>
          <w:rFonts w:cs="Arial" w:ascii="Arial" w:hAnsi="Arial"/>
          <w:sz w:val="20"/>
          <w:szCs w:val="20"/>
        </w:rPr>
        <w:t xml:space="preserve"> допускаются только в местах примыкания смежных секций, осуществляемого с использованием парных несущих конструкций для устройства деформационных швов (см. </w:t>
      </w:r>
      <w:hyperlink w:anchor="sub_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чертеж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5" w:name="sub_26"/>
      <w:bookmarkEnd w:id="25"/>
      <w:r>
        <w:rPr>
          <w:rFonts w:cs="Arial" w:ascii="Arial" w:hAnsi="Arial"/>
          <w:sz w:val="20"/>
          <w:szCs w:val="20"/>
        </w:rPr>
        <w:t xml:space="preserve">2.6. Все виды сопряжения смежных </w:t>
      </w:r>
      <w:hyperlink w:anchor="sub_1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секций</w:t>
        </w:r>
      </w:hyperlink>
      <w:r>
        <w:rPr>
          <w:rFonts w:cs="Arial" w:ascii="Arial" w:hAnsi="Arial"/>
          <w:sz w:val="20"/>
          <w:szCs w:val="20"/>
        </w:rPr>
        <w:t xml:space="preserve"> следует осуществлять, как правило, на парных несущих конструкциях и совмещать с местами устройства деформационных швов.</w:t>
      </w:r>
    </w:p>
    <w:p>
      <w:pPr>
        <w:pStyle w:val="Normal"/>
        <w:autoSpaceDE w:val="false"/>
        <w:ind w:firstLine="720"/>
        <w:jc w:val="both"/>
        <w:rPr/>
      </w:pPr>
      <w:bookmarkStart w:id="26" w:name="sub_26"/>
      <w:bookmarkEnd w:id="26"/>
      <w:r>
        <w:rPr>
          <w:rFonts w:cs="Arial" w:ascii="Arial" w:hAnsi="Arial"/>
          <w:sz w:val="20"/>
          <w:szCs w:val="20"/>
        </w:rPr>
        <w:t xml:space="preserve">Допускается сопряжения смежных секций осуществлять на одиночных колоннах или столбах (исключая места торцового примыкания секций с различными размерами </w:t>
      </w:r>
      <w:hyperlink w:anchor="sub_1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модульных пролетов</w:t>
        </w:r>
      </w:hyperlink>
      <w:r>
        <w:rPr>
          <w:rFonts w:cs="Arial" w:ascii="Arial" w:hAnsi="Arial"/>
          <w:sz w:val="20"/>
          <w:szCs w:val="20"/>
        </w:rPr>
        <w:t xml:space="preserve"> и места примыкания секций с взаимно перпендикулярным направлением </w:t>
      </w:r>
      <w:hyperlink w:anchor="sub_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пролетов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7" w:name="sub_27"/>
      <w:bookmarkEnd w:id="27"/>
      <w:r>
        <w:rPr>
          <w:rFonts w:cs="Arial" w:ascii="Arial" w:hAnsi="Arial"/>
          <w:sz w:val="20"/>
          <w:szCs w:val="20"/>
        </w:rPr>
        <w:t xml:space="preserve">2.7. Швы примыкания смежных секций должны осуществляться с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конструктивными вставками</w:t>
        </w:r>
      </w:hyperlink>
      <w:r>
        <w:rPr>
          <w:rFonts w:cs="Arial" w:ascii="Arial" w:hAnsi="Arial"/>
          <w:sz w:val="20"/>
          <w:szCs w:val="20"/>
        </w:rPr>
        <w:t xml:space="preserve"> (см. </w:t>
      </w:r>
      <w:hyperlink w:anchor="sub_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чертеж</w:t>
        </w:r>
      </w:hyperlink>
      <w:r>
        <w:rPr>
          <w:rFonts w:cs="Arial" w:ascii="Arial" w:hAnsi="Arial"/>
          <w:sz w:val="20"/>
          <w:szCs w:val="20"/>
        </w:rPr>
        <w:t>) между смежными координационными осями примыкающих секций в местах: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7"/>
      <w:bookmarkStart w:id="29" w:name="sub_271"/>
      <w:bookmarkEnd w:id="28"/>
      <w:bookmarkEnd w:id="29"/>
      <w:r>
        <w:rPr>
          <w:rFonts w:cs="Arial" w:ascii="Arial" w:hAnsi="Arial"/>
          <w:sz w:val="20"/>
          <w:szCs w:val="20"/>
        </w:rPr>
        <w:t>1) торцового примыкания смежных секций при различных размерах их модульных пролетов или (и) модульных высот этажей;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71"/>
      <w:bookmarkStart w:id="31" w:name="sub_272"/>
      <w:bookmarkEnd w:id="30"/>
      <w:bookmarkEnd w:id="31"/>
      <w:r>
        <w:rPr>
          <w:rFonts w:cs="Arial" w:ascii="Arial" w:hAnsi="Arial"/>
          <w:sz w:val="20"/>
          <w:szCs w:val="20"/>
        </w:rPr>
        <w:t>2) продольного примыкания смежных секций при одинаковых или различных размерах их модульных высот этажей;</w:t>
      </w:r>
    </w:p>
    <w:p>
      <w:pPr>
        <w:pStyle w:val="Normal"/>
        <w:autoSpaceDE w:val="false"/>
        <w:ind w:firstLine="720"/>
        <w:jc w:val="both"/>
        <w:rPr/>
      </w:pPr>
      <w:bookmarkStart w:id="32" w:name="sub_272"/>
      <w:bookmarkStart w:id="33" w:name="sub_273"/>
      <w:bookmarkEnd w:id="32"/>
      <w:bookmarkEnd w:id="33"/>
      <w:r>
        <w:rPr>
          <w:rFonts w:cs="Arial" w:ascii="Arial" w:hAnsi="Arial"/>
          <w:sz w:val="20"/>
          <w:szCs w:val="20"/>
        </w:rPr>
        <w:t xml:space="preserve">3) примыкания смежных </w:t>
      </w:r>
      <w:hyperlink w:anchor="sub_1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секций</w:t>
        </w:r>
      </w:hyperlink>
      <w:r>
        <w:rPr>
          <w:rFonts w:cs="Arial" w:ascii="Arial" w:hAnsi="Arial"/>
          <w:sz w:val="20"/>
          <w:szCs w:val="20"/>
        </w:rPr>
        <w:t xml:space="preserve"> с взаимно перпендикулярным направлением их пролетов;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73"/>
      <w:bookmarkStart w:id="35" w:name="sub_274"/>
      <w:bookmarkEnd w:id="34"/>
      <w:bookmarkEnd w:id="35"/>
      <w:r>
        <w:rPr>
          <w:rFonts w:cs="Arial" w:ascii="Arial" w:hAnsi="Arial"/>
          <w:sz w:val="20"/>
          <w:szCs w:val="20"/>
        </w:rPr>
        <w:t>4) примыкания смежных секций одноэтажных и многоэтажных зданий.</w:t>
      </w:r>
    </w:p>
    <w:p>
      <w:pPr>
        <w:pStyle w:val="Normal"/>
        <w:autoSpaceDE w:val="false"/>
        <w:ind w:firstLine="720"/>
        <w:jc w:val="both"/>
        <w:rPr/>
      </w:pPr>
      <w:bookmarkStart w:id="36" w:name="sub_274"/>
      <w:bookmarkStart w:id="37" w:name="sub_28"/>
      <w:bookmarkEnd w:id="36"/>
      <w:bookmarkEnd w:id="37"/>
      <w:r>
        <w:rPr>
          <w:rFonts w:cs="Arial" w:ascii="Arial" w:hAnsi="Arial"/>
          <w:sz w:val="20"/>
          <w:szCs w:val="20"/>
        </w:rPr>
        <w:t xml:space="preserve">2.8. Торцовые примыкания смежных секций при одинаковых размерах их </w:t>
      </w:r>
      <w:hyperlink w:anchor="sub_1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модульных пролетов</w:t>
        </w:r>
      </w:hyperlink>
      <w:r>
        <w:rPr>
          <w:rFonts w:cs="Arial" w:ascii="Arial" w:hAnsi="Arial"/>
          <w:sz w:val="20"/>
          <w:szCs w:val="20"/>
        </w:rPr>
        <w:t xml:space="preserve"> и модульных высот этажей следует осуществлять, как правило, совмещая ось шва примыкания с общей для смежных секций поперечной </w:t>
      </w:r>
      <w:hyperlink w:anchor="sub_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координационной осью</w:t>
        </w:r>
      </w:hyperlink>
      <w:r>
        <w:rPr>
          <w:rFonts w:cs="Arial" w:ascii="Arial" w:hAnsi="Arial"/>
          <w:sz w:val="20"/>
          <w:szCs w:val="20"/>
        </w:rPr>
        <w:t xml:space="preserve"> (исключение составляет конструктивная необходимость устройства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вставки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38" w:name="sub_28"/>
      <w:bookmarkEnd w:id="38"/>
      <w:r>
        <w:rPr>
          <w:rFonts w:cs="Arial" w:ascii="Arial" w:hAnsi="Arial"/>
          <w:sz w:val="20"/>
          <w:szCs w:val="20"/>
        </w:rPr>
        <w:t xml:space="preserve">Швы торцового примыкания указанных типов смежных секций, являющиеся продолжением других швов, осуществляемых с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конструктивными вставками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2.7</w:t>
        </w:r>
      </w:hyperlink>
      <w:r>
        <w:rPr>
          <w:rFonts w:cs="Arial" w:ascii="Arial" w:hAnsi="Arial"/>
          <w:sz w:val="20"/>
          <w:szCs w:val="20"/>
        </w:rPr>
        <w:t>), должны для обеспечения непрерывности основной модульной сетки здания (</w:t>
      </w: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2.5</w:t>
        </w:r>
      </w:hyperlink>
      <w:r>
        <w:rPr>
          <w:rFonts w:cs="Arial" w:ascii="Arial" w:hAnsi="Arial"/>
          <w:sz w:val="20"/>
          <w:szCs w:val="20"/>
        </w:rPr>
        <w:t xml:space="preserve">) выполняться с </w:t>
      </w:r>
      <w:hyperlink w:anchor="sub_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корректирующей вставкой</w:t>
        </w:r>
      </w:hyperlink>
      <w:r>
        <w:rPr>
          <w:rFonts w:cs="Arial" w:ascii="Arial" w:hAnsi="Arial"/>
          <w:sz w:val="20"/>
          <w:szCs w:val="20"/>
        </w:rPr>
        <w:t xml:space="preserve"> (см. </w:t>
      </w:r>
      <w:hyperlink w:anchor="sub_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чертеж</w:t>
        </w:r>
      </w:hyperlink>
      <w:r>
        <w:rPr>
          <w:rFonts w:cs="Arial" w:ascii="Arial" w:hAnsi="Arial"/>
          <w:sz w:val="20"/>
          <w:szCs w:val="20"/>
        </w:rPr>
        <w:t>); размер корректирующей вставки должен быть равен размеру конструктивной вставки тех швов, на продолжении которых она выполняется, определяемому в соответствии с действующими нормативными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не предусматривать корректирующую вставку в таких швах только при технико-экономическом обосновании.</w:t>
      </w:r>
    </w:p>
    <w:p>
      <w:pPr>
        <w:pStyle w:val="Normal"/>
        <w:autoSpaceDE w:val="false"/>
        <w:ind w:firstLine="720"/>
        <w:jc w:val="both"/>
        <w:rPr/>
      </w:pPr>
      <w:bookmarkStart w:id="39" w:name="sub_29"/>
      <w:bookmarkEnd w:id="39"/>
      <w:r>
        <w:rPr>
          <w:rFonts w:cs="Arial" w:ascii="Arial" w:hAnsi="Arial"/>
          <w:sz w:val="20"/>
          <w:szCs w:val="20"/>
        </w:rPr>
        <w:t xml:space="preserve">2.9. При формировании </w:t>
      </w:r>
      <w:hyperlink w:anchor="sub_1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секций</w:t>
        </w:r>
      </w:hyperlink>
      <w:r>
        <w:rPr>
          <w:rFonts w:cs="Arial" w:ascii="Arial" w:hAnsi="Arial"/>
          <w:sz w:val="20"/>
          <w:szCs w:val="20"/>
        </w:rPr>
        <w:t xml:space="preserve"> и компоновке на их основе зданий должны соблюдаться правила </w:t>
      </w:r>
      <w:hyperlink w:anchor="sub_1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привязки элементов конструкций к координационным осям</w:t>
        </w:r>
      </w:hyperlink>
      <w:r>
        <w:rPr>
          <w:rFonts w:cs="Arial" w:ascii="Arial" w:hAnsi="Arial"/>
          <w:sz w:val="20"/>
          <w:szCs w:val="20"/>
        </w:rPr>
        <w:t xml:space="preserve"> секций. При этом следует руководствоваться основными положениями модульной координации размеров в строительстве по СТ СЭВ 6084.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9"/>
      <w:bookmarkEnd w:id="4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55003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" w:name="sub_771"/>
      <w:bookmarkEnd w:id="41"/>
      <w:r>
        <w:rPr>
          <w:rFonts w:cs="Arial" w:ascii="Arial" w:hAnsi="Arial"/>
          <w:sz w:val="20"/>
          <w:szCs w:val="20"/>
        </w:rPr>
        <w:t>"Здание, скомпонованное из разнотипных секций. Схематический общий вид"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2" w:name="sub_771"/>
      <w:bookmarkEnd w:id="4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0383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3" w:name="sub_772"/>
      <w:bookmarkEnd w:id="43"/>
      <w:r>
        <w:rPr>
          <w:rFonts w:cs="Arial" w:ascii="Arial" w:hAnsi="Arial"/>
          <w:sz w:val="20"/>
          <w:szCs w:val="20"/>
        </w:rPr>
        <w:t>"Здание, скомпонованное из разнотипных секций. Схематический план"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772"/>
      <w:bookmarkStart w:id="45" w:name="sub_772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1000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1000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пояснения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│                 Пояснение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001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Модуль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 СТ СЭВ 6084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001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002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Основной модуль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 СТ СЭВ 6084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002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003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Укрупненный модуль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 СТ СЭВ 6084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003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004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Модульная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 СТ СЭВ 6084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004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пространственная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координационная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система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005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Основная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 СТ СЭВ 6084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005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координационная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плоскость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006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Вставка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 СТ  СЭВ 6084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006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007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Конструктивная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│Вставка,       вызванная       конструктивной│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007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вставка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│необходимостью,  в   том   числе   в   местах│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деформационных   (температурных,   осадочных)│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008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Корректирующая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│Вставка,  вызванная необходимостью сохранения│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008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вставка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│взаимной координации основной модульной сетки│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объемно-планировочных    элементов    данного│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009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9.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Координационная ось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 СТ СЭВ 6084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009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010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Модульный размер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 СТ СЭВ 6084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010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011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Пролет (объемный)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│Часть объема одноэтажного здания  или  одного│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011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этажей многоэтажного здания, расположенная│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двумя смежными вертикальными  основными│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кординационными плоскостями,  ограничивающими│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модульного пролета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012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12.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Модульный пролет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│Модульное  расстояние  между  двумя  смежными│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012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координационными осями в плане в  направлении│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основных несущих конструкций  покрытия│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(стропильных конструкций, плит "на пролет"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  или  перекрытия  (основных  балок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ригелей и т.п.)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013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13.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Модульный шаг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│Модульное  расстояние  между  двумя  смежными│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013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координационными осями в плане в направлении,│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перпендикулярном направлению работы  основных│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несущих конструкций покрытия или перекрытия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014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14.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Модульная      высота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 СТ СЭВ 6084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014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этажа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015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15.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Основная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│Совокупность    координационных    осей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1015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(планировочная)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│горизонтальной    основной    координационной│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модульная сетка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│плоскости, определяющих  членение  здания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модульные пролеты и шаги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016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16.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Шаг         элементов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│Расстояние между геометрическими  осями  двух│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016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конструкций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│смежных  однотипных   элементов   конструкций│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(например, шаг  стропильных  балок  или  ферм│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покрытия,  балок  или   ригелей   перекрытия,│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и т.п.)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017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17.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Сетка колонн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│Совокупность линий на горизонтальной основной│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1017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координационной    плоскости,    определяющих│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шага колонн в двух направлениях плана│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направлении модульных пролета и шага)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018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18.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Привязка    элементов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│Установление  расстояния  от  координационной│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018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конструкций         к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│оси до геометрической  оси  сечения  элемента│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координационным осям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│конструкции   или   до    какой-либо    одной│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(наружной,    внутренней,    боковой)     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конструктивной плоскости (грани)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019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19.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Первичный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│Элементарная (первоначальная, основная) часть│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019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объемно-планировочный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│объема  одноэтажного  здания  или  одного 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элемент (ячейка)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│этажей  многоэтажного  здания,   ограниченная│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основными  координационными   плоскостями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характеризующаяся        ее         основными│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координационными  размерами  (геометрическими│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параметрами) - модульными пролетом,  шагом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этажа, а также основными  параметрами│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размещаемого в ней  подвесного  или  опорного│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подъемно-транспортного оборудования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020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Секция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│Самостоятельный  в  конструктивном  отношении│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1020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объемно-планировочный     элемент     здания,│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ограниченный  наружными   стенами   или   (и)│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деформационными   швами   и   состоящий   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совокупности однотипных или  разнотипных  (по│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модульным пролетам и  шагам)  ячеек,  имеющих│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одинаковое направление пролетов и  одинаковые│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модульные  высоты  этажей  в  пределах  всего│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объема этого элемента (в одно- и многоэтажном│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элементе) или в пределах каждого его этажа (в│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многоэтажном элементе)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2007-02-07T19:58:00Z</dcterms:created>
  <dc:creator>Виктор</dc:creator>
  <dc:description/>
  <dc:language>ru-RU</dc:language>
  <cp:lastModifiedBy>Виктор</cp:lastModifiedBy>
  <dcterms:modified xsi:type="dcterms:W3CDTF">2007-02-07T20:00:00Z</dcterms:modified>
  <cp:revision>2</cp:revision>
  <dc:subject/>
  <dc:title/>
</cp:coreProperties>
</file>