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23791-79</w:t>
        <w:br/>
        <w:t>"Покрытие по стали фосфатное огнезащитное. Технические требования"</w:t>
        <w:br/>
        <w:t>(утв. постановлением Госстроя СССР от 27 июля 1979 г. N 129)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Phosphates fire protective still coating. Technical reguirements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Срок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января</w:t>
      </w:r>
      <w:r>
        <w:rPr>
          <w:rFonts w:cs="Arial" w:ascii="Arial" w:hAnsi="Arial"/>
          <w:sz w:val="20"/>
          <w:szCs w:val="20"/>
          <w:lang w:val="en-US"/>
        </w:rPr>
        <w:t xml:space="preserve"> 1980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Требования к покрытию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Контроль качества покрытия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Приложение. Приготовление и нанесение состава покрытия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фосфатное огнезащитное покрытие по стали, наносимое на заводе или строительной площадке на стальные конструкции для повышения предела их огнестойкости.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устанавливает основные требования к покрытию, компонентам для его приготовления и технологии нанесения.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Требования к покрытию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 Покрытие следует применять для огнезащиты стальных конструкций, эксплуатируемых внутри помещений с неагрессивной средой и относительной влажностью воздуха не более 75%.</w:t>
      </w:r>
    </w:p>
    <w:p>
      <w:pPr>
        <w:pStyle w:val="Normal"/>
        <w:autoSpaceDE w:val="false"/>
        <w:ind w:firstLine="720"/>
        <w:jc w:val="both"/>
        <w:rPr/>
      </w:pPr>
      <w:bookmarkStart w:id="4" w:name="sub_11"/>
      <w:bookmarkStart w:id="5" w:name="sub_12"/>
      <w:bookmarkEnd w:id="4"/>
      <w:bookmarkEnd w:id="5"/>
      <w:r>
        <w:rPr>
          <w:rFonts w:cs="Arial" w:ascii="Arial" w:hAnsi="Arial"/>
          <w:sz w:val="20"/>
          <w:szCs w:val="20"/>
        </w:rPr>
        <w:t xml:space="preserve">1.2. Покрытие должно быть нанесено одним слоем в соответствии с требованиями, приведенными в обязательном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>. Допускается отделка покрытия лакокрасочными материалами.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Start w:id="7" w:name="sub_13"/>
      <w:bookmarkEnd w:id="6"/>
      <w:bookmarkEnd w:id="7"/>
      <w:r>
        <w:rPr>
          <w:rFonts w:cs="Arial" w:ascii="Arial" w:hAnsi="Arial"/>
          <w:sz w:val="20"/>
          <w:szCs w:val="20"/>
        </w:rPr>
        <w:t>1.3. Пределы огнестойкости стальных конструкций в зависимости от толщины слоя покрытия приведены в табл.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13"/>
      <w:bookmarkStart w:id="9" w:name="sub_13"/>
      <w:bookmarkEnd w:id="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" w:name="sub_991"/>
      <w:bookmarkEnd w:id="10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991"/>
      <w:bookmarkStart w:id="12" w:name="sub_991"/>
      <w:bookmarkEnd w:id="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огнезащитного покрытия, мм │ Предел огнестойкости конструкции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менее, ч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         │                 0,5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           │                 1,0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            │                 1,5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           │                 2,0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         │                 3,0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4"/>
      <w:bookmarkEnd w:id="13"/>
      <w:r>
        <w:rPr>
          <w:rFonts w:cs="Arial" w:ascii="Arial" w:hAnsi="Arial"/>
          <w:sz w:val="20"/>
          <w:szCs w:val="20"/>
        </w:rPr>
        <w:t>1.4. Предельное отклонение толщины нанесенного слоя от проектной не должно превышать +- 5%.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4"/>
      <w:bookmarkStart w:id="15" w:name="sub_15"/>
      <w:bookmarkEnd w:id="14"/>
      <w:bookmarkEnd w:id="15"/>
      <w:r>
        <w:rPr>
          <w:rFonts w:cs="Arial" w:ascii="Arial" w:hAnsi="Arial"/>
          <w:sz w:val="20"/>
          <w:szCs w:val="20"/>
        </w:rPr>
        <w:t>1.5. Покрытие не должно иметь трещин, отслоений, вздутий.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5"/>
      <w:bookmarkStart w:id="17" w:name="sub_16"/>
      <w:bookmarkEnd w:id="16"/>
      <w:bookmarkEnd w:id="17"/>
      <w:r>
        <w:rPr>
          <w:rFonts w:cs="Arial" w:ascii="Arial" w:hAnsi="Arial"/>
          <w:sz w:val="20"/>
          <w:szCs w:val="20"/>
        </w:rPr>
        <w:t>1.6. Основные физико-механические показатели покрытия должны соответствовать приведенным в табл.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6"/>
      <w:bookmarkStart w:id="19" w:name="sub_16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" w:name="sub_992"/>
      <w:bookmarkEnd w:id="20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992"/>
      <w:bookmarkStart w:id="22" w:name="sub_992"/>
      <w:bookmarkEnd w:id="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показателей     │                 Норма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Объемная  масса  покрытия, кг/м3, не│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               │                 300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   прочности    при    сжатии,│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кгс/см2, не менее                   │                   5,0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7"/>
      <w:bookmarkEnd w:id="23"/>
      <w:r>
        <w:rPr>
          <w:rFonts w:cs="Arial" w:ascii="Arial" w:hAnsi="Arial"/>
          <w:sz w:val="20"/>
          <w:szCs w:val="20"/>
        </w:rPr>
        <w:t>1.7. Конструкции с нанесенным покрытием должны перевозиться в соответствии с требованиями главы СНиП по организации строительного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7"/>
      <w:bookmarkStart w:id="25" w:name="sub_18"/>
      <w:bookmarkEnd w:id="24"/>
      <w:bookmarkEnd w:id="25"/>
      <w:r>
        <w:rPr>
          <w:rFonts w:cs="Arial" w:ascii="Arial" w:hAnsi="Arial"/>
          <w:sz w:val="20"/>
          <w:szCs w:val="20"/>
        </w:rPr>
        <w:t>1.8. Конструкции после нанесения покрытия должны храниться в сухих помещениях.</w:t>
      </w:r>
    </w:p>
    <w:p>
      <w:pPr>
        <w:pStyle w:val="Normal"/>
        <w:autoSpaceDE w:val="false"/>
        <w:ind w:firstLine="720"/>
        <w:jc w:val="both"/>
        <w:rPr/>
      </w:pPr>
      <w:bookmarkStart w:id="26" w:name="sub_18"/>
      <w:bookmarkStart w:id="27" w:name="sub_19"/>
      <w:bookmarkEnd w:id="26"/>
      <w:bookmarkEnd w:id="27"/>
      <w:r>
        <w:rPr>
          <w:rFonts w:cs="Arial" w:ascii="Arial" w:hAnsi="Arial"/>
          <w:sz w:val="20"/>
          <w:szCs w:val="20"/>
        </w:rPr>
        <w:t xml:space="preserve">1.9. При перевозке и хранении конструкций при относительной влажности воздуха более 75% на поверхность покрытия следует наносить гидроизоляцию (см. </w:t>
      </w:r>
      <w:hyperlink w:anchor="sub_1037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3.7</w:t>
        </w:r>
      </w:hyperlink>
      <w:r>
        <w:rPr>
          <w:rFonts w:cs="Arial" w:ascii="Arial" w:hAnsi="Arial"/>
          <w:sz w:val="20"/>
          <w:szCs w:val="20"/>
        </w:rPr>
        <w:t xml:space="preserve"> обязательного приложения).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9"/>
      <w:bookmarkStart w:id="29" w:name="sub_110"/>
      <w:bookmarkEnd w:id="28"/>
      <w:bookmarkEnd w:id="29"/>
      <w:r>
        <w:rPr>
          <w:rFonts w:cs="Arial" w:ascii="Arial" w:hAnsi="Arial"/>
          <w:sz w:val="20"/>
          <w:szCs w:val="20"/>
        </w:rPr>
        <w:t>1.10. Покрытие состоит из следующих компонентов: асбеста, жидкого стекла и нефелинового антипирена.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10"/>
      <w:bookmarkStart w:id="31" w:name="sub_111"/>
      <w:bookmarkEnd w:id="30"/>
      <w:bookmarkEnd w:id="31"/>
      <w:r>
        <w:rPr>
          <w:rFonts w:cs="Arial" w:ascii="Arial" w:hAnsi="Arial"/>
          <w:sz w:val="20"/>
          <w:szCs w:val="20"/>
        </w:rPr>
        <w:t>1.11. Расход компонентов на 1 м3 покрытия с учетом 10% производственных потерь приведен в табл. 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111"/>
      <w:bookmarkStart w:id="33" w:name="sub_111"/>
      <w:bookmarkEnd w:id="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" w:name="sub_993"/>
      <w:bookmarkEnd w:id="34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993"/>
      <w:bookmarkStart w:id="36" w:name="sub_993"/>
      <w:bookmarkEnd w:id="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компонентов     │         Расход на 1 м3, кг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                              │               159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Жидкое стекло с  плотностью ро = 1,2│               120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г/см3          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Нефелиновый антипирен               │                21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12"/>
      <w:bookmarkEnd w:id="37"/>
      <w:r>
        <w:rPr>
          <w:rFonts w:cs="Arial" w:ascii="Arial" w:hAnsi="Arial"/>
          <w:sz w:val="20"/>
          <w:szCs w:val="20"/>
        </w:rPr>
        <w:t>1.12. Комцонент покрытия - асбест хризотиловый III-V сортов полужесткий марок П-3-50, П-3-70, П-5-50 и П-5-65 по ГОСТ 12871-67.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12"/>
      <w:bookmarkEnd w:id="38"/>
      <w:r>
        <w:rPr>
          <w:rFonts w:cs="Arial" w:ascii="Arial" w:hAnsi="Arial"/>
          <w:sz w:val="20"/>
          <w:szCs w:val="20"/>
        </w:rPr>
        <w:t>Влажность асбеста не должна превышать 2%.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13"/>
      <w:bookmarkEnd w:id="39"/>
      <w:r>
        <w:rPr>
          <w:rFonts w:cs="Arial" w:ascii="Arial" w:hAnsi="Arial"/>
          <w:sz w:val="20"/>
          <w:szCs w:val="20"/>
        </w:rPr>
        <w:t>1.13. Компонент покрытия - калиевое жидкое стекло с модулем 2,6-2,8 по нормативно-технической документации, утвержденной в установленном порядке, или натриевое жидкое стекло с модулем 2,6-2,8 по ГОСТ 13078-67.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113"/>
      <w:bookmarkStart w:id="41" w:name="sub_113"/>
      <w:bookmarkEnd w:id="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2" w:name="sub_230773272"/>
      <w:bookmarkEnd w:id="42"/>
      <w:r>
        <w:rPr>
          <w:rFonts w:cs="Arial" w:ascii="Arial" w:hAnsi="Arial"/>
          <w:i/>
          <w:iCs/>
          <w:sz w:val="20"/>
          <w:szCs w:val="20"/>
        </w:rPr>
        <w:t>Взамен 13078-67 постановлением Госстандарта РФ от 29 апреля 1981 г. N 1868 введен в действие с 1 января 1982 г. ГОСТ 13078-81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3" w:name="sub_230773272"/>
      <w:bookmarkStart w:id="44" w:name="sub_230773272"/>
      <w:bookmarkEnd w:id="4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114"/>
      <w:bookmarkEnd w:id="45"/>
      <w:r>
        <w:rPr>
          <w:rFonts w:cs="Arial" w:ascii="Arial" w:hAnsi="Arial"/>
          <w:sz w:val="20"/>
          <w:szCs w:val="20"/>
        </w:rPr>
        <w:t>1.14. Компонент покрытия - нефелиновый антипирен в виде мелкодисперсного порошка по нормативно-технической документации, утвержденной в установленном порядке. Остаток на сите N 018 по ГОСТ 3584-73 должен быть не более 7%.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114"/>
      <w:bookmarkStart w:id="47" w:name="sub_115"/>
      <w:bookmarkEnd w:id="46"/>
      <w:bookmarkEnd w:id="47"/>
      <w:r>
        <w:rPr>
          <w:rFonts w:cs="Arial" w:ascii="Arial" w:hAnsi="Arial"/>
          <w:sz w:val="20"/>
          <w:szCs w:val="20"/>
        </w:rPr>
        <w:t>1.15. Компоненты покрытия должны поставляться в металлических бочках, полиэтиленовых или бумажных мешках и храниться в соответствии с требованиями нормативно-технической документации, утвержденной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115"/>
      <w:bookmarkStart w:id="49" w:name="sub_115"/>
      <w:bookmarkEnd w:id="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0" w:name="sub_200"/>
      <w:bookmarkEnd w:id="50"/>
      <w:r>
        <w:rPr>
          <w:rFonts w:cs="Arial" w:ascii="Arial" w:hAnsi="Arial"/>
          <w:b/>
          <w:bCs/>
          <w:sz w:val="20"/>
          <w:szCs w:val="20"/>
        </w:rPr>
        <w:t>2. Контроль качества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1" w:name="sub_200"/>
      <w:bookmarkStart w:id="52" w:name="sub_200"/>
      <w:bookmarkEnd w:id="5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1"/>
      <w:bookmarkEnd w:id="53"/>
      <w:r>
        <w:rPr>
          <w:rFonts w:cs="Arial" w:ascii="Arial" w:hAnsi="Arial"/>
          <w:sz w:val="20"/>
          <w:szCs w:val="20"/>
        </w:rPr>
        <w:t>2.1. Готовое покрытие должно быть проверено на соответствие требованиям настоящего стандарта и принято отделом технического контроля предприятия-изготовителя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1"/>
      <w:bookmarkEnd w:id="54"/>
      <w:r>
        <w:rPr>
          <w:rFonts w:cs="Arial" w:ascii="Arial" w:hAnsi="Arial"/>
          <w:sz w:val="20"/>
          <w:szCs w:val="20"/>
        </w:rPr>
        <w:t>При нанесении покрытия на строительной площадке приемка работ производится организацией-заказчиком и оформляется актом произвольной формы.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2"/>
      <w:bookmarkEnd w:id="55"/>
      <w:r>
        <w:rPr>
          <w:rFonts w:cs="Arial" w:ascii="Arial" w:hAnsi="Arial"/>
          <w:sz w:val="20"/>
          <w:szCs w:val="20"/>
        </w:rPr>
        <w:t>2.2. Приемка покрытия производится партиями. За партию принимается до 1000 м2 защищенной поверхности металлических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22"/>
      <w:bookmarkStart w:id="57" w:name="sub_23"/>
      <w:bookmarkEnd w:id="56"/>
      <w:bookmarkEnd w:id="57"/>
      <w:r>
        <w:rPr>
          <w:rFonts w:cs="Arial" w:ascii="Arial" w:hAnsi="Arial"/>
          <w:sz w:val="20"/>
          <w:szCs w:val="20"/>
        </w:rPr>
        <w:t>2.3. При приемке производится контрольная проверка внешнего вида покрытия, его толщины, объемной массы и предела прочности при сжатии.</w:t>
      </w:r>
    </w:p>
    <w:p>
      <w:pPr>
        <w:pStyle w:val="Normal"/>
        <w:autoSpaceDE w:val="false"/>
        <w:ind w:firstLine="720"/>
        <w:jc w:val="both"/>
        <w:rPr/>
      </w:pPr>
      <w:bookmarkStart w:id="58" w:name="sub_23"/>
      <w:bookmarkStart w:id="59" w:name="sub_24"/>
      <w:bookmarkEnd w:id="58"/>
      <w:bookmarkEnd w:id="59"/>
      <w:r>
        <w:rPr>
          <w:rFonts w:cs="Arial" w:ascii="Arial" w:hAnsi="Arial"/>
          <w:sz w:val="20"/>
          <w:szCs w:val="20"/>
        </w:rPr>
        <w:t>2.4. Контрольная проверка внешнего вида покрытия (</w:t>
      </w:r>
      <w:hyperlink w:anchor="sub_1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1.5</w:t>
        </w:r>
      </w:hyperlink>
      <w:r>
        <w:rPr>
          <w:rFonts w:cs="Arial" w:ascii="Arial" w:hAnsi="Arial"/>
          <w:sz w:val="20"/>
          <w:szCs w:val="20"/>
        </w:rPr>
        <w:t>) производится по каждой конструкции.</w:t>
      </w:r>
    </w:p>
    <w:p>
      <w:pPr>
        <w:pStyle w:val="Normal"/>
        <w:autoSpaceDE w:val="false"/>
        <w:ind w:firstLine="720"/>
        <w:jc w:val="both"/>
        <w:rPr/>
      </w:pPr>
      <w:bookmarkStart w:id="60" w:name="sub_24"/>
      <w:bookmarkStart w:id="61" w:name="sub_25"/>
      <w:bookmarkEnd w:id="60"/>
      <w:bookmarkEnd w:id="61"/>
      <w:r>
        <w:rPr>
          <w:rFonts w:cs="Arial" w:ascii="Arial" w:hAnsi="Arial"/>
          <w:sz w:val="20"/>
          <w:szCs w:val="20"/>
        </w:rPr>
        <w:t xml:space="preserve">2.5. Если при проверке внешнего вида окажется, что более 10% конструкций не удовлетворяют требованиям </w:t>
      </w:r>
      <w:hyperlink w:anchor="sub_1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1.5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стандарта, то партия приемке не подлежит.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25"/>
      <w:bookmarkStart w:id="63" w:name="sub_26"/>
      <w:bookmarkEnd w:id="62"/>
      <w:bookmarkEnd w:id="63"/>
      <w:r>
        <w:rPr>
          <w:rFonts w:cs="Arial" w:ascii="Arial" w:hAnsi="Arial"/>
          <w:sz w:val="20"/>
          <w:szCs w:val="20"/>
        </w:rPr>
        <w:t>2.6. Проверке толщины покрытия должны подвергаться не менее пяти конструкций от каждой партии. Измерение производится с помощью штангенциркуля по ГОСТ 166-73. За результат принимается среднее арифметическое значение пяти измерений.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26"/>
      <w:bookmarkStart w:id="65" w:name="sub_26"/>
      <w:bookmarkEnd w:id="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6" w:name="sub_230774244"/>
      <w:bookmarkEnd w:id="66"/>
      <w:r>
        <w:rPr>
          <w:rFonts w:cs="Arial" w:ascii="Arial" w:hAnsi="Arial"/>
          <w:i/>
          <w:iCs/>
          <w:sz w:val="20"/>
          <w:szCs w:val="20"/>
        </w:rPr>
        <w:t>См. ГОСТ 166-89 "Штангенциркули. Технические условия", введенный в действие с 1 января 1991 г. постановлением Госстандарта СССР от 30 октября 1989 г. N 3253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7" w:name="sub_230774244"/>
      <w:bookmarkStart w:id="68" w:name="sub_230774244"/>
      <w:bookmarkEnd w:id="6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27"/>
      <w:bookmarkEnd w:id="69"/>
      <w:r>
        <w:rPr>
          <w:rFonts w:cs="Arial" w:ascii="Arial" w:hAnsi="Arial"/>
          <w:sz w:val="20"/>
          <w:szCs w:val="20"/>
        </w:rPr>
        <w:t>2.7. Предел прочности при сжатии и объемная масса покрытия определяется по ГОСТ 17177-71. Для определения предела прочности при сжатии и объемной массы покрытия отбирают образцы от трех конструкций каждой партии. За результат принимается среднее арифметическое значение трех измерений.</w:t>
      </w:r>
    </w:p>
    <w:p>
      <w:pPr>
        <w:pStyle w:val="Normal"/>
        <w:autoSpaceDE w:val="false"/>
        <w:ind w:firstLine="720"/>
        <w:jc w:val="both"/>
        <w:rPr/>
      </w:pPr>
      <w:bookmarkStart w:id="70" w:name="sub_27"/>
      <w:bookmarkStart w:id="71" w:name="sub_28"/>
      <w:bookmarkEnd w:id="70"/>
      <w:bookmarkEnd w:id="71"/>
      <w:r>
        <w:rPr>
          <w:rFonts w:cs="Arial" w:ascii="Arial" w:hAnsi="Arial"/>
          <w:sz w:val="20"/>
          <w:szCs w:val="20"/>
        </w:rPr>
        <w:t xml:space="preserve">2.8. При неудовлетворительных результатах по одному из показателей, указанных в </w:t>
      </w:r>
      <w:hyperlink w:anchor="sub_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 1.4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6">
        <w:r>
          <w:rPr>
            <w:rStyle w:val="Style15"/>
            <w:rFonts w:cs="Arial" w:ascii="Arial" w:hAnsi="Arial"/>
            <w:sz w:val="20"/>
            <w:szCs w:val="20"/>
            <w:u w:val="single"/>
          </w:rPr>
          <w:t>1.6</w:t>
        </w:r>
      </w:hyperlink>
      <w:r>
        <w:rPr>
          <w:rFonts w:cs="Arial" w:ascii="Arial" w:hAnsi="Arial"/>
          <w:sz w:val="20"/>
          <w:szCs w:val="20"/>
        </w:rPr>
        <w:t>, партия приемке не подлежит.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28"/>
      <w:bookmarkStart w:id="73" w:name="sub_28"/>
      <w:bookmarkEnd w:id="7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4" w:name="sub_1000"/>
      <w:bookmarkEnd w:id="74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5" w:name="sub_1000"/>
      <w:bookmarkEnd w:id="75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Приготовление и нанесение состава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Материалы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Приготовление состава покрытия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Нанесение состава покрытия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Техника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6" w:name="sub_1001"/>
      <w:bookmarkEnd w:id="76"/>
      <w:r>
        <w:rPr>
          <w:rFonts w:cs="Arial" w:ascii="Arial" w:hAnsi="Arial"/>
          <w:b/>
          <w:bCs/>
          <w:sz w:val="20"/>
          <w:szCs w:val="20"/>
        </w:rPr>
        <w:t>1. Материалы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7" w:name="sub_1001"/>
      <w:bookmarkStart w:id="78" w:name="sub_1001"/>
      <w:bookmarkEnd w:id="7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9" w:name="sub_1011"/>
      <w:bookmarkEnd w:id="79"/>
      <w:r>
        <w:rPr>
          <w:rFonts w:cs="Arial" w:ascii="Arial" w:hAnsi="Arial"/>
          <w:sz w:val="20"/>
          <w:szCs w:val="20"/>
        </w:rPr>
        <w:t xml:space="preserve">1.1. Материалы, применяемые для покрытия, должны удовлетворять требованиям </w:t>
      </w:r>
      <w:hyperlink w:anchor="sub_11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 1.12-1.14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1011"/>
      <w:bookmarkStart w:id="81" w:name="sub_1011"/>
      <w:bookmarkEnd w:id="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2" w:name="sub_1002"/>
      <w:bookmarkEnd w:id="82"/>
      <w:r>
        <w:rPr>
          <w:rFonts w:cs="Arial" w:ascii="Arial" w:hAnsi="Arial"/>
          <w:b/>
          <w:bCs/>
          <w:sz w:val="20"/>
          <w:szCs w:val="20"/>
        </w:rPr>
        <w:t>2. Приготовление состава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3" w:name="sub_1002"/>
      <w:bookmarkStart w:id="84" w:name="sub_1002"/>
      <w:bookmarkEnd w:id="8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1021"/>
      <w:bookmarkEnd w:id="85"/>
      <w:r>
        <w:rPr>
          <w:rFonts w:cs="Arial" w:ascii="Arial" w:hAnsi="Arial"/>
          <w:sz w:val="20"/>
          <w:szCs w:val="20"/>
        </w:rPr>
        <w:t>2.1. Приготовление сухой смеси. Асбест и нефелиновый антипирен взвешиваются на весовых дозаторах с погрешностью +- 1% по массе и перемешиваются в смесителе непрерывного действия.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1021"/>
      <w:bookmarkEnd w:id="86"/>
      <w:r>
        <w:rPr>
          <w:rFonts w:cs="Arial" w:ascii="Arial" w:hAnsi="Arial"/>
          <w:sz w:val="20"/>
          <w:szCs w:val="20"/>
        </w:rPr>
        <w:t>Время перемешивания - не менее 5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1022"/>
      <w:bookmarkEnd w:id="87"/>
      <w:r>
        <w:rPr>
          <w:rFonts w:cs="Arial" w:ascii="Arial" w:hAnsi="Arial"/>
          <w:sz w:val="20"/>
          <w:szCs w:val="20"/>
        </w:rPr>
        <w:t>2.2. Жидкое стекло разбавляется горячей водой температурой не более 80°С при постоянном перемешивании не менее 3 мин до плотности ро = 1,2 г/см3.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1022"/>
      <w:bookmarkEnd w:id="88"/>
      <w:r>
        <w:rPr>
          <w:rFonts w:cs="Arial" w:ascii="Arial" w:hAnsi="Arial"/>
          <w:sz w:val="20"/>
          <w:szCs w:val="20"/>
        </w:rPr>
        <w:t>Допускается разбавлять жидкое стекло холодной водой температурой 20 +- 5°С при условии увеличения времени перемешивания до 10 мин. Разбавленное жидкое стекло фильтруется через сито N 05 по ГОСТ 3584-73.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1023"/>
      <w:bookmarkEnd w:id="89"/>
      <w:r>
        <w:rPr>
          <w:rFonts w:cs="Arial" w:ascii="Arial" w:hAnsi="Arial"/>
          <w:sz w:val="20"/>
          <w:szCs w:val="20"/>
        </w:rPr>
        <w:t>2.3. Сухая смесь и жидкое стекло загружаются в соответствующие емкости аэродинамического действия.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1023"/>
      <w:bookmarkStart w:id="91" w:name="sub_1023"/>
      <w:bookmarkEnd w:id="9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2" w:name="sub_1003"/>
      <w:bookmarkEnd w:id="92"/>
      <w:r>
        <w:rPr>
          <w:rFonts w:cs="Arial" w:ascii="Arial" w:hAnsi="Arial"/>
          <w:b/>
          <w:bCs/>
          <w:sz w:val="20"/>
          <w:szCs w:val="20"/>
        </w:rPr>
        <w:t>3. Нанесение состава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3" w:name="sub_1003"/>
      <w:bookmarkStart w:id="94" w:name="sub_1003"/>
      <w:bookmarkEnd w:id="9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1031"/>
      <w:bookmarkEnd w:id="95"/>
      <w:r>
        <w:rPr>
          <w:rFonts w:cs="Arial" w:ascii="Arial" w:hAnsi="Arial"/>
          <w:sz w:val="20"/>
          <w:szCs w:val="20"/>
        </w:rPr>
        <w:t>3.1. Нанесение состава покрытия должно осуществляться на предприятии-изготовителе металлоконструкций или специализированной организацией непосредственно на строительной площадке.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1031"/>
      <w:bookmarkStart w:id="97" w:name="sub_1032"/>
      <w:bookmarkEnd w:id="96"/>
      <w:bookmarkEnd w:id="97"/>
      <w:r>
        <w:rPr>
          <w:rFonts w:cs="Arial" w:ascii="Arial" w:hAnsi="Arial"/>
          <w:sz w:val="20"/>
          <w:szCs w:val="20"/>
        </w:rPr>
        <w:t>3.2. Состав наносится на стальные конструкции, огрунтованные железным суриком по ГОСТ 8135-74 или грунтами типа ГФ - по ГОСТ 4056-63 или ГОСТ 12707-77 в соответствии с требованиями СНиП по проектированию защиты стальных конструкций от коррозии.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1032"/>
      <w:bookmarkStart w:id="99" w:name="sub_1033"/>
      <w:bookmarkEnd w:id="98"/>
      <w:bookmarkEnd w:id="99"/>
      <w:r>
        <w:rPr>
          <w:rFonts w:cs="Arial" w:ascii="Arial" w:hAnsi="Arial"/>
          <w:sz w:val="20"/>
          <w:szCs w:val="20"/>
        </w:rPr>
        <w:t>3.3. Поверхность конструкции смачивается жидким стеклом плотностью ро = 1,2 кг/см3, после чего наносится состав (сухая смесь и жидкое стекло) необходимой толщины напылением за один раз установкой аэродинамического действия при следующих режимах работы: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1033"/>
      <w:bookmarkEnd w:id="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 сжатого воздуха                                   3 кгс/см2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 жидкого стекла на выходе из пистолета           2,5 кгс/см2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от пистолета-распылителя до защищаемой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при направлении струи состава вверх      не более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от пистолета-распылителя до защищаемой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при   направлении    струи   состава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горизонтальном направлении и вниз                  не более 700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труднодоступных местах указанные расстояния могут быть сокращены до 200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1034"/>
      <w:bookmarkEnd w:id="101"/>
      <w:r>
        <w:rPr>
          <w:rFonts w:cs="Arial" w:ascii="Arial" w:hAnsi="Arial"/>
          <w:sz w:val="20"/>
          <w:szCs w:val="20"/>
        </w:rPr>
        <w:t>3.4. При нанесении на конструкции состава покрытия следует также соблюдать требования СНиП по отделочным покрытиям строительных конструкций, отделка поверхности покрытия должна выполняться в соответствии с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1034"/>
      <w:bookmarkStart w:id="103" w:name="sub_1035"/>
      <w:bookmarkEnd w:id="102"/>
      <w:bookmarkEnd w:id="103"/>
      <w:r>
        <w:rPr>
          <w:rFonts w:cs="Arial" w:ascii="Arial" w:hAnsi="Arial"/>
          <w:sz w:val="20"/>
          <w:szCs w:val="20"/>
        </w:rPr>
        <w:t>3.5. При нанесении состава покрытия температура окружающего воздуха должна быть не ниже 5°С, влажность воздуха - не выше 75%, кроме того, в условиях строительной площадки конструкции должны быть защищены от атмосферных осадков.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1035"/>
      <w:bookmarkStart w:id="105" w:name="sub_1036"/>
      <w:bookmarkEnd w:id="104"/>
      <w:bookmarkEnd w:id="105"/>
      <w:r>
        <w:rPr>
          <w:rFonts w:cs="Arial" w:ascii="Arial" w:hAnsi="Arial"/>
          <w:sz w:val="20"/>
          <w:szCs w:val="20"/>
        </w:rPr>
        <w:t>3.6. Сушка покрытия должна осуществляться в естественных условиях при температуре окружающего воздуха не ниже 5°С и влажности не выше 75% в течение не менее 48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1036"/>
      <w:bookmarkEnd w:id="106"/>
      <w:r>
        <w:rPr>
          <w:rFonts w:cs="Arial" w:ascii="Arial" w:hAnsi="Arial"/>
          <w:sz w:val="20"/>
          <w:szCs w:val="20"/>
        </w:rPr>
        <w:t>Допускается сушка при температуре 80-100°С не менее 5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1037"/>
      <w:bookmarkEnd w:id="107"/>
      <w:r>
        <w:rPr>
          <w:rFonts w:cs="Arial" w:ascii="Arial" w:hAnsi="Arial"/>
          <w:sz w:val="20"/>
          <w:szCs w:val="20"/>
        </w:rPr>
        <w:t>3.7. На высушенное покрытие в качестве гидроизоляции или отделки, если это предусмотрено проектом, может быть нанесена пентафталевая эмаль ПФ-115 по ГОСТ 6465-76 или химически стойкая эмаль ХС-534 по ТУ 6-10-801-76. Эмаль наносится в два слоя пневматическим краскораспылителем по ГОСТ 7385-73 при давлении сжатого воздуха до 5 кгс/см2.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1037"/>
      <w:bookmarkEnd w:id="108"/>
      <w:r>
        <w:rPr>
          <w:rFonts w:cs="Arial" w:ascii="Arial" w:hAnsi="Arial"/>
          <w:sz w:val="20"/>
          <w:szCs w:val="20"/>
        </w:rPr>
        <w:t>Допускается нанесение эмали валиком по ГОСТ 10831-72 в два слоя.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Нанесение и сушка эмали производится согласно нормативно-технической документации, утвержденной в установленном порядке, на эти виды эмали.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1038"/>
      <w:bookmarkEnd w:id="109"/>
      <w:r>
        <w:rPr>
          <w:rFonts w:cs="Arial" w:ascii="Arial" w:hAnsi="Arial"/>
          <w:sz w:val="20"/>
          <w:szCs w:val="20"/>
        </w:rPr>
        <w:t>3.8. Покрытие, поврежденное при нанесении, перевозке или в процессе монтажа, должно быть восстановлено в соответствии с требованиями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1038"/>
      <w:bookmarkStart w:id="111" w:name="sub_1038"/>
      <w:bookmarkEnd w:id="1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2" w:name="sub_1004"/>
      <w:bookmarkEnd w:id="112"/>
      <w:r>
        <w:rPr>
          <w:rFonts w:cs="Arial" w:ascii="Arial" w:hAnsi="Arial"/>
          <w:b/>
          <w:bCs/>
          <w:sz w:val="20"/>
          <w:szCs w:val="20"/>
        </w:rPr>
        <w:t>4.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3" w:name="sub_1004"/>
      <w:bookmarkStart w:id="114" w:name="sub_1004"/>
      <w:bookmarkEnd w:id="11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1041"/>
      <w:bookmarkEnd w:id="115"/>
      <w:r>
        <w:rPr>
          <w:rFonts w:cs="Arial" w:ascii="Arial" w:hAnsi="Arial"/>
          <w:sz w:val="20"/>
          <w:szCs w:val="20"/>
        </w:rPr>
        <w:t>4.1. При пооперационном контроле проверяются влажность асбеста, плотность жидкого стекла, тонкость помола антипирена, а также параметры нанесения (давление сжатого воздуха, давление жидкого стекла на выходе из пистолета, расстояние от пистолета-распылителя до защищаемой поверхности).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1041"/>
      <w:bookmarkStart w:id="117" w:name="sub_1042"/>
      <w:bookmarkEnd w:id="116"/>
      <w:bookmarkEnd w:id="117"/>
      <w:r>
        <w:rPr>
          <w:rFonts w:cs="Arial" w:ascii="Arial" w:hAnsi="Arial"/>
          <w:sz w:val="20"/>
          <w:szCs w:val="20"/>
        </w:rPr>
        <w:t>4.2. Влажность асбеста определяется по ГОСТ 17177-71.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1042"/>
      <w:bookmarkStart w:id="119" w:name="sub_1043"/>
      <w:bookmarkEnd w:id="118"/>
      <w:bookmarkEnd w:id="119"/>
      <w:r>
        <w:rPr>
          <w:rFonts w:cs="Arial" w:ascii="Arial" w:hAnsi="Arial"/>
          <w:sz w:val="20"/>
          <w:szCs w:val="20"/>
        </w:rPr>
        <w:t>4.3. Плотность жидкого стекла определяется с помощью ареометра по ГОСТ 1300-74.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1043"/>
      <w:bookmarkStart w:id="121" w:name="sub_1044"/>
      <w:bookmarkEnd w:id="120"/>
      <w:bookmarkEnd w:id="121"/>
      <w:r>
        <w:rPr>
          <w:rFonts w:cs="Arial" w:ascii="Arial" w:hAnsi="Arial"/>
          <w:sz w:val="20"/>
          <w:szCs w:val="20"/>
        </w:rPr>
        <w:t>4.4. Тонкость помола антипирена определяется по ГОСТ 3102-76.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1044"/>
      <w:bookmarkStart w:id="123" w:name="sub_1045"/>
      <w:bookmarkEnd w:id="122"/>
      <w:bookmarkEnd w:id="123"/>
      <w:r>
        <w:rPr>
          <w:rFonts w:cs="Arial" w:ascii="Arial" w:hAnsi="Arial"/>
          <w:sz w:val="20"/>
          <w:szCs w:val="20"/>
        </w:rPr>
        <w:t>4.5. Давление сжатого воздуха и давление жидкого стекла на выходе из пистолета контролируются при помощи манометра по ГОСТ 8625-77.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1045"/>
      <w:bookmarkStart w:id="125" w:name="sub_1045"/>
      <w:bookmarkEnd w:id="1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6" w:name="sub_1005"/>
      <w:bookmarkEnd w:id="126"/>
      <w:r>
        <w:rPr>
          <w:rFonts w:cs="Arial" w:ascii="Arial" w:hAnsi="Arial"/>
          <w:b/>
          <w:bCs/>
          <w:sz w:val="20"/>
          <w:szCs w:val="20"/>
        </w:rPr>
        <w:t>5. Техника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7" w:name="sub_1005"/>
      <w:bookmarkStart w:id="128" w:name="sub_1005"/>
      <w:bookmarkEnd w:id="12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1051"/>
      <w:bookmarkEnd w:id="129"/>
      <w:r>
        <w:rPr>
          <w:rFonts w:cs="Arial" w:ascii="Arial" w:hAnsi="Arial"/>
          <w:sz w:val="20"/>
          <w:szCs w:val="20"/>
        </w:rPr>
        <w:t>5.1. Место производства работ должно быть оборудовано приточно-вытяжной вентиляцией.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1051"/>
      <w:bookmarkStart w:id="131" w:name="sub_1052"/>
      <w:bookmarkEnd w:id="130"/>
      <w:bookmarkEnd w:id="131"/>
      <w:r>
        <w:rPr>
          <w:rFonts w:cs="Arial" w:ascii="Arial" w:hAnsi="Arial"/>
          <w:sz w:val="20"/>
          <w:szCs w:val="20"/>
        </w:rPr>
        <w:t>5.2. Лица, производящие нанесение покрытия, должны быть обеспечены средствами индивидуальной защиты: резиновыми перчатками, респираторами, защитными очками и плотными комбинезонами.</w:t>
      </w:r>
    </w:p>
    <w:p>
      <w:pPr>
        <w:pStyle w:val="Normal"/>
        <w:rPr>
          <w:rFonts w:ascii="Arial" w:hAnsi="Arial" w:cs="Arial"/>
          <w:sz w:val="20"/>
          <w:szCs w:val="20"/>
        </w:rPr>
      </w:pPr>
      <w:bookmarkStart w:id="132" w:name="sub_1052"/>
      <w:bookmarkStart w:id="133" w:name="sub_1052"/>
      <w:bookmarkEnd w:id="133"/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2007-05-02T14:11:00Z</dcterms:created>
  <dc:creator>VIKTOR</dc:creator>
  <dc:description/>
  <dc:language>ru-RU</dc:language>
  <cp:lastModifiedBy>VIKTOR</cp:lastModifiedBy>
  <dcterms:modified xsi:type="dcterms:W3CDTF">2007-05-02T14:11:00Z</dcterms:modified>
  <cp:revision>2</cp:revision>
  <dc:subject/>
  <dc:title/>
</cp:coreProperties>
</file>