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23790-79</w:t>
        <w:br/>
        <w:t>"Покрытие по древесине фосфатное огнезащитное. Технические требования"</w:t>
        <w:br/>
        <w:t>(утв. постановлением Госстроя СССР от 27 июля 1979 г. N 128)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Phosphates fire protective wood coating. Technical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1980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Требования к покрытию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Контроль качества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Приготовление и нанесение состава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фосфатное огнезащитное покрытие по древесине, наносимое на заводе или строительной площадке на конструкции из древесины или материалов на ее основе. Конструкции с покрытием относятся к группе трудносгораемых по ГОСТ 16363-76.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 основные требования к покрытию, компонентам для его приготовления и технологии нанесения.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Требования к покрытию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Покрытие следует применять для огнезащиты конструкций, эксплуатируемых внутри помещений с относительной влажностью воздуха не более 75%. Применение покрытия в условиях более высокой относительной влажности допускается при условии нанесения гидроизоляции на поверхность высохшего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Допускается до нанесения покрытия обработка конструкций водорастворимыми антисептиками и после нанесения покрытия - отделка лакокрасочными материалами.</w:t>
      </w:r>
    </w:p>
    <w:p>
      <w:pPr>
        <w:pStyle w:val="Normal"/>
        <w:autoSpaceDE w:val="false"/>
        <w:ind w:firstLine="720"/>
        <w:jc w:val="both"/>
        <w:rPr/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 xml:space="preserve">1.3. Покрытие должно состоять из двух или трех слоев, нанесенных в соответствии с требованиями, приведенными в обязательном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Толщина покрытия должна быть 0,6-0,8 мм. Норма расхода сухой смеси с учетом производственных потерь - 500-700 г на 1 м2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Start w:id="11" w:name="sub_15"/>
      <w:bookmarkEnd w:id="10"/>
      <w:bookmarkEnd w:id="11"/>
      <w:r>
        <w:rPr>
          <w:rFonts w:cs="Arial" w:ascii="Arial" w:hAnsi="Arial"/>
          <w:sz w:val="20"/>
          <w:szCs w:val="20"/>
        </w:rPr>
        <w:t>1.5. Покрытие не должно иметь трещин, отслоений и непрокрашенных мест. Не допускается наличие натеков толщиной более 1,5 мм. Количество натеков толщиной менее 1,5 мм не должно превышать 5 на 1 м2.</w:t>
      </w:r>
    </w:p>
    <w:p>
      <w:pPr>
        <w:pStyle w:val="Normal"/>
        <w:autoSpaceDE w:val="false"/>
        <w:ind w:firstLine="720"/>
        <w:jc w:val="both"/>
        <w:rPr/>
      </w:pPr>
      <w:bookmarkStart w:id="12" w:name="sub_15"/>
      <w:bookmarkStart w:id="13" w:name="sub_16"/>
      <w:bookmarkEnd w:id="12"/>
      <w:bookmarkEnd w:id="13"/>
      <w:r>
        <w:rPr>
          <w:rFonts w:cs="Arial" w:ascii="Arial" w:hAnsi="Arial"/>
          <w:sz w:val="20"/>
          <w:szCs w:val="20"/>
        </w:rPr>
        <w:t xml:space="preserve">1.6. Поверхность покрытия не должна подвергаться механической обработке. В случае обнажения поверхности при монтаже или при транспортировании на все поврежденные места следует нанести покрытие вторично в соответствии с </w:t>
      </w:r>
      <w:hyperlink w:anchor="sub_100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</w:t>
        </w:r>
      </w:hyperlink>
      <w:r>
        <w:rPr>
          <w:rFonts w:cs="Arial" w:ascii="Arial" w:hAnsi="Arial"/>
          <w:sz w:val="20"/>
          <w:szCs w:val="20"/>
        </w:rPr>
        <w:t xml:space="preserve"> обязательного приложения.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6"/>
      <w:bookmarkStart w:id="15" w:name="sub_17"/>
      <w:bookmarkEnd w:id="14"/>
      <w:bookmarkEnd w:id="15"/>
      <w:r>
        <w:rPr>
          <w:rFonts w:cs="Arial" w:ascii="Arial" w:hAnsi="Arial"/>
          <w:sz w:val="20"/>
          <w:szCs w:val="20"/>
        </w:rPr>
        <w:t>1.7. Конструкции после нанесения покрытия должны храниться в помещениях с влажностью воздуха не более 75%.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7"/>
      <w:bookmarkStart w:id="17" w:name="sub_18"/>
      <w:bookmarkEnd w:id="16"/>
      <w:bookmarkEnd w:id="17"/>
      <w:r>
        <w:rPr>
          <w:rFonts w:cs="Arial" w:ascii="Arial" w:hAnsi="Arial"/>
          <w:sz w:val="20"/>
          <w:szCs w:val="20"/>
        </w:rPr>
        <w:t>1.8. Конструкции с нанесенным покрытием должны перевозиться в соответствии с требованиями главы СНиП по организации строительного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8"/>
      <w:bookmarkStart w:id="19" w:name="sub_19"/>
      <w:bookmarkEnd w:id="18"/>
      <w:bookmarkEnd w:id="19"/>
      <w:r>
        <w:rPr>
          <w:rFonts w:cs="Arial" w:ascii="Arial" w:hAnsi="Arial"/>
          <w:sz w:val="20"/>
          <w:szCs w:val="20"/>
        </w:rPr>
        <w:t>1.9. Покрытие состоит из следующих компонентов: наполнителя, фосфатного связующего, антипирена и пигмента.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9"/>
      <w:bookmarkStart w:id="21" w:name="sub_110"/>
      <w:bookmarkEnd w:id="20"/>
      <w:bookmarkEnd w:id="21"/>
      <w:r>
        <w:rPr>
          <w:rFonts w:cs="Arial" w:ascii="Arial" w:hAnsi="Arial"/>
          <w:sz w:val="20"/>
          <w:szCs w:val="20"/>
        </w:rPr>
        <w:t>1.10. В качестве наполнителя должны применяться каолин или глина с содержанием (по массе) Аl2О3 не менее 30% и SiO2 не менее 40% и зола уноса ТЭС с содержанием SiO2 не менее 40% и Аl2О3 не менее 15%.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10"/>
      <w:bookmarkStart w:id="23" w:name="sub_111"/>
      <w:bookmarkEnd w:id="22"/>
      <w:bookmarkEnd w:id="23"/>
      <w:r>
        <w:rPr>
          <w:rFonts w:cs="Arial" w:ascii="Arial" w:hAnsi="Arial"/>
          <w:sz w:val="20"/>
          <w:szCs w:val="20"/>
        </w:rPr>
        <w:t>1.11. В качестве связующего должен применяться полиметафосфат натрия технический по ГОСТ 20291-74.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1"/>
      <w:bookmarkStart w:id="25" w:name="sub_112"/>
      <w:bookmarkEnd w:id="24"/>
      <w:bookmarkEnd w:id="25"/>
      <w:r>
        <w:rPr>
          <w:rFonts w:cs="Arial" w:ascii="Arial" w:hAnsi="Arial"/>
          <w:sz w:val="20"/>
          <w:szCs w:val="20"/>
        </w:rPr>
        <w:t>1.12. В качестве антипирена должны применяться гидроокись алюминия по нормативно-технической документации, утвержденной в установленном порядке, и технические мочевина по ГОСТ 6691-77 или тиомочевина по ГОСТ 6344-73.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12"/>
      <w:bookmarkStart w:id="27" w:name="sub_113"/>
      <w:bookmarkEnd w:id="26"/>
      <w:bookmarkEnd w:id="27"/>
      <w:r>
        <w:rPr>
          <w:rFonts w:cs="Arial" w:ascii="Arial" w:hAnsi="Arial"/>
          <w:sz w:val="20"/>
          <w:szCs w:val="20"/>
        </w:rPr>
        <w:t>1.13. В качестве пигмента должны применяться железный сурик по ГОСТ 8135-74 или окись цинка техническая по ГОСТ 10262-76.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13"/>
      <w:bookmarkStart w:id="29" w:name="sub_114"/>
      <w:bookmarkEnd w:id="28"/>
      <w:bookmarkEnd w:id="29"/>
      <w:r>
        <w:rPr>
          <w:rFonts w:cs="Arial" w:ascii="Arial" w:hAnsi="Arial"/>
          <w:sz w:val="20"/>
          <w:szCs w:val="20"/>
        </w:rPr>
        <w:t>1.14. Влажность компонентов не должна превышать 2%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14"/>
      <w:bookmarkStart w:id="31" w:name="sub_115"/>
      <w:bookmarkEnd w:id="30"/>
      <w:bookmarkEnd w:id="31"/>
      <w:r>
        <w:rPr>
          <w:rFonts w:cs="Arial" w:ascii="Arial" w:hAnsi="Arial"/>
          <w:sz w:val="20"/>
          <w:szCs w:val="20"/>
        </w:rPr>
        <w:t>1.15 Компоненты должны поставляться в полиэтиленовой таре, крафтмешках, фанерных или металлических бочонках и храниться в сухих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15"/>
      <w:bookmarkStart w:id="33" w:name="sub_116"/>
      <w:bookmarkEnd w:id="32"/>
      <w:bookmarkEnd w:id="33"/>
      <w:r>
        <w:rPr>
          <w:rFonts w:cs="Arial" w:ascii="Arial" w:hAnsi="Arial"/>
          <w:sz w:val="20"/>
          <w:szCs w:val="20"/>
        </w:rPr>
        <w:t>1.16. Состав сухой смеси покрытия (без учета производственных потерь) должен соответствовать приведенному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16"/>
      <w:bookmarkStart w:id="35" w:name="sub_116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компонента     │Норма расхода компонентов, % по массе│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Полиметафосфат натрия            │                 35-40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Гидроокись алюминия              │                 14-16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Каолин (глина)</w:t>
      </w:r>
      <w:hyperlink w:anchor="sub_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                  4-6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Зола уноса ТЭС                   │                 14-16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сурик (окись цинка)     │                  4-6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Мочевина (тиомочевина)</w:t>
      </w:r>
      <w:hyperlink w:anchor="sub_99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      18-22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991"/>
      <w:bookmarkEnd w:id="36"/>
      <w:r>
        <w:rPr>
          <w:rFonts w:cs="Arial" w:ascii="Arial" w:hAnsi="Arial"/>
          <w:sz w:val="20"/>
          <w:szCs w:val="20"/>
        </w:rPr>
        <w:t>* В скобках приведены наименования материалов - заменителей.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991"/>
      <w:bookmarkStart w:id="38" w:name="sub_992"/>
      <w:bookmarkEnd w:id="37"/>
      <w:bookmarkEnd w:id="38"/>
      <w:r>
        <w:rPr>
          <w:rFonts w:cs="Arial" w:ascii="Arial" w:hAnsi="Arial"/>
          <w:sz w:val="20"/>
          <w:szCs w:val="20"/>
        </w:rPr>
        <w:t>** При применении мочевины, последнюю следует хранить в отдельной таре и не допускать смешения с другими компонентами сухой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992"/>
      <w:bookmarkStart w:id="40" w:name="sub_992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" w:name="sub_200"/>
      <w:bookmarkEnd w:id="41"/>
      <w:r>
        <w:rPr>
          <w:rFonts w:cs="Arial" w:ascii="Arial" w:hAnsi="Arial"/>
          <w:b/>
          <w:bCs/>
          <w:sz w:val="20"/>
          <w:szCs w:val="20"/>
        </w:rPr>
        <w:t>2. Контроль качества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" w:name="sub_200"/>
      <w:bookmarkStart w:id="43" w:name="sub_200"/>
      <w:bookmarkEnd w:id="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"/>
      <w:bookmarkEnd w:id="44"/>
      <w:r>
        <w:rPr>
          <w:rFonts w:cs="Arial" w:ascii="Arial" w:hAnsi="Arial"/>
          <w:sz w:val="20"/>
          <w:szCs w:val="20"/>
        </w:rPr>
        <w:t>2.1. Готовое покрытие должно быть проверено на соответствие требованиям настоящего стандарта и принято отделом технического контроля предприятия-изготовителя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1"/>
      <w:bookmarkEnd w:id="45"/>
      <w:r>
        <w:rPr>
          <w:rFonts w:cs="Arial" w:ascii="Arial" w:hAnsi="Arial"/>
          <w:sz w:val="20"/>
          <w:szCs w:val="20"/>
        </w:rPr>
        <w:t>При нанесении покрытия на строительной площадке приемка готового покрытия производится организацией-заказчиком и оформляется актом произвольной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2"/>
      <w:bookmarkEnd w:id="46"/>
      <w:r>
        <w:rPr>
          <w:rFonts w:cs="Arial" w:ascii="Arial" w:hAnsi="Arial"/>
          <w:sz w:val="20"/>
          <w:szCs w:val="20"/>
        </w:rPr>
        <w:t>2.2. Приемка покрытия производится партиями. За партию принимается до 2000 м2 защищенной поверхности деревянных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2"/>
      <w:bookmarkStart w:id="48" w:name="sub_23"/>
      <w:bookmarkEnd w:id="47"/>
      <w:bookmarkEnd w:id="48"/>
      <w:r>
        <w:rPr>
          <w:rFonts w:cs="Arial" w:ascii="Arial" w:hAnsi="Arial"/>
          <w:sz w:val="20"/>
          <w:szCs w:val="20"/>
        </w:rPr>
        <w:t>2.3. При приемке производится контрольная проверка внешнего вида покрытия и его толщины.</w:t>
      </w:r>
    </w:p>
    <w:p>
      <w:pPr>
        <w:pStyle w:val="Normal"/>
        <w:autoSpaceDE w:val="false"/>
        <w:ind w:firstLine="720"/>
        <w:jc w:val="both"/>
        <w:rPr/>
      </w:pPr>
      <w:bookmarkStart w:id="49" w:name="sub_23"/>
      <w:bookmarkStart w:id="50" w:name="sub_24"/>
      <w:bookmarkEnd w:id="49"/>
      <w:bookmarkEnd w:id="50"/>
      <w:r>
        <w:rPr>
          <w:rFonts w:cs="Arial" w:ascii="Arial" w:hAnsi="Arial"/>
          <w:sz w:val="20"/>
          <w:szCs w:val="20"/>
        </w:rPr>
        <w:t>2.4. Контрольной проверке внешнего вида покрытия (</w:t>
      </w:r>
      <w:hyperlink w:anchor="sub_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1.5</w:t>
        </w:r>
      </w:hyperlink>
      <w:r>
        <w:rPr>
          <w:rFonts w:cs="Arial" w:ascii="Arial" w:hAnsi="Arial"/>
          <w:sz w:val="20"/>
          <w:szCs w:val="20"/>
        </w:rPr>
        <w:t>) подвергается каждая конструкция.</w:t>
      </w:r>
    </w:p>
    <w:p>
      <w:pPr>
        <w:pStyle w:val="Normal"/>
        <w:autoSpaceDE w:val="false"/>
        <w:ind w:firstLine="720"/>
        <w:jc w:val="both"/>
        <w:rPr/>
      </w:pPr>
      <w:bookmarkStart w:id="51" w:name="sub_24"/>
      <w:bookmarkStart w:id="52" w:name="sub_25"/>
      <w:bookmarkEnd w:id="51"/>
      <w:bookmarkEnd w:id="52"/>
      <w:r>
        <w:rPr>
          <w:rFonts w:cs="Arial" w:ascii="Arial" w:hAnsi="Arial"/>
          <w:sz w:val="20"/>
          <w:szCs w:val="20"/>
        </w:rPr>
        <w:t xml:space="preserve">2.5. Если при проверке внешнего вида покрытия окажется, что более 10% конструкций в партии не удовлетворяют требованиям </w:t>
      </w:r>
      <w:hyperlink w:anchor="sub_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1.5</w:t>
        </w:r>
      </w:hyperlink>
      <w:r>
        <w:rPr>
          <w:rFonts w:cs="Arial" w:ascii="Arial" w:hAnsi="Arial"/>
          <w:sz w:val="20"/>
          <w:szCs w:val="20"/>
        </w:rPr>
        <w:t>, то партия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5"/>
      <w:bookmarkStart w:id="54" w:name="sub_26"/>
      <w:bookmarkEnd w:id="53"/>
      <w:bookmarkEnd w:id="54"/>
      <w:r>
        <w:rPr>
          <w:rFonts w:cs="Arial" w:ascii="Arial" w:hAnsi="Arial"/>
          <w:sz w:val="20"/>
          <w:szCs w:val="20"/>
        </w:rPr>
        <w:t>2.6. Проверке толщины покрытия должны подвергаться не менее 10 конструкций от каждой партии при помощи штангенциркуля по ГОСТ 166-73 с точностью +- 0,1 мм. За результат принимается среднее арифметическое значение 10 измерений.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26"/>
      <w:bookmarkStart w:id="56" w:name="sub_26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7" w:name="sub_230765716"/>
      <w:bookmarkEnd w:id="57"/>
      <w:r>
        <w:rPr>
          <w:rFonts w:cs="Arial" w:ascii="Arial" w:hAnsi="Arial"/>
          <w:i/>
          <w:iCs/>
          <w:sz w:val="20"/>
          <w:szCs w:val="20"/>
        </w:rPr>
        <w:t>См. ГОСТ 166-89 "Штангенциркули. Технические условия", введенный в действие с 1 января 1991 г. постановлением Госстандарта СССР от 30 октября 1989 г. N 3253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8" w:name="sub_230765716"/>
      <w:bookmarkStart w:id="59" w:name="sub_230765716"/>
      <w:bookmarkEnd w:id="5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неудовлетворительных результатах проверки партия приемке не подлежит.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1000"/>
      <w:bookmarkEnd w:id="60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1000"/>
      <w:bookmarkEnd w:id="61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Приготовление и нанесение состава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Приготовление состава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Нанесение состава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Техника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2" w:name="sub_1001"/>
      <w:bookmarkEnd w:id="62"/>
      <w:r>
        <w:rPr>
          <w:rFonts w:cs="Arial" w:ascii="Arial" w:hAnsi="Arial"/>
          <w:b/>
          <w:bCs/>
          <w:sz w:val="20"/>
          <w:szCs w:val="20"/>
        </w:rPr>
        <w:t>1.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3" w:name="sub_1001"/>
      <w:bookmarkStart w:id="64" w:name="sub_1001"/>
      <w:bookmarkEnd w:id="6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5" w:name="sub_1011"/>
      <w:bookmarkEnd w:id="65"/>
      <w:r>
        <w:rPr>
          <w:rFonts w:cs="Arial" w:ascii="Arial" w:hAnsi="Arial"/>
          <w:sz w:val="20"/>
          <w:szCs w:val="20"/>
        </w:rPr>
        <w:t xml:space="preserve">1.1. Материалы, применяемые для приготовления сухой смеси, должны удовлетворять требованиям </w:t>
      </w:r>
      <w:hyperlink w:anchor="sub_1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1.10-1.14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011"/>
      <w:bookmarkStart w:id="67" w:name="sub_1011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8" w:name="sub_1002"/>
      <w:bookmarkEnd w:id="68"/>
      <w:r>
        <w:rPr>
          <w:rFonts w:cs="Arial" w:ascii="Arial" w:hAnsi="Arial"/>
          <w:b/>
          <w:bCs/>
          <w:sz w:val="20"/>
          <w:szCs w:val="20"/>
        </w:rPr>
        <w:t>2. Приготовление состава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9" w:name="sub_1002"/>
      <w:bookmarkStart w:id="70" w:name="sub_1002"/>
      <w:bookmarkEnd w:id="7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1021"/>
      <w:bookmarkEnd w:id="71"/>
      <w:r>
        <w:rPr>
          <w:rFonts w:cs="Arial" w:ascii="Arial" w:hAnsi="Arial"/>
          <w:sz w:val="20"/>
          <w:szCs w:val="20"/>
        </w:rPr>
        <w:t>2.1. Приготовление состава покрытия должно состоять из следующих операций: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021"/>
      <w:bookmarkEnd w:id="72"/>
      <w:r>
        <w:rPr>
          <w:rFonts w:cs="Arial" w:ascii="Arial" w:hAnsi="Arial"/>
          <w:sz w:val="20"/>
          <w:szCs w:val="20"/>
        </w:rPr>
        <w:t>приготовление сухой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приготовление шликера.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1022"/>
      <w:bookmarkEnd w:id="73"/>
      <w:r>
        <w:rPr>
          <w:rFonts w:cs="Arial" w:ascii="Arial" w:hAnsi="Arial"/>
          <w:sz w:val="20"/>
          <w:szCs w:val="20"/>
        </w:rPr>
        <w:t>2.2. Приготовление сухой смеси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1022"/>
      <w:bookmarkStart w:id="75" w:name="sub_10221"/>
      <w:bookmarkEnd w:id="74"/>
      <w:bookmarkEnd w:id="75"/>
      <w:r>
        <w:rPr>
          <w:rFonts w:cs="Arial" w:ascii="Arial" w:hAnsi="Arial"/>
          <w:sz w:val="20"/>
          <w:szCs w:val="20"/>
        </w:rPr>
        <w:t>2.2.1. Приготовление сухой смеси осуществляется централизованным порядком в заводских условиях. При небольших объемах работ допускается приготовление сухой смеси на строительной площадке; при этом должна быть обеспечена защита компонентов и оборудования от увлажнения и загрязнения.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10221"/>
      <w:bookmarkStart w:id="77" w:name="sub_10222"/>
      <w:bookmarkEnd w:id="76"/>
      <w:bookmarkEnd w:id="77"/>
      <w:r>
        <w:rPr>
          <w:rFonts w:cs="Arial" w:ascii="Arial" w:hAnsi="Arial"/>
          <w:sz w:val="20"/>
          <w:szCs w:val="20"/>
        </w:rPr>
        <w:t>2.2.2. Компоненты смеси, имеющие влажность более 2% по массе, должны быть высушены при температуре не более 100 +- 10°С в любом сушильном оборудовании (сушильный шкаф, печь, барабан).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10222"/>
      <w:bookmarkStart w:id="79" w:name="sub_10223"/>
      <w:bookmarkEnd w:id="78"/>
      <w:bookmarkEnd w:id="79"/>
      <w:r>
        <w:rPr>
          <w:rFonts w:cs="Arial" w:ascii="Arial" w:hAnsi="Arial"/>
          <w:sz w:val="20"/>
          <w:szCs w:val="20"/>
        </w:rPr>
        <w:t>2.2.3. Полиметафосфат натрия, глина и тиомочевина должны быть раздроблены в щековых дробилках до частиц размером не более 1,5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10223"/>
      <w:bookmarkStart w:id="81" w:name="sub_10224"/>
      <w:bookmarkEnd w:id="80"/>
      <w:bookmarkEnd w:id="81"/>
      <w:r>
        <w:rPr>
          <w:rFonts w:cs="Arial" w:ascii="Arial" w:hAnsi="Arial"/>
          <w:sz w:val="20"/>
          <w:szCs w:val="20"/>
        </w:rPr>
        <w:t>2.2.4. Дозирование компонентов производят весовым дозатором с погрешностью не более +- 0,1%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10224"/>
      <w:bookmarkStart w:id="83" w:name="sub_10225"/>
      <w:bookmarkEnd w:id="82"/>
      <w:bookmarkEnd w:id="83"/>
      <w:r>
        <w:rPr>
          <w:rFonts w:cs="Arial" w:ascii="Arial" w:hAnsi="Arial"/>
          <w:sz w:val="20"/>
          <w:szCs w:val="20"/>
        </w:rPr>
        <w:t>2.2.5. Смешение и помол компонентов осуществляют в шаровой мельнице с фарфоровыми мелящими телами до тонкости помола не более 2% по массе остатка на сите N 018 по ГОСТ 3584-73.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10225"/>
      <w:bookmarkStart w:id="85" w:name="sub_10226"/>
      <w:bookmarkEnd w:id="84"/>
      <w:bookmarkEnd w:id="85"/>
      <w:r>
        <w:rPr>
          <w:rFonts w:cs="Arial" w:ascii="Arial" w:hAnsi="Arial"/>
          <w:sz w:val="20"/>
          <w:szCs w:val="20"/>
        </w:rPr>
        <w:t>2.2.6. Объемная масса сухой смеси в уплотненном состоянии не должна превышать 215 кг/м3.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10226"/>
      <w:bookmarkStart w:id="87" w:name="sub_10227"/>
      <w:bookmarkEnd w:id="86"/>
      <w:bookmarkEnd w:id="87"/>
      <w:r>
        <w:rPr>
          <w:rFonts w:cs="Arial" w:ascii="Arial" w:hAnsi="Arial"/>
          <w:sz w:val="20"/>
          <w:szCs w:val="20"/>
        </w:rPr>
        <w:t>2.2.7. Сухая смесь должна храниться в полиэтиленовой таре, крафтмешках, фанерных и металлических бочонках в течение не более 1 года в сухих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10227"/>
      <w:bookmarkStart w:id="89" w:name="sub_1023"/>
      <w:bookmarkEnd w:id="88"/>
      <w:bookmarkEnd w:id="89"/>
      <w:r>
        <w:rPr>
          <w:rFonts w:cs="Arial" w:ascii="Arial" w:hAnsi="Arial"/>
          <w:sz w:val="20"/>
          <w:szCs w:val="20"/>
        </w:rPr>
        <w:t>2.3. Приготовление шликера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1023"/>
      <w:bookmarkStart w:id="91" w:name="sub_10231"/>
      <w:bookmarkEnd w:id="90"/>
      <w:bookmarkEnd w:id="91"/>
      <w:r>
        <w:rPr>
          <w:rFonts w:cs="Arial" w:ascii="Arial" w:hAnsi="Arial"/>
          <w:sz w:val="20"/>
          <w:szCs w:val="20"/>
        </w:rPr>
        <w:t>2.3.1. Приготовление шликера осуществляют в лопастных мешалках периодического действия. Допускается приготовление шликера вручную в металлической емкости.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10231"/>
      <w:bookmarkStart w:id="93" w:name="sub_10232"/>
      <w:bookmarkEnd w:id="92"/>
      <w:bookmarkEnd w:id="93"/>
      <w:r>
        <w:rPr>
          <w:rFonts w:cs="Arial" w:ascii="Arial" w:hAnsi="Arial"/>
          <w:sz w:val="20"/>
          <w:szCs w:val="20"/>
        </w:rPr>
        <w:t>2.3.2. Порядок приготовления шликера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10232"/>
      <w:bookmarkEnd w:id="94"/>
      <w:r>
        <w:rPr>
          <w:rFonts w:cs="Arial" w:ascii="Arial" w:hAnsi="Arial"/>
          <w:sz w:val="20"/>
          <w:szCs w:val="20"/>
        </w:rPr>
        <w:t>В чистую мешалку заливают необходимое количество воды, подогретой до температуры 20-70°С, загружают сухую смесь и перемешивают до получения однородного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применении мочевины ее предварительно растворяют в воде, а затем в полученный раствор загружают остальную сухую смесь.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10233"/>
      <w:bookmarkEnd w:id="95"/>
      <w:r>
        <w:rPr>
          <w:rFonts w:cs="Arial" w:ascii="Arial" w:hAnsi="Arial"/>
          <w:sz w:val="20"/>
          <w:szCs w:val="20"/>
        </w:rPr>
        <w:t>2.3.3. Состав шликера должен соответствовать приведенному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0233"/>
      <w:bookmarkStart w:id="97" w:name="sub_10233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компонентов     │Количество компонентов (вес. части)│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Сухая смесь (с тиомочевиной)       │                 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водопроводная                 │                 4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применении мочевины сухая смесь (без мочевины) составляет 4 вес. части и мочевина - 1 вес. часть.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10234"/>
      <w:bookmarkEnd w:id="98"/>
      <w:r>
        <w:rPr>
          <w:rFonts w:cs="Arial" w:ascii="Arial" w:hAnsi="Arial"/>
          <w:sz w:val="20"/>
          <w:szCs w:val="20"/>
        </w:rPr>
        <w:t>2.3.4. Вязкость шликера должна быть не более 20 с по вискозиметру ВЗ-4 при нанесении покрытия пневмораспылением и не более 40 с при нанесении кистью или валиком.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10234"/>
      <w:bookmarkStart w:id="100" w:name="sub_10235"/>
      <w:bookmarkEnd w:id="99"/>
      <w:bookmarkEnd w:id="100"/>
      <w:r>
        <w:rPr>
          <w:rFonts w:cs="Arial" w:ascii="Arial" w:hAnsi="Arial"/>
          <w:sz w:val="20"/>
          <w:szCs w:val="20"/>
        </w:rPr>
        <w:t>2.3.5. Приготовленный шликер процеживают через сито по ГОСТ 3584-73 с отверстиями в свету не более 1 мм. Если остаток на сите превышает 2% (по массе), перемешивание повторяют.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10235"/>
      <w:bookmarkStart w:id="102" w:name="sub_10236"/>
      <w:bookmarkEnd w:id="101"/>
      <w:bookmarkEnd w:id="102"/>
      <w:r>
        <w:rPr>
          <w:rFonts w:cs="Arial" w:ascii="Arial" w:hAnsi="Arial"/>
          <w:sz w:val="20"/>
          <w:szCs w:val="20"/>
        </w:rPr>
        <w:t>2.3.6. Шликер должен храниться без потери свойств в герметично закрытой таре в сухих помещениях при температуре не менее 5°С в течение не более 6 месяцев. В случае загустевания шликер разбавляют водой температурой 20-70°С до требуемой вязкости.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10236"/>
      <w:bookmarkStart w:id="104" w:name="sub_10236"/>
      <w:bookmarkEnd w:id="1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5" w:name="sub_1003"/>
      <w:bookmarkEnd w:id="105"/>
      <w:r>
        <w:rPr>
          <w:rFonts w:cs="Arial" w:ascii="Arial" w:hAnsi="Arial"/>
          <w:b/>
          <w:bCs/>
          <w:sz w:val="20"/>
          <w:szCs w:val="20"/>
        </w:rPr>
        <w:t>3. Нанесение состава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6" w:name="sub_1003"/>
      <w:bookmarkStart w:id="107" w:name="sub_1003"/>
      <w:bookmarkEnd w:id="10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1031"/>
      <w:bookmarkEnd w:id="108"/>
      <w:r>
        <w:rPr>
          <w:rFonts w:cs="Arial" w:ascii="Arial" w:hAnsi="Arial"/>
          <w:sz w:val="20"/>
          <w:szCs w:val="20"/>
        </w:rPr>
        <w:t>3.1. Поверхность конструкции перед нанесением должна быть полностью очищена от жировых пятен, пятен органических красок и загрязнения с последующей обдувкой сжатым воздухом.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1031"/>
      <w:bookmarkStart w:id="110" w:name="sub_1032"/>
      <w:bookmarkEnd w:id="109"/>
      <w:bookmarkEnd w:id="110"/>
      <w:r>
        <w:rPr>
          <w:rFonts w:cs="Arial" w:ascii="Arial" w:hAnsi="Arial"/>
          <w:sz w:val="20"/>
          <w:szCs w:val="20"/>
        </w:rPr>
        <w:t>3.2. Покрытие должно наноситься на конструкцию, имеющую влажность не более 16%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1032"/>
      <w:bookmarkStart w:id="112" w:name="sub_1033"/>
      <w:bookmarkEnd w:id="111"/>
      <w:bookmarkEnd w:id="112"/>
      <w:r>
        <w:rPr>
          <w:rFonts w:cs="Arial" w:ascii="Arial" w:hAnsi="Arial"/>
          <w:sz w:val="20"/>
          <w:szCs w:val="20"/>
        </w:rPr>
        <w:t>3.3. Нанесение состава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1033"/>
      <w:bookmarkStart w:id="114" w:name="sub_10331"/>
      <w:bookmarkEnd w:id="113"/>
      <w:bookmarkEnd w:id="114"/>
      <w:r>
        <w:rPr>
          <w:rFonts w:cs="Arial" w:ascii="Arial" w:hAnsi="Arial"/>
          <w:sz w:val="20"/>
          <w:szCs w:val="20"/>
        </w:rPr>
        <w:t>3.3.1. Покрытие наносится в три слоя пневмораспылением при помощи насосов типа БНР по нормативно-технической документации, утвержденной в установленном порядке, или пистолета-краскораспылителя по ГОСТ 7385-73 при давлении воздуха до 5 кгс/см2. Расстояние от форсунки распылителя до поверхности конструкции должно быть при нанесении покрытия при помощи пистолета-краскораспылителя не более 40 см, а при нанесении при помощи насоса БНР - не более 70 см. Допускается наносить покрытие вручную в два слоя малярной кистью по ГОСТ 10597-70 или валиком по ГОСТ 10831-72.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10331"/>
      <w:bookmarkStart w:id="116" w:name="sub_10332"/>
      <w:bookmarkEnd w:id="115"/>
      <w:bookmarkEnd w:id="116"/>
      <w:r>
        <w:rPr>
          <w:rFonts w:cs="Arial" w:ascii="Arial" w:hAnsi="Arial"/>
          <w:sz w:val="20"/>
          <w:szCs w:val="20"/>
        </w:rPr>
        <w:t>3.3.2. Каждый свеженанесенный слой покрытия должен быть высушен при температуре не более 50°С до исчезновения влажных пятен. Допускается сушка покрытия в естественных условиях при температуре окружающего воздуха не менее 10°С. Время сушки покрытия при температуре 50°С - 2ч, в естественных условиях - до 24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10332"/>
      <w:bookmarkStart w:id="118" w:name="sub_10333"/>
      <w:bookmarkEnd w:id="117"/>
      <w:bookmarkEnd w:id="118"/>
      <w:r>
        <w:rPr>
          <w:rFonts w:cs="Arial" w:ascii="Arial" w:hAnsi="Arial"/>
          <w:sz w:val="20"/>
          <w:szCs w:val="20"/>
        </w:rPr>
        <w:t>3.3.3. Для предохранения от увлажнения покрытия конструкций, эксплуатируемых в помещениях с относительной влажностью воздуха более 75%, а также при необходимости декоративной отделки покрытие должно быть защищено пентафталевой эмалью марки ПФ-115 по ГОСТ 6465-76 или эмалью ХС-534 по ТУ 6-10-801-76.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10333"/>
      <w:bookmarkStart w:id="120" w:name="sub_10334"/>
      <w:bookmarkEnd w:id="119"/>
      <w:bookmarkEnd w:id="120"/>
      <w:r>
        <w:rPr>
          <w:rFonts w:cs="Arial" w:ascii="Arial" w:hAnsi="Arial"/>
          <w:sz w:val="20"/>
          <w:szCs w:val="20"/>
        </w:rPr>
        <w:t>3.3.4. Пентафталевая эмаль или эмаль ХС наносятся на высушенное покрытие в два слоя при помощи пистолета-краскораспылителя по ГОСТ 7385-73 или вручную кистью по ГОСТ 10597-70, или валиком по ГОСТ 10831-72.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10334"/>
      <w:bookmarkStart w:id="122" w:name="sub_10334"/>
      <w:bookmarkEnd w:id="1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3" w:name="sub_1004"/>
      <w:bookmarkEnd w:id="123"/>
      <w:r>
        <w:rPr>
          <w:rFonts w:cs="Arial" w:ascii="Arial" w:hAnsi="Arial"/>
          <w:b/>
          <w:bCs/>
          <w:sz w:val="20"/>
          <w:szCs w:val="20"/>
        </w:rPr>
        <w:t>4.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4" w:name="sub_1004"/>
      <w:bookmarkStart w:id="125" w:name="sub_1004"/>
      <w:bookmarkEnd w:id="1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1041"/>
      <w:bookmarkEnd w:id="126"/>
      <w:r>
        <w:rPr>
          <w:rFonts w:cs="Arial" w:ascii="Arial" w:hAnsi="Arial"/>
          <w:sz w:val="20"/>
          <w:szCs w:val="20"/>
        </w:rPr>
        <w:t>4.1. Определение объемной массы сухой смеси в уплотненном состоянии производят по ГОСТ 21119.6-75.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1041"/>
      <w:bookmarkStart w:id="128" w:name="sub_1042"/>
      <w:bookmarkEnd w:id="127"/>
      <w:bookmarkEnd w:id="128"/>
      <w:r>
        <w:rPr>
          <w:rFonts w:cs="Arial" w:ascii="Arial" w:hAnsi="Arial"/>
          <w:sz w:val="20"/>
          <w:szCs w:val="20"/>
        </w:rPr>
        <w:t>4.2. Определение тонкости помола сухого состава производят по ГОСТ 310.2-76.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1042"/>
      <w:bookmarkStart w:id="130" w:name="sub_1043"/>
      <w:bookmarkEnd w:id="129"/>
      <w:bookmarkEnd w:id="130"/>
      <w:r>
        <w:rPr>
          <w:rFonts w:cs="Arial" w:ascii="Arial" w:hAnsi="Arial"/>
          <w:sz w:val="20"/>
          <w:szCs w:val="20"/>
        </w:rPr>
        <w:t>4.3. Определение влажности древесины конструкций производят по ГОСТ 16588-71. За результат принимают среднее арифметическое значение 10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1043"/>
      <w:bookmarkStart w:id="132" w:name="sub_1044"/>
      <w:bookmarkEnd w:id="131"/>
      <w:bookmarkEnd w:id="132"/>
      <w:r>
        <w:rPr>
          <w:rFonts w:cs="Arial" w:ascii="Arial" w:hAnsi="Arial"/>
          <w:sz w:val="20"/>
          <w:szCs w:val="20"/>
        </w:rPr>
        <w:t>4.4. Определение влажности компонентов сухой смеси производят по ГОСТ 5382-73.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1044"/>
      <w:bookmarkStart w:id="134" w:name="sub_1045"/>
      <w:bookmarkEnd w:id="133"/>
      <w:bookmarkEnd w:id="134"/>
      <w:r>
        <w:rPr>
          <w:rFonts w:cs="Arial" w:ascii="Arial" w:hAnsi="Arial"/>
          <w:sz w:val="20"/>
          <w:szCs w:val="20"/>
        </w:rPr>
        <w:t>4.5. Отбор пробы сухих материалов производят по ГОСТ 9179-77.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1045"/>
      <w:bookmarkStart w:id="136" w:name="sub_1046"/>
      <w:bookmarkEnd w:id="135"/>
      <w:bookmarkEnd w:id="136"/>
      <w:r>
        <w:rPr>
          <w:rFonts w:cs="Arial" w:ascii="Arial" w:hAnsi="Arial"/>
          <w:sz w:val="20"/>
          <w:szCs w:val="20"/>
        </w:rPr>
        <w:t>4.6. Вязкость шликера определяют по ГОСТ 8420-74. Отбор пробы производят по ГОСТ 5802-78.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1046"/>
      <w:bookmarkStart w:id="138" w:name="sub_1046"/>
      <w:bookmarkEnd w:id="1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9" w:name="sub_1005"/>
      <w:bookmarkEnd w:id="139"/>
      <w:r>
        <w:rPr>
          <w:rFonts w:cs="Arial" w:ascii="Arial" w:hAnsi="Arial"/>
          <w:b/>
          <w:bCs/>
          <w:sz w:val="20"/>
          <w:szCs w:val="20"/>
        </w:rPr>
        <w:t>5. Техника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0" w:name="sub_1005"/>
      <w:bookmarkStart w:id="141" w:name="sub_1005"/>
      <w:bookmarkEnd w:id="14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1051"/>
      <w:bookmarkEnd w:id="142"/>
      <w:r>
        <w:rPr>
          <w:rFonts w:cs="Arial" w:ascii="Arial" w:hAnsi="Arial"/>
          <w:sz w:val="20"/>
          <w:szCs w:val="20"/>
        </w:rPr>
        <w:t>5.1. Помещение, в котором производится приготовление сухого состава, должно быть оборудовано приточно-вытяжной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1051"/>
      <w:bookmarkStart w:id="144" w:name="sub_1052"/>
      <w:bookmarkEnd w:id="143"/>
      <w:bookmarkEnd w:id="144"/>
      <w:r>
        <w:rPr>
          <w:rFonts w:cs="Arial" w:ascii="Arial" w:hAnsi="Arial"/>
          <w:sz w:val="20"/>
          <w:szCs w:val="20"/>
        </w:rPr>
        <w:t>5.2. Приготовление шликера и его нанесение на конструкции следует производить в защитных очках, респираторе, прорезиненном комбинезоне и перчатках.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1052"/>
      <w:bookmarkStart w:id="146" w:name="sub_1053"/>
      <w:bookmarkEnd w:id="145"/>
      <w:bookmarkEnd w:id="146"/>
      <w:r>
        <w:rPr>
          <w:rFonts w:cs="Arial" w:ascii="Arial" w:hAnsi="Arial"/>
          <w:sz w:val="20"/>
          <w:szCs w:val="20"/>
        </w:rPr>
        <w:t>5.3. При попадании шликера на кожу необходимо это место тщательно протереть ватой или ветошью, а затем смыть водой с мылом.</w:t>
      </w:r>
    </w:p>
    <w:p>
      <w:pPr>
        <w:pStyle w:val="Normal"/>
        <w:rPr>
          <w:rFonts w:ascii="Arial" w:hAnsi="Arial" w:cs="Arial"/>
          <w:sz w:val="20"/>
          <w:szCs w:val="20"/>
        </w:rPr>
      </w:pPr>
      <w:bookmarkStart w:id="147" w:name="sub_1053"/>
      <w:bookmarkStart w:id="148" w:name="sub_1053"/>
      <w:bookmarkEnd w:id="148"/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2007-05-02T14:10:00Z</dcterms:created>
  <dc:creator>VIKTOR</dc:creator>
  <dc:description/>
  <dc:language>ru-RU</dc:language>
  <cp:lastModifiedBy>VIKTOR</cp:lastModifiedBy>
  <dcterms:modified xsi:type="dcterms:W3CDTF">2007-05-02T14:10:00Z</dcterms:modified>
  <cp:revision>2</cp:revision>
  <dc:subject/>
  <dc:title/>
</cp:coreProperties>
</file>