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23668-79</w:t>
        <w:br/>
        <w:t>"Камень брусчатый для дорожных покрытий. Технические условия"</w:t>
        <w:br/>
        <w:t>(утв. постановлением Госстроя СССР от 22 мая 1979 г. N 73)</w:t>
        <w:br/>
        <w:t>(с изменениями от 4 декабря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Stone Blocks for Road Surfaces.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поставщика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брусчатый камень, изготовляемый из изверженных горных пород или из литых огненно-жидких металлургических шлаков и литых горных пород и предназначаемый для устройства покрытий на городских площадях, улицах, трамвайных путях и городских автомобильных дорогах.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Брусчатый камень должен иметь форму усеченной пирамиды с параллельными прямоугольными верхним и нижним основаниями, перпендикулярными оси. При механизированном производстве допускается изготовление брусчатых камней в виде прямоугольных параллелепипедов.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 зависимости от размеров брусчатые камни подразделяются на три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высокие (БВ);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средние (БС);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низкие (БН).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назначения брусчатый камень подразделяют на две категории: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для устройства покрытий городских площадей и улиц, имеющих архитектурно-историческое 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для улиц, площадей, трамвайных путей и городских автомобильных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Размеры камней должны соответствовать указанным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камня   │  Длина верхней   │ Ширина верхней  │     Высота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       │      грани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БВ       │       250        │       125       │       160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       │       250        │       125       │       130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     │       200        │       100       │    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1.4. Камни типов БВ и БС укладывают, в основном, на песчаное основание, а типа БН - на бетонные или другие виды прочных оснований.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Start w:id="15" w:name="sub_15"/>
      <w:bookmarkEnd w:id="14"/>
      <w:bookmarkEnd w:id="15"/>
      <w:r>
        <w:rPr>
          <w:rFonts w:cs="Arial" w:ascii="Arial" w:hAnsi="Arial"/>
          <w:sz w:val="20"/>
          <w:szCs w:val="20"/>
        </w:rPr>
        <w:t>1.5. Проекция нижней грани камней должна целиком вписываться в контур верхней грани. Величина скоса (отклонения проекции стороны верхней грани от нижней) для камней типа БН должна быть с каждой стороны в пределах от 3 до 5 мм, типов БВ и БС - от 7 до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Start w:id="17" w:name="sub_16"/>
      <w:bookmarkEnd w:id="16"/>
      <w:bookmarkEnd w:id="17"/>
      <w:r>
        <w:rPr>
          <w:rFonts w:cs="Arial" w:ascii="Arial" w:hAnsi="Arial"/>
          <w:sz w:val="20"/>
          <w:szCs w:val="20"/>
        </w:rPr>
        <w:t>1.6. На боковых гранях камня не должно быть выступов, препятствующих плотному прилеганию одного камня к другому.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bookmarkStart w:id="19" w:name="sub_1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"/>
      <w:bookmarkStart w:id="22" w:name="sub_2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>2.1. Брусчатые камни должны изготовляться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Start w:id="25" w:name="sub_22"/>
      <w:bookmarkEnd w:id="24"/>
      <w:bookmarkEnd w:id="25"/>
      <w:r>
        <w:rPr>
          <w:rFonts w:cs="Arial" w:ascii="Arial" w:hAnsi="Arial"/>
          <w:sz w:val="20"/>
          <w:szCs w:val="20"/>
        </w:rPr>
        <w:t>2.2. Верхние грани камней должны иметь шероховатость (рифление) поверхности с выступами и впадинами высотой или глубиной 2 - 3 мм, обеспечивающую сцепление шин автомобилей с поверхностью покрытий, соответствующее коэффициенту сцепления, равному 0,50 - 0,55.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"/>
      <w:bookmarkStart w:id="27" w:name="sub_23"/>
      <w:bookmarkEnd w:id="26"/>
      <w:bookmarkEnd w:id="27"/>
      <w:r>
        <w:rPr>
          <w:rFonts w:cs="Arial" w:ascii="Arial" w:hAnsi="Arial"/>
          <w:sz w:val="20"/>
          <w:szCs w:val="20"/>
        </w:rPr>
        <w:t>2.3. Отклонения размеров камней от номинальных и показатели их внешнего вида должны соответствовать требованиям, указанным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3"/>
      <w:bookmarkStart w:id="29" w:name="sub_23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2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00"/>
      <w:bookmarkStart w:id="32" w:name="sub_200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отклонений и показатели │      Нормы отклонений для камней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внешнего вида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изверженных горных│ литые из шлака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│  расплавленных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├────────────┬────────┼────────┬─────────┤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Первая │ Вторая │ Первая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 │катего- │катего- │категория│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рия   │  рия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длине  для   камней   всех│    +-25    │  +-15  │  +-10  │   +-5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типов, мм, не более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и высоте для  камней│    +-15    │  +-10  │  +-10  │   +-5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типов, мм, не более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Отбитые углы на верхней грани │              Не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Отбитые углы на нижней грани: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не более          │     2      │   He   │   1    │   He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допуска-│        │допускаю-│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│        │   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отбитых углов по  ребру,│     20     │   He   │   20   │   He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не более                  │            │допуска-│        │допускаю-│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│        │   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прямого   угла│     5      │   4    │   2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смежных ребер  верхней  грани,│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не более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Неплоскостность верхней грани,│     15     │   10   │   2    │   He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не более                  │            │        │        │допускае-│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 на  ребрах    верхней и│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боковых гранях: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не более          │     1      │   Не   │   1    │   He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допуска-│        │допускаю-│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│        │   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сколов, мм, не более    │     5      │ То же  │   5    │  To же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редакция. Изм. N 1)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End w:id="33"/>
      <w:r>
        <w:rPr>
          <w:rFonts w:cs="Arial" w:ascii="Arial" w:hAnsi="Arial"/>
          <w:sz w:val="20"/>
          <w:szCs w:val="20"/>
        </w:rPr>
        <w:t>2.4. Физико-механические свойства камней должны удовлетворять требованиям, приведенным в табл.3.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4"/>
      <w:bookmarkEnd w:id="34"/>
      <w:r>
        <w:rPr>
          <w:rFonts w:cs="Arial" w:ascii="Arial" w:hAnsi="Arial"/>
          <w:sz w:val="20"/>
          <w:szCs w:val="20"/>
        </w:rPr>
        <w:t>Для IV и V дорожно-климатических зон (по СНиП 3.06.03-85) может быть допущена марка по морозостойкости F75.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5"/>
      <w:bookmarkEnd w:id="35"/>
      <w:r>
        <w:rPr>
          <w:rFonts w:cs="Arial" w:ascii="Arial" w:hAnsi="Arial"/>
          <w:sz w:val="20"/>
          <w:szCs w:val="20"/>
        </w:rPr>
        <w:t>2.5. Шлаки, используемые для изготовления камней, должны быть устойчивыми против всех видов распада. Шлаки считают устойчивыми, если потеря по массе, определенная в соответствии с требованиями ГОСТ 3344-83, не превышает 3%.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5"/>
      <w:bookmarkStart w:id="37" w:name="sub_25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3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00"/>
      <w:bookmarkStart w:id="40" w:name="sub_300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показателей        │       Нормы для камней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изверженных│литых из шлака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│и расплавленных│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прочности    при       сжатии в│     1000     │     1200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воздушно-сухом  состоянии,  кгс/см2,  не│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морозостойкости  (по   потере в│     F100     │     F100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массе), не менее         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прочности  при  сжатии  горных│      20      │Не нормируется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в водонасыщенном состоянии, %,  не│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Солестойкость при 10 циклах, % по массе,│      5 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Истираемость на круге, г/см2, не более  │     0,5      │      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├────────────────────────────────────────┴──────────────┴───────────────┤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редакция. Изм. N 1)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6"/>
      <w:bookmarkEnd w:id="41"/>
      <w:r>
        <w:rPr>
          <w:rFonts w:cs="Arial" w:ascii="Arial" w:hAnsi="Arial"/>
          <w:sz w:val="20"/>
          <w:szCs w:val="20"/>
        </w:rPr>
        <w:t>2.6. Камень брусчатый в зависимости от значения суммарной удельной эффективной активности естественных радионуклидов А_эфф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6"/>
      <w:bookmarkEnd w:id="42"/>
      <w:r>
        <w:rPr>
          <w:rFonts w:cs="Arial" w:ascii="Arial" w:hAnsi="Arial"/>
          <w:sz w:val="20"/>
          <w:szCs w:val="20"/>
        </w:rPr>
        <w:t>для устройства дорожных покрытий в пределах территорий населенных пунктов и зон перспективной застройки при А_эфф свыше 370 Бк/кг до 740 Бк/кг;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устройства дорожных покрытий вне населенных пунктов при А_эфф свыше 740 Бк/кг до 1500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"/>
      <w:bookmarkStart w:id="45" w:name="sub_3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1"/>
      <w:bookmarkEnd w:id="46"/>
      <w:r>
        <w:rPr>
          <w:rFonts w:cs="Arial" w:ascii="Arial" w:hAnsi="Arial"/>
          <w:sz w:val="20"/>
          <w:szCs w:val="20"/>
        </w:rPr>
        <w:t>3.1. Камни должны быть приняты отделом технического контроля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1"/>
      <w:bookmarkStart w:id="48" w:name="sub_32"/>
      <w:bookmarkEnd w:id="47"/>
      <w:bookmarkEnd w:id="48"/>
      <w:r>
        <w:rPr>
          <w:rFonts w:cs="Arial" w:ascii="Arial" w:hAnsi="Arial"/>
          <w:sz w:val="20"/>
          <w:szCs w:val="20"/>
        </w:rPr>
        <w:t>3.2. Поставку и приемку камней производят партиями. Партией считают количество камней площадью не более 200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2"/>
      <w:bookmarkStart w:id="50" w:name="sub_33"/>
      <w:bookmarkEnd w:id="49"/>
      <w:bookmarkEnd w:id="50"/>
      <w:r>
        <w:rPr>
          <w:rFonts w:cs="Arial" w:ascii="Arial" w:hAnsi="Arial"/>
          <w:sz w:val="20"/>
          <w:szCs w:val="20"/>
        </w:rPr>
        <w:t>3.3. Для проверки формы и размеров камней от партии отбирают 50 камней, по 5 шт. из десяти разных мест штабеля.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3"/>
      <w:bookmarkStart w:id="52" w:name="sub_34"/>
      <w:bookmarkEnd w:id="51"/>
      <w:bookmarkEnd w:id="52"/>
      <w:r>
        <w:rPr>
          <w:rFonts w:cs="Arial" w:ascii="Arial" w:hAnsi="Arial"/>
          <w:sz w:val="20"/>
          <w:szCs w:val="20"/>
        </w:rPr>
        <w:t>3.4. При получении неудовлетворительных результатов проверки по показателям, указанным в п.3.2, производят повторную проверку удвоенного количества образцов, взятых из той же партии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4"/>
      <w:bookmarkEnd w:id="53"/>
      <w:r>
        <w:rPr>
          <w:rFonts w:cs="Arial" w:ascii="Arial" w:hAnsi="Arial"/>
          <w:sz w:val="20"/>
          <w:szCs w:val="20"/>
        </w:rPr>
        <w:t>Если при повторной проверке окажется хотя бы один камень, не отвечающий требованиям настоящего стандарта, то производят поштучную приемку камней всей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5"/>
      <w:bookmarkEnd w:id="54"/>
      <w:r>
        <w:rPr>
          <w:rFonts w:cs="Arial" w:ascii="Arial" w:hAnsi="Arial"/>
          <w:sz w:val="20"/>
          <w:szCs w:val="20"/>
        </w:rPr>
        <w:t>3.5. Проверку физико-механических показателей (предел прочности при сжатии в воздушно-сухом состоянии, снижение прочности при сжатии, истираемость, солестойкость и морозостойкость) производят для камней из горных пород не реже одного раза в год, а также при переходе к разработке от одной разновидности горной породы к другой, для камней из шлака - не реже одного раза в месяц, суммарную удельную эффективную активность естественных радионуклидов определяют не реже 1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5"/>
      <w:bookmarkEnd w:id="55"/>
      <w:r>
        <w:rPr>
          <w:rFonts w:cs="Arial" w:ascii="Arial" w:hAnsi="Arial"/>
          <w:sz w:val="20"/>
          <w:szCs w:val="20"/>
        </w:rPr>
        <w:t>(Измененная редакция.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6"/>
      <w:bookmarkEnd w:id="56"/>
      <w:r>
        <w:rPr>
          <w:rFonts w:cs="Arial" w:ascii="Arial" w:hAnsi="Arial"/>
          <w:sz w:val="20"/>
          <w:szCs w:val="20"/>
        </w:rPr>
        <w:t>3.6. Потребитель имеет право производить контрольную проверку камней, применяя при этом порядок контроля качества и методы испытаний, предусмотренные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6"/>
      <w:bookmarkStart w:id="58" w:name="sub_36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4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4"/>
      <w:bookmarkStart w:id="61" w:name="sub_4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1"/>
      <w:bookmarkEnd w:id="62"/>
      <w:r>
        <w:rPr>
          <w:rFonts w:cs="Arial" w:ascii="Arial" w:hAnsi="Arial"/>
          <w:sz w:val="20"/>
          <w:szCs w:val="20"/>
        </w:rPr>
        <w:t>4.1. Размеры камней определяют с помощью специального шаблона, угольника и линейки путем измерения длины, ширины и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"/>
      <w:bookmarkStart w:id="64" w:name="sub_42"/>
      <w:bookmarkEnd w:id="63"/>
      <w:bookmarkEnd w:id="64"/>
      <w:r>
        <w:rPr>
          <w:rFonts w:cs="Arial" w:ascii="Arial" w:hAnsi="Arial"/>
          <w:sz w:val="20"/>
          <w:szCs w:val="20"/>
        </w:rPr>
        <w:t>4.2. Определение величины скоса (отклонения проекции стороны верхней грани от нижней) производят с помощью угольника и линейки.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"/>
      <w:bookmarkStart w:id="66" w:name="sub_43"/>
      <w:bookmarkEnd w:id="65"/>
      <w:bookmarkEnd w:id="66"/>
      <w:r>
        <w:rPr>
          <w:rFonts w:cs="Arial" w:ascii="Arial" w:hAnsi="Arial"/>
          <w:sz w:val="20"/>
          <w:szCs w:val="20"/>
        </w:rPr>
        <w:t>4.3. Правильность и качество обработки верхней грани камней, прямолинейность ребер и величину углов определяют при помощи горизонтальных шаблонов (досок) и металлического измерительного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3"/>
      <w:bookmarkStart w:id="68" w:name="sub_44"/>
      <w:bookmarkEnd w:id="67"/>
      <w:bookmarkEnd w:id="68"/>
      <w:r>
        <w:rPr>
          <w:rFonts w:cs="Arial" w:ascii="Arial" w:hAnsi="Arial"/>
          <w:sz w:val="20"/>
          <w:szCs w:val="20"/>
        </w:rPr>
        <w:t>4.4. Измерительный инструмент должен отвечать требованиям ГОСТ 3749-77, ГОСТ 8026-92,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4"/>
      <w:bookmarkStart w:id="70" w:name="sub_45"/>
      <w:bookmarkEnd w:id="69"/>
      <w:bookmarkEnd w:id="70"/>
      <w:r>
        <w:rPr>
          <w:rFonts w:cs="Arial" w:ascii="Arial" w:hAnsi="Arial"/>
          <w:sz w:val="20"/>
          <w:szCs w:val="20"/>
        </w:rPr>
        <w:t>4.5. Физико-механические свойства горных пород, используемых для изготовления камней, устанавливают по паспорту, выдаваемому предприятием, поставляющим горную породу предприятию-изготовителю, или по геологическим отчетам, свойства шлаков - по результатам заводских лабораторных анализов.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5"/>
      <w:bookmarkStart w:id="72" w:name="sub_46"/>
      <w:bookmarkEnd w:id="71"/>
      <w:bookmarkEnd w:id="72"/>
      <w:r>
        <w:rPr>
          <w:rFonts w:cs="Arial" w:ascii="Arial" w:hAnsi="Arial"/>
          <w:sz w:val="20"/>
          <w:szCs w:val="20"/>
        </w:rPr>
        <w:t>Пункты 4.6 - 4.11 исключены. Изм. N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6"/>
      <w:bookmarkStart w:id="74" w:name="sub_412"/>
      <w:bookmarkEnd w:id="73"/>
      <w:bookmarkEnd w:id="74"/>
      <w:r>
        <w:rPr>
          <w:rFonts w:cs="Arial" w:ascii="Arial" w:hAnsi="Arial"/>
          <w:sz w:val="20"/>
          <w:szCs w:val="20"/>
        </w:rPr>
        <w:t>4.12. Предел прочности при сжатии горной породы, морозостойкость, снижение прочности при сжатии в водонасыщенном состоянии, истираемость, солестойкость определяют по ГОСТ 30629-99, устойчивость структуры шлака против распадов определяют по ГОСТ 8269.0-97.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12"/>
      <w:bookmarkStart w:id="76" w:name="sub_413"/>
      <w:bookmarkEnd w:id="75"/>
      <w:bookmarkEnd w:id="76"/>
      <w:r>
        <w:rPr>
          <w:rFonts w:cs="Arial" w:ascii="Arial" w:hAnsi="Arial"/>
          <w:sz w:val="20"/>
          <w:szCs w:val="20"/>
        </w:rPr>
        <w:t>4.13. Коэффициент сцепления определяют по ГОСТ 30413-96.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3"/>
      <w:bookmarkStart w:id="78" w:name="sub_414"/>
      <w:bookmarkEnd w:id="77"/>
      <w:bookmarkEnd w:id="78"/>
      <w:r>
        <w:rPr>
          <w:rFonts w:cs="Arial" w:ascii="Arial" w:hAnsi="Arial"/>
          <w:sz w:val="20"/>
          <w:szCs w:val="20"/>
        </w:rPr>
        <w:t>4.14. Суммарную удельную эффективную активность естественных радионуклидов определяют гамма-спектрометрическим методом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14"/>
      <w:bookmarkEnd w:id="79"/>
      <w:r>
        <w:rPr>
          <w:rFonts w:cs="Arial" w:ascii="Arial" w:hAnsi="Arial"/>
          <w:sz w:val="20"/>
          <w:szCs w:val="20"/>
        </w:rPr>
        <w:t>Пункты 4.12 - 4.14 введены дополнительно. Изм. N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5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5"/>
      <w:bookmarkStart w:id="82" w:name="sub_5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"/>
      <w:bookmarkEnd w:id="83"/>
      <w:r>
        <w:rPr>
          <w:rFonts w:cs="Arial" w:ascii="Arial" w:hAnsi="Arial"/>
          <w:sz w:val="20"/>
          <w:szCs w:val="20"/>
        </w:rPr>
        <w:t>5.1. На торцевой грани пяти брусчатых камней, взятых из одной партии, должна быть нанесена несмываемой краской следующая маркировка: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1"/>
      <w:bookmarkEnd w:id="84"/>
      <w:r>
        <w:rPr>
          <w:rFonts w:cs="Arial" w:ascii="Arial" w:hAnsi="Arial"/>
          <w:sz w:val="20"/>
          <w:szCs w:val="20"/>
        </w:rPr>
        <w:t>тип камня (БВ, БС, БН);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"/>
      <w:bookmarkEnd w:id="85"/>
      <w:r>
        <w:rPr>
          <w:rFonts w:cs="Arial" w:ascii="Arial" w:hAnsi="Arial"/>
          <w:sz w:val="20"/>
          <w:szCs w:val="20"/>
        </w:rPr>
        <w:t>5.2. Предприятие-изготовитель должно сопровождать каждую поставляемую потребителю партию камней документом установленной формы, в котором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2"/>
      <w:bookmarkEnd w:id="86"/>
      <w:r>
        <w:rPr>
          <w:rFonts w:cs="Arial" w:ascii="Arial" w:hAnsi="Arial"/>
          <w:sz w:val="20"/>
          <w:szCs w:val="20"/>
        </w:rPr>
        <w:t>наименование министерства или ведомства, в систему которого входит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дата составления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тип, категория камней, порода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камней в партии в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удельная эффективная активность естественных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3"/>
      <w:bookmarkEnd w:id="87"/>
      <w:r>
        <w:rPr>
          <w:rFonts w:cs="Arial" w:ascii="Arial" w:hAnsi="Arial"/>
          <w:sz w:val="20"/>
          <w:szCs w:val="20"/>
        </w:rPr>
        <w:t>5.3. Камни должны храниться в штабелях отдельно по типам. Камни укладывают горизонтальными рядами.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3"/>
      <w:bookmarkStart w:id="89" w:name="sub_54"/>
      <w:bookmarkEnd w:id="88"/>
      <w:bookmarkEnd w:id="89"/>
      <w:r>
        <w:rPr>
          <w:rFonts w:cs="Arial" w:ascii="Arial" w:hAnsi="Arial"/>
          <w:sz w:val="20"/>
          <w:szCs w:val="20"/>
        </w:rPr>
        <w:t>5.4. При погрузке брусчатых камней и разгрузке сбрасыванием должны соблюдаться меры предосторожности.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4"/>
      <w:bookmarkStart w:id="91" w:name="sub_55"/>
      <w:bookmarkEnd w:id="90"/>
      <w:bookmarkEnd w:id="91"/>
      <w:r>
        <w:rPr>
          <w:rFonts w:cs="Arial" w:ascii="Arial" w:hAnsi="Arial"/>
          <w:sz w:val="20"/>
          <w:szCs w:val="20"/>
        </w:rPr>
        <w:t>5.5. Камни должны перевозиться в специальных контейнерах или поддонах. Допускается транспортирование камней открытым способом любым видом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55"/>
      <w:bookmarkStart w:id="93" w:name="sub_55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6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поставщика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6"/>
      <w:bookmarkStart w:id="96" w:name="sub_6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1"/>
      <w:bookmarkEnd w:id="97"/>
      <w:r>
        <w:rPr>
          <w:rFonts w:cs="Arial" w:ascii="Arial" w:hAnsi="Arial"/>
          <w:sz w:val="20"/>
          <w:szCs w:val="20"/>
        </w:rPr>
        <w:t>6.1. Предприятие-изготовитель должно гарантировать соответствие поставляемых брусчатых камней требованиям настоящего стандарта при соблюдении условий транспортирования и хранения, установленных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61"/>
      <w:bookmarkStart w:id="99" w:name="sub_61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2007-02-10T21:50:00Z</dcterms:created>
  <dc:creator>Виктор</dc:creator>
  <dc:description/>
  <dc:language>ru-RU</dc:language>
  <cp:lastModifiedBy>Виктор</cp:lastModifiedBy>
  <dcterms:modified xsi:type="dcterms:W3CDTF">2007-02-10T21:50:00Z</dcterms:modified>
  <cp:revision>2</cp:revision>
  <dc:subject/>
  <dc:title/>
</cp:coreProperties>
</file>