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23421-79</w:t>
        <w:br/>
        <w:t>"Устройство для пакетной перевозки силикатного кирпича автомобильным</w:t>
        <w:br/>
        <w:t>транспортом. Основные параметры и размеры. Технические требования"</w:t>
        <w:br/>
        <w:t>(утв. постановлением Госстроя СССР от 29 декабря 1978 г. N 269)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Device for palletized haulage of silika bricks by trucks.parameters and dimensions.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 действие с 1 января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устройство, предназначенное для пакетной перевозки силикатного кирпича автомобильным транспортом, состоящее из грузонесущего основания и обвязки, служащей для сохранности пирамиды кирпича при транспортировке.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установки одной пирамиды кирпича применяются два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Основные параметры и размеры устройства должны соответствовать указанным ниже и на чертеже: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номинальная грузоподъемность грузового основания - не менее 18,0 кН (1800 кгс);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устройства - не более 76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879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- Основные параметры и размеры устройства, предназначенного для пакетной перевозки силикатного кирпича автомобильным транспортом"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bookmarkEnd w:id="8"/>
      <w:r>
        <w:rPr>
          <w:rFonts w:cs="Arial" w:ascii="Arial" w:hAnsi="Arial"/>
          <w:sz w:val="20"/>
          <w:szCs w:val="20"/>
        </w:rPr>
        <w:t>2.1. Устройства должны изготовлять в соответствии с требованиями настоящего стандарта и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bookmarkStart w:id="10" w:name="sub_22"/>
      <w:bookmarkEnd w:id="9"/>
      <w:bookmarkEnd w:id="10"/>
      <w:r>
        <w:rPr>
          <w:rFonts w:cs="Arial" w:ascii="Arial" w:hAnsi="Arial"/>
          <w:sz w:val="20"/>
          <w:szCs w:val="20"/>
        </w:rPr>
        <w:t>2.2. Устройство должно включать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End w:id="11"/>
      <w:r>
        <w:rPr>
          <w:rFonts w:cs="Arial" w:ascii="Arial" w:hAnsi="Arial"/>
          <w:sz w:val="20"/>
          <w:szCs w:val="20"/>
        </w:rPr>
        <w:t>грузонесущее основание, состоящее из металлического каркаса, деревянного настила и опор;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обвязку, состоящую из гибких ограждающих элементов и обойм;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натяжной механизм с замком и трособлочную систему, состоящую из стяжного троса и огибающего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3"/>
      <w:bookmarkEnd w:id="12"/>
      <w:r>
        <w:rPr>
          <w:rFonts w:cs="Arial" w:ascii="Arial" w:hAnsi="Arial"/>
          <w:sz w:val="20"/>
          <w:szCs w:val="20"/>
        </w:rPr>
        <w:t>2.3. Конструкция устройства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3"/>
      <w:bookmarkEnd w:id="13"/>
      <w:r>
        <w:rPr>
          <w:rFonts w:cs="Arial" w:ascii="Arial" w:hAnsi="Arial"/>
          <w:sz w:val="20"/>
          <w:szCs w:val="20"/>
        </w:rPr>
        <w:t>возможность взаимного сочленения двух устройств посредством штырей;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удобство установки пирамиды кирпича на грузонесущее основание при помощи погрузочного захвата с двусторонним или четырехсторонним зажатием;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устойчивость от опрокидывания и сохранность геометрической формы пирамиды кирпича при перевозке;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удобство и безопасность работ при натяжении гибких ограждающих элементов с максимальным усилием на рукоятке не более 40 кгс;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и удобство расчленения загруженных кирпичом устройств и перестановки одного из них с помощью строительного крана, оборудованного стропами, а также снятия кирпича с грузонесущего основания с помощью того же крана, оснащенного самозажимным захватом типа Б-8.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4"/>
      <w:bookmarkEnd w:id="14"/>
      <w:r>
        <w:rPr>
          <w:rFonts w:cs="Arial" w:ascii="Arial" w:hAnsi="Arial"/>
          <w:sz w:val="20"/>
          <w:szCs w:val="20"/>
        </w:rPr>
        <w:t>2.4. Грузонесущее основание устройства должно иметь по углам строповочные петли размерами, обеспечивающими возможность зацепления крюками четырехветвевого стропа грузоподъемностью не менее 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4"/>
      <w:bookmarkStart w:id="16" w:name="sub_25"/>
      <w:bookmarkEnd w:id="15"/>
      <w:bookmarkEnd w:id="16"/>
      <w:r>
        <w:rPr>
          <w:rFonts w:cs="Arial" w:ascii="Arial" w:hAnsi="Arial"/>
          <w:sz w:val="20"/>
          <w:szCs w:val="20"/>
        </w:rPr>
        <w:t>2.5. Настил грузонесущего основания должен быть сплошным и состоять из продольно расположенных досок шириной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5"/>
      <w:bookmarkStart w:id="18" w:name="sub_26"/>
      <w:bookmarkEnd w:id="17"/>
      <w:bookmarkEnd w:id="18"/>
      <w:r>
        <w:rPr>
          <w:rFonts w:cs="Arial" w:ascii="Arial" w:hAnsi="Arial"/>
          <w:sz w:val="20"/>
          <w:szCs w:val="20"/>
        </w:rPr>
        <w:t>2.6. Гибкий ограждающий элемент обвязки должен быть изготовлен из транспортной ленты типа ЛМ2-500-3Б-820-160-31 по ГОСТ 20-76.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6"/>
      <w:bookmarkStart w:id="20" w:name="sub_27"/>
      <w:bookmarkEnd w:id="19"/>
      <w:bookmarkEnd w:id="20"/>
      <w:r>
        <w:rPr>
          <w:rFonts w:cs="Arial" w:ascii="Arial" w:hAnsi="Arial"/>
          <w:sz w:val="20"/>
          <w:szCs w:val="20"/>
        </w:rPr>
        <w:t>2.7. Стяжной трос должен быть диаметром не более 10 мм и выдерживать тяговое усилие не менее 7,0 кН (700 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7"/>
      <w:bookmarkStart w:id="22" w:name="sub_28"/>
      <w:bookmarkEnd w:id="21"/>
      <w:bookmarkEnd w:id="22"/>
      <w:r>
        <w:rPr>
          <w:rFonts w:cs="Arial" w:ascii="Arial" w:hAnsi="Arial"/>
          <w:sz w:val="20"/>
          <w:szCs w:val="20"/>
        </w:rPr>
        <w:t>2.8. Крепление деревянного настила к каркасу основания производят шурупами по ГОСТ 1144-70, а деревянных опор - винтами по ГОСТ 17475-72.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8"/>
      <w:bookmarkStart w:id="24" w:name="sub_29"/>
      <w:bookmarkEnd w:id="23"/>
      <w:bookmarkEnd w:id="24"/>
      <w:r>
        <w:rPr>
          <w:rFonts w:cs="Arial" w:ascii="Arial" w:hAnsi="Arial"/>
          <w:sz w:val="20"/>
          <w:szCs w:val="20"/>
        </w:rPr>
        <w:t>2.9. Расстояния между осями отверстий диаметром D, а также штырей диаметром d должны быть равны 1550 + - 0,05 D мм. Между диаметром отверстий D и диаметром штыря d должно соблюдаться соотношение 0,6 &lt; = d/D &lt; = 0,8.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9"/>
      <w:bookmarkStart w:id="26" w:name="sub_210"/>
      <w:bookmarkEnd w:id="25"/>
      <w:bookmarkEnd w:id="26"/>
      <w:r>
        <w:rPr>
          <w:rFonts w:cs="Arial" w:ascii="Arial" w:hAnsi="Arial"/>
          <w:sz w:val="20"/>
          <w:szCs w:val="20"/>
        </w:rPr>
        <w:t>2.10. Обоймы крепят к гибким ограждающим элементам обвязки при помощи болтов, располагаемых в два ряда в шахматном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0"/>
      <w:bookmarkStart w:id="28" w:name="sub_211"/>
      <w:bookmarkEnd w:id="27"/>
      <w:bookmarkEnd w:id="28"/>
      <w:r>
        <w:rPr>
          <w:rFonts w:cs="Arial" w:ascii="Arial" w:hAnsi="Arial"/>
          <w:sz w:val="20"/>
          <w:szCs w:val="20"/>
        </w:rPr>
        <w:t>2.11. Натяжной механизм с трособлочной системой крепят к гибким ограждающим элементам обвязки в верхней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1"/>
      <w:bookmarkStart w:id="30" w:name="sub_212"/>
      <w:bookmarkEnd w:id="29"/>
      <w:bookmarkEnd w:id="30"/>
      <w:r>
        <w:rPr>
          <w:rFonts w:cs="Arial" w:ascii="Arial" w:hAnsi="Arial"/>
          <w:sz w:val="20"/>
          <w:szCs w:val="20"/>
        </w:rPr>
        <w:t>2.12. Стяжной трос одним концом должен быть закреплен на барабане натяжного механизма, а другим концом - на обойме.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2"/>
      <w:bookmarkStart w:id="32" w:name="sub_213"/>
      <w:bookmarkEnd w:id="31"/>
      <w:bookmarkEnd w:id="32"/>
      <w:r>
        <w:rPr>
          <w:rFonts w:cs="Arial" w:ascii="Arial" w:hAnsi="Arial"/>
          <w:sz w:val="20"/>
          <w:szCs w:val="20"/>
        </w:rPr>
        <w:t>2.13. Защита металлических деталей от коррозии должна производиться нанесением на их поверхность лакокрасочных покрытий. По внешнему виду покрытие должно соответствовать VII классу по ГОСТ 9.032-74. Условия эксплуатации покрытия должны соответствовать первой категории размещения окрашенных поверхностей и жесткой второй (Ж_2) группе условий эксплуатации по ГОСТ 9.009-73.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3"/>
      <w:bookmarkStart w:id="34" w:name="sub_214"/>
      <w:bookmarkEnd w:id="33"/>
      <w:bookmarkEnd w:id="34"/>
      <w:r>
        <w:rPr>
          <w:rFonts w:cs="Arial" w:ascii="Arial" w:hAnsi="Arial"/>
          <w:sz w:val="20"/>
          <w:szCs w:val="20"/>
        </w:rPr>
        <w:t>2.14. Общие требования безопасности к устройствам - по ГОСТ 12.2.003-74.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4"/>
      <w:bookmarkStart w:id="36" w:name="sub_215"/>
      <w:bookmarkEnd w:id="35"/>
      <w:bookmarkEnd w:id="36"/>
      <w:r>
        <w:rPr>
          <w:rFonts w:cs="Arial" w:ascii="Arial" w:hAnsi="Arial"/>
          <w:sz w:val="20"/>
          <w:szCs w:val="20"/>
        </w:rPr>
        <w:t>2.15. Гарантийный срок эксплуатации устройства - не менее 6 месяцев со дня начала эксплуатации. В течение гарантийного срока неисправности, происшедшие по вине изготовителя, устраняются бесплатно изготовителем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15"/>
      <w:bookmarkStart w:id="38" w:name="sub_215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Оглавление"/>
    <w:basedOn w:val="Style21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2007-02-10T21:49:00Z</dcterms:created>
  <dc:creator>Виктор</dc:creator>
  <dc:description/>
  <dc:language>ru-RU</dc:language>
  <cp:lastModifiedBy>Виктор</cp:lastModifiedBy>
  <dcterms:modified xsi:type="dcterms:W3CDTF">2007-02-10T21:49:00Z</dcterms:modified>
  <cp:revision>2</cp:revision>
  <dc:subject/>
  <dc:title/>
</cp:coreProperties>
</file>