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54513269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В настоящий ГОСТ внесено Изменение N 1, утвержденное постановлением Госстроя СССР от 17 декабря 1987 г. N 297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545132692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23009-78</w:t>
        <w:br/>
        <w:t>"Конструкции и изделия бетонные и железобетонные сборные.</w:t>
        <w:br/>
        <w:t>Условные обозначения (марки)"</w:t>
        <w:br/>
        <w:t>(срок введения установлен постановлением Госстроя СССР</w:t>
        <w:br/>
        <w:t>от 18 января 1978 г. N 5)</w:t>
        <w:br/>
        <w:t>(с изменениями от 17 декабря 1987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Prefabricated concrete and reinforced concrete constructionsproducts.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Symbols (marks)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Обозначения, входящие в марку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Условные   буквенные  обозначения  наименований  основных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и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11"/>
      <w:bookmarkEnd w:id="2"/>
      <w:r>
        <w:rPr>
          <w:rFonts w:cs="Arial" w:ascii="Arial" w:hAnsi="Arial"/>
          <w:sz w:val="20"/>
          <w:szCs w:val="20"/>
        </w:rPr>
        <w:t>Настоящий стандарт распространяется на сборные бетонные и железобетонные конструкции и изделия и устанавливает правила составления и применения условных обозначений (далее - марок) этих конструкций и изделий в разрабатываемых стандартах, технических условиях и проектной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1111"/>
      <w:bookmarkStart w:id="4" w:name="sub_1111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00"/>
      <w:bookmarkStart w:id="7" w:name="sub_1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Марка должна содержать обозначения основных характеристик конструкций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Марка состоит из буквенно-цифровых групп, которые разделяются дефисом.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групп должно быть не более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 Первая группа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типа конструкции 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определяющие габаритные размеры (пролет, длину, ширину, высоту, толщину, диаметр и т.п.) или обозначение типоразмера конструкции 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2"/>
      <w:bookmarkEnd w:id="8"/>
      <w:r>
        <w:rPr>
          <w:rFonts w:cs="Arial" w:ascii="Arial" w:hAnsi="Arial"/>
          <w:sz w:val="20"/>
          <w:szCs w:val="20"/>
        </w:rPr>
        <w:t>1.2.2. Во второй группе следует приводить: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2"/>
      <w:bookmarkEnd w:id="9"/>
      <w:r>
        <w:rPr>
          <w:rFonts w:cs="Arial" w:ascii="Arial" w:hAnsi="Arial"/>
          <w:sz w:val="20"/>
          <w:szCs w:val="20"/>
        </w:rPr>
        <w:t>несущую способность конструкции 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напрягаемой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марке конструкций и изделий, изготовляемых из тяжелого бетона, вид бетона не указывают.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1.2.3. В третью группу включаются дополнительные характеристики, отражающие особые условия применения конструкций и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стойкость к воздействию агрессивной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сейсмостойкость (для конструкций и изделий, предназначенных для зданий и сооружений с расчетной сейсмичностью 7 баллов и выше);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стойкость к воздействию повышенных и высоких температур;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35"/>
      <w:bookmarkEnd w:id="10"/>
      <w:r>
        <w:rPr>
          <w:rFonts w:cs="Arial" w:ascii="Arial" w:hAnsi="Arial"/>
          <w:sz w:val="20"/>
          <w:szCs w:val="20"/>
        </w:rPr>
        <w:t>конструктивные особенности (наличие дополнительных закладных изделий, отверстий, проемов, вырезов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35"/>
      <w:bookmarkEnd w:id="11"/>
      <w:r>
        <w:rPr>
          <w:rFonts w:cs="Arial" w:ascii="Arial" w:hAnsi="Arial"/>
          <w:sz w:val="20"/>
          <w:szCs w:val="20"/>
        </w:rPr>
        <w:t>В третьей группе допускается приводить другие характеристики, отражающие условия применения конструкций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Обозначения первой группы должны включаться в марку всех бетонных и железобетонных конструкций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включения в состав марки второй и третьей групп обозначений определяется организацией, разрабатывающей стандарты, технические условия или рабочие чертежи конкретных конструкций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Для обозначений характеристик конструкций и изделий в марке следует применять буквы русского алфавита и арабские цифры.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обозначениях класса арматуры, а также класса труб по напорности допускается применение римских цифр.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Марку следует записывать в одну строку.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6"/>
      <w:bookmarkEnd w:id="12"/>
      <w:r>
        <w:rPr>
          <w:rFonts w:cs="Arial" w:ascii="Arial" w:hAnsi="Arial"/>
          <w:sz w:val="20"/>
          <w:szCs w:val="20"/>
        </w:rPr>
        <w:t>1.6.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6"/>
      <w:bookmarkEnd w:id="13"/>
      <w:r>
        <w:rPr>
          <w:rFonts w:cs="Arial" w:ascii="Arial" w:hAnsi="Arial"/>
          <w:sz w:val="20"/>
          <w:szCs w:val="20"/>
        </w:rPr>
        <w:t>1.7. Структура марки конструкции и изделия в общем виде следующая: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 Х.Х.Х-ХХХ-ХХ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 ───── ─── ──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│││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└───┼───┼┼┼──┼─┼─────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типа конструкции и изделия (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└───┼┼┼──┼─┼─────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Определяющие  габаритные  размеры  или  обозначение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│││  │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типоразмера конструкции и изделия (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└┼┼──┼─┼─────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Несущая способность или обозначение  конструкции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││  │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в зависимости от несущей способности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││  │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└┼──┼─┼──────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напрягаемой арматуры (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└──┼─┼─────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бетона (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2.5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└─┼──────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 характеристики,  отражающие  особые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конструкции и изделия: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стойкость  к  воздействию  агрессивной 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сейсмостойкость (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2.7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стойкость к воздействию повышенных и  высоких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 (</w:t>
      </w: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2.8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704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конструктивные      особенности  -    наличие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704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дополнительных  закладных изделий, отверстий,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вырезов и т.п. (</w:t>
      </w: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2.9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└─────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200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2. Обозначения, входящие в марку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200"/>
      <w:bookmarkStart w:id="18" w:name="sub_200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End w:id="19"/>
      <w:r>
        <w:rPr>
          <w:rFonts w:cs="Arial" w:ascii="Arial" w:hAnsi="Arial"/>
          <w:sz w:val="20"/>
          <w:szCs w:val="20"/>
        </w:rPr>
        <w:t>2.1. Обозначение типа конструкции и изделия в марках должно состоять из условного буквенного обозначения наименования конструкции 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End w:id="20"/>
      <w:r>
        <w:rPr>
          <w:rFonts w:cs="Arial" w:ascii="Arial" w:hAnsi="Arial"/>
          <w:sz w:val="20"/>
          <w:szCs w:val="20"/>
        </w:rPr>
        <w:t>Для обозначения типа конструкции и изделия следует применять прописные буквы. Число букв, как правило, не должно превышать трех.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Условные буквенные обозначения наименований основных конструкций и изделий приведены в рекомендуемом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конструкций, имеющих несколько типоразмеров, условное буквенное обозначение наименования конструкции допускается дополнять цифрой, стоящей перед обозначением типа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"/>
      <w:bookmarkEnd w:id="21"/>
      <w:r>
        <w:rPr>
          <w:rFonts w:cs="Arial" w:ascii="Arial" w:hAnsi="Arial"/>
          <w:sz w:val="20"/>
          <w:szCs w:val="20"/>
        </w:rPr>
        <w:t>2.2. Указываемые в марках габаритные размеры должны приводится определяющие для данной конструкции или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"/>
      <w:bookmarkEnd w:id="22"/>
      <w:r>
        <w:rPr>
          <w:rFonts w:cs="Arial" w:ascii="Arial" w:hAnsi="Arial"/>
          <w:sz w:val="20"/>
          <w:szCs w:val="20"/>
        </w:rPr>
        <w:t>Габаритные размеры приводятся координационные или конструктивные.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следует указывать в метрах или дециметрах (с округлением до целого числа). Для мелкоразмерных изделий размеры допускается указывать в сантиметрах.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 случаях, когда в марке указываются два или три определяющих размера (например, длина, ширина и высота), цифровые обозначения этих размеров разделяются точкой.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Вместо габаритных размеров в марках допускается приводить обозначение типоразмера конструкции 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"/>
      <w:bookmarkEnd w:id="23"/>
      <w:r>
        <w:rPr>
          <w:rFonts w:cs="Arial" w:ascii="Arial" w:hAnsi="Arial"/>
          <w:sz w:val="20"/>
          <w:szCs w:val="20"/>
        </w:rPr>
        <w:t>2.3. Несущую способность конструкции и изделия следует указывать цифрами, соответствующими расчетной нагрузке.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"/>
      <w:bookmarkEnd w:id="24"/>
      <w:r>
        <w:rPr>
          <w:rFonts w:cs="Arial" w:ascii="Arial" w:hAnsi="Arial"/>
          <w:sz w:val="20"/>
          <w:szCs w:val="20"/>
        </w:rPr>
        <w:t>Допускается приведение в марке цифрового обозначения, характеризующего несущую способность конструкции 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4"/>
      <w:bookmarkEnd w:id="25"/>
      <w:r>
        <w:rPr>
          <w:rFonts w:cs="Arial" w:ascii="Arial" w:hAnsi="Arial"/>
          <w:sz w:val="20"/>
          <w:szCs w:val="20"/>
        </w:rPr>
        <w:t>2.4. Класс напрягаемой арматуры следует приводить в соответствии со стандартами и техническими условиями на арматурную сталь и с нормативными документами по проектированию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4"/>
      <w:bookmarkStart w:id="27" w:name="sub_25"/>
      <w:bookmarkEnd w:id="26"/>
      <w:bookmarkEnd w:id="27"/>
      <w:r>
        <w:rPr>
          <w:rFonts w:cs="Arial" w:ascii="Arial" w:hAnsi="Arial"/>
          <w:sz w:val="20"/>
          <w:szCs w:val="20"/>
        </w:rPr>
        <w:t>2.5. Основные виды бетона обозначаются буквами: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5"/>
      <w:bookmarkEnd w:id="28"/>
      <w:r>
        <w:rPr>
          <w:rFonts w:cs="Arial" w:ascii="Arial" w:hAnsi="Arial"/>
          <w:sz w:val="20"/>
          <w:szCs w:val="20"/>
        </w:rPr>
        <w:t>Л - легкий бетон;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 - ячеистый бетон;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- плотный силикатный бетон;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 - мелкозернистый бетон.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 - жаростойкий бетон.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6"/>
      <w:bookmarkEnd w:id="29"/>
      <w:r>
        <w:rPr>
          <w:rFonts w:cs="Arial" w:ascii="Arial" w:hAnsi="Arial"/>
          <w:sz w:val="20"/>
          <w:szCs w:val="20"/>
        </w:rPr>
        <w:t>2.6. Стойкость к воздействию агрессивной среды - необходимо указывать для конструкций и изделий, предназначенных для работы в условиях воздействия агрессивной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6"/>
      <w:bookmarkStart w:id="31" w:name="sub_2602"/>
      <w:bookmarkEnd w:id="30"/>
      <w:bookmarkEnd w:id="31"/>
      <w:r>
        <w:rPr>
          <w:rFonts w:cs="Arial" w:ascii="Arial" w:hAnsi="Arial"/>
          <w:sz w:val="20"/>
          <w:szCs w:val="20"/>
        </w:rPr>
        <w:t>Стойкость к воздействию агрессивной среды, характеризуемая показателями проницаемости бетона, обозначается: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602"/>
      <w:bookmarkEnd w:id="32"/>
      <w:r>
        <w:rPr>
          <w:rFonts w:cs="Arial" w:ascii="Arial" w:hAnsi="Arial"/>
          <w:sz w:val="20"/>
          <w:szCs w:val="20"/>
        </w:rPr>
        <w:t>Н - бетон нормальной проницаемости;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 - бетон пониженной проницаемости;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- бетон особо низкой проницаемости.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06"/>
      <w:bookmarkEnd w:id="33"/>
      <w:r>
        <w:rPr>
          <w:rFonts w:cs="Arial" w:ascii="Arial" w:hAnsi="Arial"/>
          <w:sz w:val="20"/>
          <w:szCs w:val="20"/>
        </w:rPr>
        <w:t>Показатели бетона должны приниматься согласно СНиП 2.03.11-85.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606"/>
      <w:bookmarkStart w:id="35" w:name="sub_27"/>
      <w:bookmarkEnd w:id="34"/>
      <w:bookmarkEnd w:id="35"/>
      <w:r>
        <w:rPr>
          <w:rFonts w:cs="Arial" w:ascii="Arial" w:hAnsi="Arial"/>
          <w:sz w:val="20"/>
          <w:szCs w:val="20"/>
        </w:rPr>
        <w:t>2.7. Сейсмостойкость конструкций и изделий, предназначенных для зданий и сооружений с расчетной сейсмичностью 7 баллов и выше, обозначается буквой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7"/>
      <w:bookmarkStart w:id="37" w:name="sub_28"/>
      <w:bookmarkEnd w:id="36"/>
      <w:bookmarkEnd w:id="37"/>
      <w:r>
        <w:rPr>
          <w:rFonts w:cs="Arial" w:ascii="Arial" w:hAnsi="Arial"/>
          <w:sz w:val="20"/>
          <w:szCs w:val="20"/>
        </w:rPr>
        <w:t>2.8. Стойкость к воздействию повышенных и высоких температур, которая указывается для конструкций и изделий, предназначенных для работы в условиях воздействия этих температур, характеризуется классом жаростойкого бетона, устанавливаемым в зависимости от предельно допустимой температуры применения бетона согласно ГОСТ 20910-82.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8"/>
      <w:bookmarkStart w:id="39" w:name="sub_28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" w:name="sub_545146556"/>
      <w:bookmarkEnd w:id="4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20910-82 постановлением Госстроя СССР от 12 октября 1990 г. N 86 с 1 июля 1991 г. введен в действие ГОСТ 20910-90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" w:name="sub_545146556"/>
      <w:bookmarkStart w:id="42" w:name="sub_545146556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9"/>
      <w:bookmarkEnd w:id="43"/>
      <w:r>
        <w:rPr>
          <w:rFonts w:cs="Arial" w:ascii="Arial" w:hAnsi="Arial"/>
          <w:sz w:val="20"/>
          <w:szCs w:val="20"/>
        </w:rPr>
        <w:t>2.9. Особенности конструкции и изделия (наличие дополнительных закладных изделий, отверстий, проемов, вырезов и т.п.) отражаются в марке арабскими цифрами или строчными буквами.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9"/>
      <w:bookmarkStart w:id="45" w:name="sub_210"/>
      <w:bookmarkEnd w:id="44"/>
      <w:bookmarkEnd w:id="45"/>
      <w:r>
        <w:rPr>
          <w:rFonts w:cs="Arial" w:ascii="Arial" w:hAnsi="Arial"/>
          <w:sz w:val="20"/>
          <w:szCs w:val="20"/>
        </w:rPr>
        <w:t>2.10. Исключен.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0"/>
      <w:bookmarkStart w:id="47" w:name="sub_210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1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Условные буквенные обозначения наименований основных конструкций</w:t>
        <w:br/>
        <w:t>и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конструкции и изделия       │  Условное буквенное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                                          │          С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(столбчатые, плитные и т.п.)         │          Ф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ленточные                            │          ФЛ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под оборудование                     │          ФО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Фундаментные блоки и блоки стен подвалов        │          ФБ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фундаментные                              │          БФ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                                  │          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Колонные эстакады под трубопроводы              │          КЭ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                                         │          Р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(кроме оговоренных ниже)                  │          Б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подкрановые                               │          БК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обвязочные                                │          БО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подстропильные                            │          БП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стропильные                               │          БС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  пролетных    строений       эстакад под│          БЭ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перекрытий  коммуникационных   тоннелей и│          БТ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подстропильные                            │          ФП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стропильные                               │          ФС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перекрытий и покрытий                     │          П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днищ коммуникационных тоннелей и каналов  │          ПД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перекрытий  коммуникационных   тоннелей и│          ПТ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Лотки каналов                                   │          ЛК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карнизные                                 │          ПК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парапетные                                │          ПП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подоконные                                │          ПО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подушки                                 │          ОП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марши                                │          ЛМ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площадки                             │          ЛП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                                        │          ЛС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Косоуры, балки лестничных площадок              │          ЛБ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Стеновые блоки                                  │          СБ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Стеновые блоки цокольные                        │         СБЦ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стеновые                                 │          ПС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перегородок                              │          ПГ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Перемычки                                       │          ПР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подпорные                                │          СТ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железобетонные для железных дорог         │          Ш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железобетонные безнапорные: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раструбные                                      │          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фальцевые                                       │          ТФ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железобетонные напорные.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виброгидропрессованные                          │          ТН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бетонные                                  │          БТ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2007-02-10T22:40:00Z</dcterms:created>
  <dc:creator>Виктор</dc:creator>
  <dc:description/>
  <dc:language>ru-RU</dc:language>
  <cp:lastModifiedBy>Виктор</cp:lastModifiedBy>
  <dcterms:modified xsi:type="dcterms:W3CDTF">2007-02-10T22:50:00Z</dcterms:modified>
  <cp:revision>2</cp:revision>
  <dc:subject/>
  <dc:title/>
</cp:coreProperties>
</file>