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21807-76</w:t>
        <w:br/>
        <w:t>"Бункеры (бадьи) переносные вместимостью до 2 м3 для бетонной смеси. Общие технические условия"</w:t>
        <w:br/>
        <w:t>(утв. постановлением Госстроя СССР от 28 апреля 1976 г. N 59)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Concrete mixture conveying buckets to 2 m3 volume. General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с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1977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Классификация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Комплектность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Маркировка, упаковка,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Техника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бункеры (бадьи) (в дальнейшем бункеры) переносные вместимостью до 2 м3 поворотные и неповоротные, применяемые в строительстве для приема и транспортирования бетонной смеси кранами к месту бетонирования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Классификация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Бункеры классифицируются по: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конструктивному решению;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климатическому исполнению;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условию комплектации.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2"/>
      <w:bookmarkEnd w:id="5"/>
      <w:r>
        <w:rPr>
          <w:rFonts w:cs="Arial" w:ascii="Arial" w:hAnsi="Arial"/>
          <w:sz w:val="20"/>
          <w:szCs w:val="20"/>
        </w:rPr>
        <w:t>1.1.2. По конструктивному решению бункеры подразделяются на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2"/>
      <w:bookmarkStart w:id="7" w:name="sub_1121"/>
      <w:bookmarkEnd w:id="6"/>
      <w:bookmarkEnd w:id="7"/>
      <w:r>
        <w:rPr>
          <w:rFonts w:cs="Arial" w:ascii="Arial" w:hAnsi="Arial"/>
          <w:sz w:val="20"/>
          <w:szCs w:val="20"/>
        </w:rPr>
        <w:t>П - поворотные;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21"/>
      <w:bookmarkStart w:id="9" w:name="sub_1122"/>
      <w:bookmarkEnd w:id="8"/>
      <w:bookmarkEnd w:id="9"/>
      <w:r>
        <w:rPr>
          <w:rFonts w:cs="Arial" w:ascii="Arial" w:hAnsi="Arial"/>
          <w:sz w:val="20"/>
          <w:szCs w:val="20"/>
        </w:rPr>
        <w:t>Н - неповоротные.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22"/>
      <w:bookmarkStart w:id="11" w:name="sub_113"/>
      <w:bookmarkEnd w:id="10"/>
      <w:bookmarkEnd w:id="11"/>
      <w:r>
        <w:rPr>
          <w:rFonts w:cs="Arial" w:ascii="Arial" w:hAnsi="Arial"/>
          <w:sz w:val="20"/>
          <w:szCs w:val="20"/>
        </w:rPr>
        <w:t>1.1.3. По климатическому исполнению для: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13"/>
      <w:bookmarkEnd w:id="12"/>
      <w:r>
        <w:rPr>
          <w:rFonts w:cs="Arial" w:ascii="Arial" w:hAnsi="Arial"/>
          <w:sz w:val="20"/>
          <w:szCs w:val="20"/>
        </w:rPr>
        <w:t>районов с умеренным климатом;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131"/>
      <w:bookmarkEnd w:id="13"/>
      <w:r>
        <w:rPr>
          <w:rFonts w:cs="Arial" w:ascii="Arial" w:hAnsi="Arial"/>
          <w:sz w:val="20"/>
          <w:szCs w:val="20"/>
        </w:rPr>
        <w:t>ХЛ - районов с холодным климатом.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131"/>
      <w:bookmarkStart w:id="15" w:name="sub_114"/>
      <w:bookmarkEnd w:id="14"/>
      <w:bookmarkEnd w:id="15"/>
      <w:r>
        <w:rPr>
          <w:rFonts w:cs="Arial" w:ascii="Arial" w:hAnsi="Arial"/>
          <w:sz w:val="20"/>
          <w:szCs w:val="20"/>
        </w:rPr>
        <w:t>1.1.4. По условию комплектации: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4"/>
      <w:bookmarkStart w:id="17" w:name="sub_1141"/>
      <w:bookmarkEnd w:id="16"/>
      <w:bookmarkEnd w:id="17"/>
      <w:r>
        <w:rPr>
          <w:rFonts w:cs="Arial" w:ascii="Arial" w:hAnsi="Arial"/>
          <w:sz w:val="20"/>
          <w:szCs w:val="20"/>
        </w:rPr>
        <w:t>В - с вибратором;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141"/>
      <w:bookmarkEnd w:id="18"/>
      <w:r>
        <w:rPr>
          <w:rFonts w:cs="Arial" w:ascii="Arial" w:hAnsi="Arial"/>
          <w:sz w:val="20"/>
          <w:szCs w:val="20"/>
        </w:rPr>
        <w:t>без вибратора.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200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2.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200"/>
      <w:bookmarkStart w:id="21" w:name="sub_200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 xml:space="preserve">2.1. Основные параметры и размеры переносных поворотных и неповоротных бункеров для бетонной смеси должны соответствовать указанным на черт.1, 2 и в </w:t>
      </w:r>
      <w:hyperlink w:anchor="sub_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21"/>
      <w:bookmarkStart w:id="24" w:name="sub_21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" w:name="sub_1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Черт.1 "Бункер поворотный"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1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466465" cy="55721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"Черт.1. Бункер поворотный"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2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Черт.2 "Бункер неповоротный"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2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752090" cy="55721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"Черт.2. Бункер неповоротный"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" w:name="sub_10"/>
      <w:bookmarkEnd w:id="2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0"/>
      <w:bookmarkStart w:id="31" w:name="sub_10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┌────┬───────┬───────┬──────┬─────────┬─────────────────────────┬───────┐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│ Номи- │Грузо- │Допус-│Номиналь-│        Размеры, мм      │ Масса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бун-│нальная│подъем-│каемая│ная  воз-├────┬────┬─────┬────┬────┤ (без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кера│вмести-│ность, │перег-│мущающая │ a  │ a1 │  b  │ D  │  L │вибра-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мость, │  кг   │рузка,│сила виб-│    │    │     │    │    │тора),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│       │%, не │ратора,  │    │    │     │    │    │кг, не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│ Н (кгс) │    │    │     │    │    │ более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├────┼───────┼───────┼──────┼─────────┼────┼────┼─────┼────┼────┼───────┤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0,5  │ 1250  │      │  1960   │ 880│400 │ 900 │ -  │1100│  325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├───────┼───────┤      │         ├────┼────┼─────┼────┼────┼───────┤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│ 2500  │      │  (200)  │1320│600 │ 870 │ -  │1300│  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│       │      │         │    │    │     │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├────┼───────┼───────┤      ├─────────┼────┼────┼─────┼────┼────┼───────┤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│  1,6  │ 4000  │  5   │         │1420│    │ 840 │ -  │1300│  630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├───────┼───────┤      │         ├────┤    ├─────┼────┼────┼───────┤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  │ 5000  │      │  1960   │2640│600 │ 800 │ -  │1800│  900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├────┼───────┼───────┤      │         ├────┤    ├─────┼────┼────┼───────┤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11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0,5  │ 1250  │      │  (200)  │  - │    │  -  │1100│1290│  230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├───────┼───────┤      │         ├────┤    ├─────┼────┼────┼───────┤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│ 2500  │      │         │  - │    │  -  │1500│1550│  350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└────┴───────┴───────┴──────┴─────────┴────┴────┴─────┴────┴────┴───────┘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Примеры условных обозначений: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бункера поворотного вместимостью 1 м3, без вибратора, для районов с умеренным климатом: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Бункер БП-1.0 ГОСТ 21807-76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для районов с холодным климатом: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Бункер БПХЛ-1,0 ГОСТ 21807-76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с вибратором для районов с умеренным климатом: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Бункер БПВ-1,0 ГОСТ 21807-76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для районов с холодным климатом: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Бункер БПВХЛ-10 ГОСТ 21807-76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бункера неповоротного вместимостью 1 м3, без вибратора для районов с умеренным климатом: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Бункер БН-1,0 ГОСТ 21807-76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для районов с холодным климатом: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Бункер БНХЛ-1,0 ГОСТ 21807-76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с вибратором для районов с умеренным климатом: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Бункер БНВ-1,0 ГОСТ 21807-76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для районов с холодным климатом: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Бункер БНВХЛ-1,0 ГОСТ 21807-76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" w:name="sub_300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3.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" w:name="sub_300"/>
      <w:bookmarkStart w:id="34" w:name="sub_300"/>
      <w:bookmarkEnd w:id="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1"/>
      <w:bookmarkEnd w:id="35"/>
      <w:r>
        <w:rPr>
          <w:rFonts w:cs="Arial" w:ascii="Arial" w:hAnsi="Arial"/>
          <w:sz w:val="20"/>
          <w:szCs w:val="20"/>
        </w:rPr>
        <w:t>3.1. Переносные бункеры для бетонной смеси должны изготавливаться в соответствии с требованиями настоящего стандарта, климатических исполнений по ГОСТ 15150-69, по чертежам, утвержденным в установленном порядке, а также образцам (эталонам)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1"/>
      <w:bookmarkStart w:id="37" w:name="sub_32"/>
      <w:bookmarkEnd w:id="36"/>
      <w:bookmarkEnd w:id="37"/>
      <w:r>
        <w:rPr>
          <w:rFonts w:cs="Arial" w:ascii="Arial" w:hAnsi="Arial"/>
          <w:sz w:val="20"/>
          <w:szCs w:val="20"/>
        </w:rPr>
        <w:t>3.2. Предельные отклонения в размерах переносных бункеров указываются в чертежах.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2"/>
      <w:bookmarkStart w:id="39" w:name="sub_33"/>
      <w:bookmarkEnd w:id="38"/>
      <w:bookmarkEnd w:id="39"/>
      <w:r>
        <w:rPr>
          <w:rFonts w:cs="Arial" w:ascii="Arial" w:hAnsi="Arial"/>
          <w:sz w:val="20"/>
          <w:szCs w:val="20"/>
        </w:rPr>
        <w:t>3.3. Затвор бункера должен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3"/>
      <w:bookmarkEnd w:id="40"/>
      <w:r>
        <w:rPr>
          <w:rFonts w:cs="Arial" w:ascii="Arial" w:hAnsi="Arial"/>
          <w:sz w:val="20"/>
          <w:szCs w:val="20"/>
        </w:rPr>
        <w:t>а) плотное перекрытие выгрузного отверстия;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возможность порционной выгрузки бетонной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свободный (без заеданий) поворот на опорах;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усилие на рукоятке не более 60 Н (6 кгс).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Затвор должен исключать возможность саморазгрузки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4"/>
      <w:bookmarkEnd w:id="41"/>
      <w:r>
        <w:rPr>
          <w:rFonts w:cs="Arial" w:ascii="Arial" w:hAnsi="Arial"/>
          <w:sz w:val="20"/>
          <w:szCs w:val="20"/>
        </w:rPr>
        <w:t>3.4. Все резьбовые соединения должны быть законтрены.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4"/>
      <w:bookmarkStart w:id="43" w:name="sub_35"/>
      <w:bookmarkEnd w:id="42"/>
      <w:bookmarkEnd w:id="43"/>
      <w:r>
        <w:rPr>
          <w:rFonts w:cs="Arial" w:ascii="Arial" w:hAnsi="Arial"/>
          <w:sz w:val="20"/>
          <w:szCs w:val="20"/>
        </w:rPr>
        <w:t>3.5. (Исключен,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5"/>
      <w:bookmarkStart w:id="45" w:name="sub_36"/>
      <w:bookmarkEnd w:id="44"/>
      <w:bookmarkEnd w:id="45"/>
      <w:r>
        <w:rPr>
          <w:rFonts w:cs="Arial" w:ascii="Arial" w:hAnsi="Arial"/>
          <w:sz w:val="20"/>
          <w:szCs w:val="20"/>
        </w:rPr>
        <w:t>3.6. Основные детали бункеров должны изготавливаться из материалов, указанных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36"/>
      <w:bookmarkStart w:id="47" w:name="sub_36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2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20"/>
      <w:bookmarkStart w:id="50" w:name="sub_20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деталей  │             Материал для районов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умеренного климата    │ холодного климата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                  │ВСт3пс по ГОСТ 380-71    │ВСт3сп     по   ГОСТ│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380-71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Петли                   │Сталь 20 по ГОСТ 1050-74 │15ХСНД,   09 Г2С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19282-73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Затвор                  │ВСт3пс по ГОСТ 380-71    │ВСт3сп    по    ГОСТ│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380-71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изготавливать основные детали бункеров из стали других марок, обеспечивающих механические свойства не ниже чем сталей указанных марок.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7"/>
      <w:bookmarkEnd w:id="51"/>
      <w:r>
        <w:rPr>
          <w:rFonts w:cs="Arial" w:ascii="Arial" w:hAnsi="Arial"/>
          <w:sz w:val="20"/>
          <w:szCs w:val="20"/>
        </w:rPr>
        <w:t>3.7. Размеры петель бункеров должны соответствовать размерам чалочных крюков по ГОСТ 25573-82.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7"/>
      <w:bookmarkStart w:id="53" w:name="sub_38"/>
      <w:bookmarkEnd w:id="52"/>
      <w:bookmarkEnd w:id="53"/>
      <w:r>
        <w:rPr>
          <w:rFonts w:cs="Arial" w:ascii="Arial" w:hAnsi="Arial"/>
          <w:sz w:val="20"/>
          <w:szCs w:val="20"/>
        </w:rPr>
        <w:t>3.8. Петли (основной металл и сварные швы) бункеров должны иметь запас прочности по отношению к пределу текучести не менее пяти.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8"/>
      <w:bookmarkStart w:id="55" w:name="sub_39"/>
      <w:bookmarkEnd w:id="54"/>
      <w:bookmarkEnd w:id="55"/>
      <w:r>
        <w:rPr>
          <w:rFonts w:cs="Arial" w:ascii="Arial" w:hAnsi="Arial"/>
          <w:sz w:val="20"/>
          <w:szCs w:val="20"/>
        </w:rPr>
        <w:t>3.9. Допустимые параметры и продолжительность воздействия вибрации на рукоятку затвора бункера не должны превышать допустимых норм по ГОСТ 17770-86.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9"/>
      <w:bookmarkStart w:id="57" w:name="sub_310"/>
      <w:bookmarkEnd w:id="56"/>
      <w:bookmarkEnd w:id="57"/>
      <w:r>
        <w:rPr>
          <w:rFonts w:cs="Arial" w:ascii="Arial" w:hAnsi="Arial"/>
          <w:sz w:val="20"/>
          <w:szCs w:val="20"/>
        </w:rPr>
        <w:t>3.10. Типы и конструктивные элементы швов сварных соединений должны приниматься по ГОСТ 5264-80 или ГОСТ 8713-79.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10"/>
      <w:bookmarkStart w:id="59" w:name="sub_311"/>
      <w:bookmarkEnd w:id="58"/>
      <w:bookmarkEnd w:id="59"/>
      <w:r>
        <w:rPr>
          <w:rFonts w:cs="Arial" w:ascii="Arial" w:hAnsi="Arial"/>
          <w:sz w:val="20"/>
          <w:szCs w:val="20"/>
        </w:rPr>
        <w:t>3.11. Трещины, непровары, прожоги в сварных швах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11"/>
      <w:bookmarkStart w:id="61" w:name="sub_312"/>
      <w:bookmarkEnd w:id="60"/>
      <w:bookmarkEnd w:id="61"/>
      <w:r>
        <w:rPr>
          <w:rFonts w:cs="Arial" w:ascii="Arial" w:hAnsi="Arial"/>
          <w:sz w:val="20"/>
          <w:szCs w:val="20"/>
        </w:rPr>
        <w:t>3.12. Сварные соединения перед окраской должны быть приняты техническим контролем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12"/>
      <w:bookmarkStart w:id="63" w:name="sub_313"/>
      <w:bookmarkEnd w:id="62"/>
      <w:bookmarkEnd w:id="63"/>
      <w:r>
        <w:rPr>
          <w:rFonts w:cs="Arial" w:ascii="Arial" w:hAnsi="Arial"/>
          <w:sz w:val="20"/>
          <w:szCs w:val="20"/>
        </w:rPr>
        <w:t>3.13. Наружные поверхности переносных бункеров для бетонной смеси должны быть покрыты эмалью ПФ-115 по ГОСТ 6465-76 для эксплуатации на открытом воздухе в промышленной атмосфере умеренного климатического района по ГОСТ 9.032-74, IV класс, допускается окраска другими эмалями, по качеству не ниже вышеуказанной.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313"/>
      <w:bookmarkEnd w:id="64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14"/>
      <w:bookmarkEnd w:id="65"/>
      <w:r>
        <w:rPr>
          <w:rFonts w:cs="Arial" w:ascii="Arial" w:hAnsi="Arial"/>
          <w:sz w:val="20"/>
          <w:szCs w:val="20"/>
        </w:rPr>
        <w:t>3.14. Расчет сварных соединений и окраска переносных поворотных и неповоротных бункеров для бетонной смеси, применяемых в районах с холодным климатом, должны удовлетворять требованиям ГОСТ 14892-69.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14"/>
      <w:bookmarkStart w:id="67" w:name="sub_315"/>
      <w:bookmarkEnd w:id="66"/>
      <w:bookmarkEnd w:id="67"/>
      <w:r>
        <w:rPr>
          <w:rFonts w:cs="Arial" w:ascii="Arial" w:hAnsi="Arial"/>
          <w:sz w:val="20"/>
          <w:szCs w:val="20"/>
        </w:rPr>
        <w:t>3.15. Все обработанные, но не подлежащие окраске поверхности должны быть покрыты солидолом Ж по ГОСТ 1033-79.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315"/>
      <w:bookmarkStart w:id="69" w:name="sub_315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400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4. Комплектность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" w:name="sub_400"/>
      <w:bookmarkStart w:id="72" w:name="sub_400"/>
      <w:bookmarkEnd w:id="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1"/>
      <w:bookmarkEnd w:id="73"/>
      <w:r>
        <w:rPr>
          <w:rFonts w:cs="Arial" w:ascii="Arial" w:hAnsi="Arial"/>
          <w:sz w:val="20"/>
          <w:szCs w:val="20"/>
        </w:rPr>
        <w:t>4.1. Бункеры поставляются в собранном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1"/>
      <w:bookmarkStart w:id="75" w:name="sub_42"/>
      <w:bookmarkEnd w:id="74"/>
      <w:bookmarkEnd w:id="75"/>
      <w:r>
        <w:rPr>
          <w:rFonts w:cs="Arial" w:ascii="Arial" w:hAnsi="Arial"/>
          <w:sz w:val="20"/>
          <w:szCs w:val="20"/>
        </w:rPr>
        <w:t>4.2. По согласованию с заказчиком бункеры поставляются с вибратором или без вибратора.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2"/>
      <w:bookmarkStart w:id="77" w:name="sub_43"/>
      <w:bookmarkEnd w:id="76"/>
      <w:bookmarkEnd w:id="77"/>
      <w:r>
        <w:rPr>
          <w:rFonts w:cs="Arial" w:ascii="Arial" w:hAnsi="Arial"/>
          <w:sz w:val="20"/>
          <w:szCs w:val="20"/>
        </w:rPr>
        <w:t>4.3. К каждому поставляемому бункеру должен быть приложен паспорт, включающий инструкцию по эксплуатации.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43"/>
      <w:bookmarkStart w:id="79" w:name="sub_43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500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5.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500"/>
      <w:bookmarkStart w:id="82" w:name="sub_500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1"/>
      <w:bookmarkEnd w:id="83"/>
      <w:r>
        <w:rPr>
          <w:rFonts w:cs="Arial" w:ascii="Arial" w:hAnsi="Arial"/>
          <w:sz w:val="20"/>
          <w:szCs w:val="20"/>
        </w:rPr>
        <w:t>5.1. Каждый бункер должен быть принят техническим контролем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51"/>
      <w:bookmarkStart w:id="85" w:name="sub_52"/>
      <w:bookmarkEnd w:id="84"/>
      <w:bookmarkEnd w:id="85"/>
      <w:r>
        <w:rPr>
          <w:rFonts w:cs="Arial" w:ascii="Arial" w:hAnsi="Arial"/>
          <w:sz w:val="20"/>
          <w:szCs w:val="20"/>
        </w:rPr>
        <w:t>5.2. При приемке бункеров проверяются;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52"/>
      <w:bookmarkEnd w:id="86"/>
      <w:r>
        <w:rPr>
          <w:rFonts w:cs="Arial" w:ascii="Arial" w:hAnsi="Arial"/>
          <w:sz w:val="20"/>
          <w:szCs w:val="20"/>
        </w:rPr>
        <w:t>показатели внешнего вида;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бункеров, правильность установки фиксаторов и петель;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плотность перекрытия выгрузного отверстия затвора;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возможность самопроизвольного открывания затвора;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качество сварных швов;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качество лакокрасочных покрытий.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3"/>
      <w:bookmarkEnd w:id="87"/>
      <w:r>
        <w:rPr>
          <w:rFonts w:cs="Arial" w:ascii="Arial" w:hAnsi="Arial"/>
          <w:sz w:val="20"/>
          <w:szCs w:val="20"/>
        </w:rPr>
        <w:t>5.3. Потребитель имеет право проводить контрольную выборочную проверку соответствия бункеров требованиям настоящего стандарта, соблюдая при этом указанный ниже порядок отбора образцов и последовательность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53"/>
      <w:bookmarkStart w:id="89" w:name="sub_54"/>
      <w:bookmarkEnd w:id="88"/>
      <w:bookmarkEnd w:id="89"/>
      <w:r>
        <w:rPr>
          <w:rFonts w:cs="Arial" w:ascii="Arial" w:hAnsi="Arial"/>
          <w:sz w:val="20"/>
          <w:szCs w:val="20"/>
        </w:rPr>
        <w:t>5.4. Для контрольной выборочной проверки отбирается от партии один бункер каждого типоразмера. Партией считается количества бункеров, поставляемых одновременно одному потребителю, но не более 10 шт.</w:t>
      </w:r>
    </w:p>
    <w:p>
      <w:pPr>
        <w:pStyle w:val="Normal"/>
        <w:autoSpaceDE w:val="false"/>
        <w:ind w:firstLine="720"/>
        <w:jc w:val="both"/>
        <w:rPr/>
      </w:pPr>
      <w:bookmarkStart w:id="90" w:name="sub_54"/>
      <w:bookmarkStart w:id="91" w:name="sub_55"/>
      <w:bookmarkEnd w:id="90"/>
      <w:bookmarkEnd w:id="91"/>
      <w:r>
        <w:rPr>
          <w:rFonts w:cs="Arial" w:ascii="Arial" w:hAnsi="Arial"/>
          <w:sz w:val="20"/>
          <w:szCs w:val="20"/>
        </w:rPr>
        <w:t xml:space="preserve">5.5. При выборочном контроле, кроме требований, изложенных </w:t>
      </w:r>
      <w:hyperlink w:anchor="sub_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п.5.2</w:t>
        </w:r>
      </w:hyperlink>
      <w:r>
        <w:rPr>
          <w:rFonts w:cs="Arial" w:ascii="Arial" w:hAnsi="Arial"/>
          <w:sz w:val="20"/>
          <w:szCs w:val="20"/>
        </w:rPr>
        <w:t>, проверяются прочность петель и их сварных швов на нагрузку, превышаемую допускаемую на 25%.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5"/>
      <w:bookmarkStart w:id="93" w:name="sub_56"/>
      <w:bookmarkEnd w:id="92"/>
      <w:bookmarkEnd w:id="93"/>
      <w:r>
        <w:rPr>
          <w:rFonts w:cs="Arial" w:ascii="Arial" w:hAnsi="Arial"/>
          <w:sz w:val="20"/>
          <w:szCs w:val="20"/>
        </w:rPr>
        <w:t>5.6. Если при контрольной проверке хотя бы один бункер не будет удовлетворять требованиям настоящего стандарта, то потребитель имеет право проводить проверку каждого бункера данной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56"/>
      <w:bookmarkStart w:id="95" w:name="sub_57"/>
      <w:bookmarkEnd w:id="94"/>
      <w:bookmarkEnd w:id="95"/>
      <w:r>
        <w:rPr>
          <w:rFonts w:cs="Arial" w:ascii="Arial" w:hAnsi="Arial"/>
          <w:sz w:val="20"/>
          <w:szCs w:val="20"/>
        </w:rPr>
        <w:t>5.7. По требованию потребителя предприятие-изготовитель обязано предъявлять акты контрольной выборочной проверки бункеров.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57"/>
      <w:bookmarkStart w:id="97" w:name="sub_57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8" w:name="sub_600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6.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9" w:name="sub_600"/>
      <w:bookmarkStart w:id="100" w:name="sub_600"/>
      <w:bookmarkEnd w:id="1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61"/>
      <w:bookmarkEnd w:id="101"/>
      <w:r>
        <w:rPr>
          <w:rFonts w:cs="Arial" w:ascii="Arial" w:hAnsi="Arial"/>
          <w:sz w:val="20"/>
          <w:szCs w:val="20"/>
        </w:rPr>
        <w:t>6.1. Оценка внешнего вида (и формы) бункеров производится путем осмотра.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61"/>
      <w:bookmarkEnd w:id="102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62"/>
      <w:bookmarkEnd w:id="103"/>
      <w:r>
        <w:rPr>
          <w:rFonts w:cs="Arial" w:ascii="Arial" w:hAnsi="Arial"/>
          <w:sz w:val="20"/>
          <w:szCs w:val="20"/>
        </w:rPr>
        <w:t>6.2. Правильность размеров корпуса, грузоподъемных петель, затвора и установки устройства, исключающего его самопроизвольное открывание, проверяется металлической рулеткой 2-го класса точности по ГОСТ 7502-80.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62"/>
      <w:bookmarkStart w:id="105" w:name="sub_62"/>
      <w:bookmarkEnd w:id="1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6" w:name="sub_172513964"/>
      <w:bookmarkEnd w:id="106"/>
      <w:r>
        <w:rPr>
          <w:rFonts w:cs="Arial" w:ascii="Arial" w:hAnsi="Arial"/>
          <w:i/>
          <w:iCs/>
          <w:color w:val="800080"/>
          <w:sz w:val="20"/>
          <w:szCs w:val="20"/>
        </w:rPr>
        <w:t>См. ГОСТ 7502-98, введеный в действие постановлением Госстандарта РФ от 27 июля 1999 г. N 220-ст с 1 июля 2000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7" w:name="sub_172513964"/>
      <w:bookmarkStart w:id="108" w:name="sub_172513964"/>
      <w:bookmarkEnd w:id="10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63"/>
      <w:bookmarkEnd w:id="109"/>
      <w:r>
        <w:rPr>
          <w:rFonts w:cs="Arial" w:ascii="Arial" w:hAnsi="Arial"/>
          <w:sz w:val="20"/>
          <w:szCs w:val="20"/>
        </w:rPr>
        <w:t>6.3. Плотность перекрытия выгрузного отверстия затвора проверяется при полностью закрытом затворе на наличие зазора между корпусом бункера и затвором. Зазор допускается не более 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63"/>
      <w:bookmarkStart w:id="111" w:name="sub_64"/>
      <w:bookmarkEnd w:id="110"/>
      <w:bookmarkEnd w:id="111"/>
      <w:r>
        <w:rPr>
          <w:rFonts w:cs="Arial" w:ascii="Arial" w:hAnsi="Arial"/>
          <w:sz w:val="20"/>
          <w:szCs w:val="20"/>
        </w:rPr>
        <w:t>6.4. Контроль сварных швов проводить по ГОСТ 3242-79. Вид контроля - технический осмотр.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64"/>
      <w:bookmarkStart w:id="113" w:name="sub_65"/>
      <w:bookmarkEnd w:id="112"/>
      <w:bookmarkEnd w:id="113"/>
      <w:r>
        <w:rPr>
          <w:rFonts w:cs="Arial" w:ascii="Arial" w:hAnsi="Arial"/>
          <w:sz w:val="20"/>
          <w:szCs w:val="20"/>
        </w:rPr>
        <w:t>6.4. Контроль качества сварных швов проверяется по ГОСТ 3242-69 (табл.1, п.1).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65"/>
      <w:bookmarkStart w:id="115" w:name="sub_66"/>
      <w:bookmarkEnd w:id="114"/>
      <w:bookmarkEnd w:id="115"/>
      <w:r>
        <w:rPr>
          <w:rFonts w:cs="Arial" w:ascii="Arial" w:hAnsi="Arial"/>
          <w:sz w:val="20"/>
          <w:szCs w:val="20"/>
        </w:rPr>
        <w:t>6.5. Качество лакокрасочных покрытий определяется по ГОСТ 5233-67.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66"/>
      <w:bookmarkStart w:id="117" w:name="sub_67"/>
      <w:bookmarkEnd w:id="116"/>
      <w:bookmarkEnd w:id="117"/>
      <w:r>
        <w:rPr>
          <w:rFonts w:cs="Arial" w:ascii="Arial" w:hAnsi="Arial"/>
          <w:sz w:val="20"/>
          <w:szCs w:val="20"/>
        </w:rPr>
        <w:t>6.3; 6.4.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67"/>
      <w:bookmarkStart w:id="119" w:name="sub_67"/>
      <w:bookmarkEnd w:id="1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700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7. Маркировка, упаковка,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700"/>
      <w:bookmarkStart w:id="122" w:name="sub_700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71"/>
      <w:bookmarkEnd w:id="123"/>
      <w:r>
        <w:rPr>
          <w:rFonts w:cs="Arial" w:ascii="Arial" w:hAnsi="Arial"/>
          <w:sz w:val="20"/>
          <w:szCs w:val="20"/>
        </w:rPr>
        <w:t>7.1. На верхней части бункера должна прикрепляться металлическая прямоугольная табличка по ГОСТ 12969-67 и ГОСТ 12971-67, содержащая: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71"/>
      <w:bookmarkEnd w:id="124"/>
      <w:r>
        <w:rPr>
          <w:rFonts w:cs="Arial" w:ascii="Arial" w:hAnsi="Arial"/>
          <w:sz w:val="20"/>
          <w:szCs w:val="20"/>
        </w:rPr>
        <w:t>товарный знак или краткое наименование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и обозначение бункера в соответствии с настоящим стандартом;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бункера;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предельная грузоподъемность;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год и месяц выпуска.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72"/>
      <w:bookmarkEnd w:id="125"/>
      <w:r>
        <w:rPr>
          <w:rFonts w:cs="Arial" w:ascii="Arial" w:hAnsi="Arial"/>
          <w:sz w:val="20"/>
          <w:szCs w:val="20"/>
        </w:rPr>
        <w:t>7.2. Бункеры должны транспортироваться без упаковки любым видом транспорта с соблюдением правил перевозки грузов на соответствующих транспортных средствах.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72"/>
      <w:bookmarkStart w:id="127" w:name="sub_73"/>
      <w:bookmarkEnd w:id="126"/>
      <w:bookmarkEnd w:id="127"/>
      <w:r>
        <w:rPr>
          <w:rFonts w:cs="Arial" w:ascii="Arial" w:hAnsi="Arial"/>
          <w:sz w:val="20"/>
          <w:szCs w:val="20"/>
        </w:rPr>
        <w:t>7.3. Бункеры следует хранить уложенными на деревянные подкладки не более чем в два ряда.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73"/>
      <w:bookmarkStart w:id="129" w:name="sub_73"/>
      <w:bookmarkEnd w:id="1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0" w:name="sub_800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8. Техника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1" w:name="sub_800"/>
      <w:bookmarkStart w:id="132" w:name="sub_800"/>
      <w:bookmarkEnd w:id="1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8.1. Вибратор должен подключаться к сети напряжением не выше 42 В через трехконтактный штепсельный разъем.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3" w:name="sub_900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9.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4" w:name="sub_900"/>
      <w:bookmarkStart w:id="135" w:name="sub_900"/>
      <w:bookmarkEnd w:id="1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91"/>
      <w:bookmarkEnd w:id="136"/>
      <w:r>
        <w:rPr>
          <w:rFonts w:cs="Arial" w:ascii="Arial" w:hAnsi="Arial"/>
          <w:sz w:val="20"/>
          <w:szCs w:val="20"/>
        </w:rPr>
        <w:t>9.1. Изготовитель должен гарантировать соответствие бункеров требованиям настоящего стандарта при соблюдении потребителем условий транспортирования, хранения и эксплуатации, установленных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91"/>
      <w:bookmarkStart w:id="138" w:name="sub_92"/>
      <w:bookmarkEnd w:id="137"/>
      <w:bookmarkEnd w:id="138"/>
      <w:r>
        <w:rPr>
          <w:rFonts w:cs="Arial" w:ascii="Arial" w:hAnsi="Arial"/>
          <w:sz w:val="20"/>
          <w:szCs w:val="20"/>
        </w:rPr>
        <w:t>9.2. Гарантийный срок службы бункера - не менее года с начала эксплуатации, но не более 18 месяцев со дня отгрузки с предприятия-изготовителя.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92"/>
      <w:bookmarkStart w:id="140" w:name="sub_92"/>
      <w:bookmarkEnd w:id="1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2006-08-21T18:20:00Z</dcterms:created>
  <dc:creator>Виктор</dc:creator>
  <dc:description/>
  <dc:language>ru-RU</dc:language>
  <cp:lastModifiedBy>Виктор</cp:lastModifiedBy>
  <dcterms:modified xsi:type="dcterms:W3CDTF">2006-08-21T18:20:00Z</dcterms:modified>
  <cp:revision>2</cp:revision>
  <dc:subject/>
  <dc:title/>
</cp:coreProperties>
</file>