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Государственный стандарт Союза ССР ГОСТ 21.607-82</w:t>
        <w:br/>
        <w:t>"Система проектной документации для строительства.</w:t>
        <w:br/>
        <w:t>Электрическое освещение территории промышленных предприятий.</w:t>
        <w:br/>
        <w:t>Рабочие чертежи"</w:t>
        <w:br/>
        <w:t>(утв. постановлением Госстроя СССР от 28 июля 1982 г. N 193)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z w:val="20"/>
          <w:szCs w:val="20"/>
          <w:lang w:val="en-US"/>
        </w:rPr>
        <w:t xml:space="preserve">System of building design documents.lighting forindustrial project site. </w:t>
      </w:r>
      <w:r>
        <w:rPr>
          <w:rFonts w:cs="Arial" w:ascii="Arial" w:hAnsi="Arial"/>
          <w:b/>
          <w:bCs/>
          <w:sz w:val="20"/>
          <w:szCs w:val="20"/>
        </w:rPr>
        <w:t>Working drawings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с 1 июля 1983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Основной комплект рабочих чертежей марки ЭН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устанавливает состав и правила оформления рабочих чертежей электрического освещения территории промышленных предприятий всех отраслей промышленности и народного хозяйства.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sz w:val="20"/>
          <w:szCs w:val="20"/>
        </w:rPr>
        <w:t>1.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Рабочие чертежи электрического освещения территории промышленного предприятия (далее - рабочие чертежи освещения территории) выполняют в соответствии с требованиями настоящего стандарта и других стандартов системы проектной документации для строительства.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В состав рабочих чертежей освещения территории включают: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рабочие чертежи, предназначенные для производства электромонтажных работ (основной комплект рабочих чертежей марки ЭН);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эскизные чертежи общих видов нетиповых конструкций, предназначенных для установки осветительных приборов и электрооборудования.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" w:name="sub_200"/>
      <w:bookmarkEnd w:id="3"/>
      <w:r>
        <w:rPr>
          <w:rFonts w:cs="Arial" w:ascii="Arial" w:hAnsi="Arial"/>
          <w:b/>
          <w:bCs/>
          <w:sz w:val="20"/>
          <w:szCs w:val="20"/>
        </w:rPr>
        <w:t>2. Основной комплект рабочих чертежей марки ЭН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" w:name="sub_200"/>
      <w:bookmarkStart w:id="5" w:name="sub_200"/>
      <w:bookmarkEnd w:id="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В состав основного комплекта рабочих чертежей марки ЭН включают: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общие данные по рабочим чертежам;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план освещения территории;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ведомость опор и прожекторных мачт с установленными на них осветительными приборами и электрооборудованием;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схемы питания и управления освещением территории;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чертежи нетиповых узлов установки осветительных приборов и электрооборудования.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Рабочие чертежи освещения территории допускается оформлять отдельными документами с присвоением им базовой марки основного комплекта и добавлением через точку порядкового номера документа, обозначаемого арабскими цифрами, например, общие данные по рабочим чертежам (ЭН1.1), план освещения территории (ЭН1.2).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 Общие данные по рабочим чертежам выполняют по ГОСТ 21.102-79 с учетом следующих дополнительных требований: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ведомость спецификаций не составляют;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оформлении рабочих чертежей освещения территории отдельными документами в состав общих данных включают ведомость документов по форме 2 ГОСТ 21.102-79, а в каждый из последующих документов - ведомость рабочих чертежей документа по форме 1 ГОСТ 21.102-79 и ссылку на общие данные по рабочим чертежам освещения территории.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 План освещения территории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2.4.1. Для разработки плана освещения территории в качестве подосновы используют рабочие чертежи генерального плана.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Фрагменты плана освещения территории выполняют в масштабе 1:200 и 1:500.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2.4.2. На плане освещения территории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опоры с установленными на них светильниками и опоры для прокладки воздушных линий;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светильники, установленные на зданиях или сооружениях и подвешенные на тросах;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мачты и вышки с прожекторами;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электротехнические устройства, от которых питается освещение территории;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сети освещения территории и сети управления освещением территории (при наличии дистанционного управления);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заземляющие и другие необходимые устройства;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трубные переходы под дорогами для прокладки кабелей;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позиции опор, прожекторных мачт (вышек);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буквенно-цифровые обозначения источников питания и управления;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фазы сети, к которым подключают светильники и прожекторы;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привязочные размеры для опор, прожекторных мачт (вышек);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расстояния между осями опор (в метрах).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Привязочные размеры для опор, прожекторных мачт (вышек) указывают от строительной координатной сетки, от осей дорог, наружной поверхности стен здания и сооружения или от других ориентиров на территории.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900680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68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6" w:name="sub_1"/>
      <w:bookmarkEnd w:id="6"/>
      <w:r>
        <w:rPr>
          <w:rFonts w:cs="Arial" w:ascii="Arial" w:hAnsi="Arial"/>
          <w:sz w:val="20"/>
          <w:szCs w:val="20"/>
        </w:rPr>
        <w:t>"Чертеж 1"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" w:name="sub_1"/>
      <w:bookmarkStart w:id="8" w:name="sub_1"/>
      <w:bookmarkEnd w:id="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Если опоры на прямолинейных участках сети расположены последовательно на одинаковых расстояниях друг от друга, то расстояния между ними указывают только по концам участков.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Пример оформления плана освещения территории приведен на </w:t>
      </w:r>
      <w:hyperlink w:anchor="sub_1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2.5. Ведомость опор и прожекторных мачт с установленными на них осветительными приборами выполняют по </w:t>
      </w:r>
      <w:hyperlink w:anchor="sub_11">
        <w:r>
          <w:rPr>
            <w:rStyle w:val="Style15"/>
            <w:rFonts w:cs="Arial" w:ascii="Arial" w:hAnsi="Arial"/>
            <w:sz w:val="20"/>
            <w:szCs w:val="20"/>
            <w:u w:val="single"/>
          </w:rPr>
          <w:t>форме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графах формы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графе "Поз." - позиции опор и прожекторных мачт по плану освещения территории;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графе "Обозначение" - обозначение документов на опоры и прожекторные мачты;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графе "Наименование" - наименование опор, прожекторных мачт и их тип, а также типов осветительных приборов и электрооборудования;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графе "Кол." - количество элементов по плану освещения территории;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графе "Примечание" - дополнительные сведения, относящиеся к записанным в ведомость элементам.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Пример заполнения ведомости приведен в справочном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" w:name="sub_11"/>
      <w:bookmarkEnd w:id="9"/>
      <w:r>
        <w:rPr>
          <w:rFonts w:cs="Arial" w:ascii="Arial" w:hAnsi="Arial"/>
          <w:b/>
          <w:bCs/>
          <w:sz w:val="20"/>
          <w:szCs w:val="20"/>
        </w:rPr>
        <w:t>Форма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" w:name="sub_11"/>
      <w:bookmarkStart w:id="11" w:name="sub_11"/>
      <w:bookmarkEnd w:id="1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Ведомость опор и прожекторных мачт с установленными на них осветительными</w:t>
        <w:br/>
        <w:t>приборами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drawing>
          <wp:inline distT="0" distB="0" distL="0" distR="0">
            <wp:extent cx="8699500" cy="356108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356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"Форма 1. Ведомость опор и прожекторных мачт с установленными на них осветительными приборами"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2.6. Схемы питания и управления освещением территории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2.6.1. В состав схем питания и управления освещением территории включают: принципиальные схемы питания освещения территории;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принципиальные схемы дистанционного управления освещением территории;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схемы подключения комплектных распределительных устройств до 1000 В (при наличии дистанционного управления).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2.6.2. Принципиальные схемы питания освещения территории выполняют в соответствии с требованиями настоящего стандарта и с учетом требований ГОСТ 2.702-75.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схемах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аппараты защиты и управления, относящиеся к освещению территории, установленные на источниках питания и комплектных распределительных устройствах напряжением 1000 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линии сети питания освещения территории;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буквенно-цифровые обозначения (при необходимости) источников питания, комплектных распределительных устройств напряжением до 1000 В, линий сети освещения территории;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типы комплектных распределительных устройств;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номинальный ток аппаратов защиты и управления;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расчетные данные, сечения проводников и назначение линий сети освещения территории.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Принципиальную схему питания освещения территории выполняют по </w:t>
      </w:r>
      <w:hyperlink w:anchor="sub_22">
        <w:r>
          <w:rPr>
            <w:rStyle w:val="Style15"/>
            <w:rFonts w:cs="Arial" w:ascii="Arial" w:hAnsi="Arial"/>
            <w:sz w:val="20"/>
            <w:szCs w:val="20"/>
            <w:u w:val="single"/>
          </w:rPr>
          <w:t>форме 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Пример оформления схемы приведен на </w:t>
      </w:r>
      <w:hyperlink w:anchor="sub_2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" w:name="sub_22"/>
      <w:bookmarkEnd w:id="12"/>
      <w:r>
        <w:rPr>
          <w:rFonts w:cs="Arial" w:ascii="Arial" w:hAnsi="Arial"/>
          <w:b/>
          <w:bCs/>
          <w:sz w:val="20"/>
          <w:szCs w:val="20"/>
        </w:rPr>
        <w:t>Форма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" w:name="sub_22"/>
      <w:bookmarkEnd w:id="13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563235" cy="3581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23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</w:t>
      </w:r>
      <w:r>
        <w:rPr>
          <w:rFonts w:cs="Courier New" w:ascii="Courier New" w:hAnsi="Courier New"/>
          <w:sz w:val="20"/>
          <w:szCs w:val="20"/>
          <w:lang w:val="ru-RU" w:eastAsia="ru-RU"/>
        </w:rPr>
        <w:t>\────┬───────────────────────────────────┬────────────────────────────────────────┬─────────────────┬────────────┬──\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│    Сеть освещения  территории     │  Питающий пункт: номер по плану, тип   │   Маркировка -  │  Источник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</w:t>
      </w:r>
      <w:r>
        <w:rPr>
          <w:rFonts w:cs="Courier New" w:ascii="Courier New" w:hAnsi="Courier New"/>
          <w:sz w:val="20"/>
          <w:szCs w:val="20"/>
          <w:lang w:val="ru-RU" w:eastAsia="ru-RU"/>
        </w:rPr>
        <w:t>\────┼─────────┬────────┬────────────────┼─────────────┬─────────────┬────────────┤    расчетная    │  питания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Назначе- │Установ-│  Маркировка -  │  Пускатель  │ Выключатель │  Аппарат   │ нагрузка, кВт - │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   │ ленная │    расчетная   │  магнитный  │  автомати-  │   ввода    │   коэффициент   │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линии   │мощ-    │ нагрузка, кВт -│             │    ческий   │            │    мощности -   │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│         │ность,  │   коэффициент  │             │             │            │ расчетный ток, А│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кВт     │   мощности -   │             │             │            │                 │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│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расчетный ток, │             │             │            │                 │            │  │65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│         │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│             │             │            │                 │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</w:t>
      </w:r>
      <w:r>
        <w:rPr>
          <w:rFonts w:cs="Courier New" w:ascii="Courier New" w:hAnsi="Courier New"/>
          <w:sz w:val="20"/>
          <w:szCs w:val="20"/>
          <w:lang w:val="ru-RU" w:eastAsia="ru-RU"/>
        </w:rPr>
        <w:t>\────┤         │        │ ────────────── ├─────────────┼─────────────┼────────────┼─────────────────┤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│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участка, │  Тип - ток  │  Тип - ток  │ Тип - ток  │Длина участка, м-│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│         │        │   м - марка и  │ нагреватель-│расцепителя, │расцепителя,│ марка и сечение │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│         │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сечение    │     ного    │     А       │     А      │    проводника   │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│   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проводника   │ элемента, А │             │            │                 │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</w:t>
      </w:r>
      <w:r>
        <w:rPr>
          <w:rFonts w:cs="Courier New" w:ascii="Courier New" w:hAnsi="Courier New"/>
          <w:sz w:val="20"/>
          <w:szCs w:val="20"/>
          <w:lang w:val="ru-RU" w:eastAsia="ru-RU"/>
        </w:rPr>
        <w:t>\────┼─────────┼────────┼────────────────┼─────────────┼─────────────┼────────────┼─────────────────┼────────────┼──\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 │   16   │       70       │      30     │      30     │     30     │        70       │     25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─</w:t>
      </w:r>
      <w:r>
        <w:rPr>
          <w:rFonts w:cs="Courier New" w:ascii="Courier New" w:hAnsi="Courier New"/>
          <w:sz w:val="20"/>
          <w:szCs w:val="20"/>
          <w:lang w:val="ru-RU" w:eastAsia="ru-RU"/>
        </w:rPr>
        <w:t>/─────────/────────/────────────────/─────────────/─────────────/────────────/─────────────────/────────────/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│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287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─</w:t>
      </w:r>
      <w:r>
        <w:rPr>
          <w:rFonts w:cs="Courier New" w:ascii="Courier New" w:hAnsi="Courier New"/>
          <w:sz w:val="20"/>
          <w:szCs w:val="20"/>
          <w:lang w:val="ru-RU" w:eastAsia="ru-RU"/>
        </w:rPr>
        <w:t>/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/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│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4" w:name="sub_2"/>
      <w:bookmarkEnd w:id="14"/>
      <w:r>
        <w:rPr>
          <w:rFonts w:cs="Arial" w:ascii="Arial" w:hAnsi="Arial"/>
          <w:sz w:val="20"/>
          <w:szCs w:val="20"/>
        </w:rPr>
        <w:t>"Чертеж 2"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" w:name="sub_2"/>
      <w:bookmarkStart w:id="16" w:name="sub_2"/>
      <w:bookmarkEnd w:id="1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2.6.3. Принципиальные схемы дистанционного управления освещением территории и схемы подключения комплектных распределительных устройств до 1000 В выполняют с учетом требований ГОСТ 2.702-75.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2.7. В состав чертежей нетиповых узлов установки осветительных приборов и электрооборудования включают виды и разрезы, необходимые для осуществления монтажа.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видах и разрезах наносят позиции элементов узлов и установочные размеры.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чертежах нетиповых узлов приводят спецификации по форме 1 ГОСТ 21.104-79.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Эскизные чертежи общих видов нетиповых конструкций, предназначенных для установки осветительных приборов и электрооборудования, выполняют в соответствии с требованиями ГОСТ 2.119-73 в объеме, необходимом для разработки конструкторской документации по ГОСТ 2.103-68.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" w:name="sub_1000"/>
      <w:bookmarkEnd w:id="17"/>
      <w:r>
        <w:rPr>
          <w:rFonts w:cs="Arial" w:ascii="Arial" w:hAnsi="Arial"/>
          <w:b/>
          <w:bCs/>
          <w:sz w:val="20"/>
          <w:szCs w:val="20"/>
        </w:rPr>
        <w:t>Приложение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" w:name="sub_1000"/>
      <w:bookmarkEnd w:id="18"/>
      <w:r>
        <w:rPr>
          <w:rFonts w:cs="Arial" w:ascii="Arial" w:hAnsi="Arial"/>
          <w:b/>
          <w:bCs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Пример заполнения ведомости опор и прожекторных мачт с установленными</w:t>
        <w:br/>
        <w:t>на них осветительными приборами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drawing>
          <wp:inline distT="0" distB="0" distL="0" distR="0">
            <wp:extent cx="4648200" cy="3581400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"Пример заполнения ведомости опор и прожекторных мачт с установленными на них осветительными приборами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2007-04-23T09:38:00Z</dcterms:created>
  <dc:creator>VIKTOR</dc:creator>
  <dc:description/>
  <dc:language>ru-RU</dc:language>
  <cp:lastModifiedBy>VIKTOR</cp:lastModifiedBy>
  <dcterms:modified xsi:type="dcterms:W3CDTF">2007-04-23T09:38:00Z</dcterms:modified>
  <cp:revision>2</cp:revision>
  <dc:subject/>
  <dc:title/>
</cp:coreProperties>
</file>