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1.png" ContentType="image/png"/>
  <Override PartName="/word/media/image30.png" ContentType="image/png"/>
  <Override PartName="/word/media/image29.png" ContentType="image/png"/>
  <Override PartName="/word/media/image28.png" ContentType="image/png"/>
  <Override PartName="/word/media/image27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9.png" ContentType="image/png"/>
  <Override PartName="/word/media/image10.png" ContentType="image/png"/>
  <Override PartName="/word/media/image23.png" ContentType="image/png"/>
  <Override PartName="/word/media/image8.png" ContentType="image/png"/>
  <Override PartName="/word/media/image1.png" ContentType="image/png"/>
  <Override PartName="/word/media/image6.png" ContentType="image/png"/>
  <Override PartName="/word/media/image21.png" ContentType="image/png"/>
  <Override PartName="/word/media/image2.png" ContentType="image/png"/>
  <Override PartName="/word/media/image7.png" ContentType="image/png"/>
  <Override PartName="/word/media/image22.png" ContentType="image/png"/>
  <Override PartName="/word/media/image3.png" ContentType="image/png"/>
  <Override PartName="/word/media/image4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5.png" ContentType="image/png"/>
  <Override PartName="/word/media/image20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Межгосударственный стандарт ГОСТ 21.508-93</w:t>
        <w:br/>
        <w:t>"Система проектной документации для строительства.</w:t>
        <w:br/>
        <w:t>Правила выполнения рабочей документации генеральных планов предприятий, сооружений и жилищно-гражданских объектов"</w:t>
        <w:br/>
        <w:t>(принят Межгосударственной научно-технической комиссией по стандартизациии техническому нормированию в строительстве 10 ноября 1993 г.)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Дата введения 9 января 1994 г.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Взамен ГОСТ 21.508-85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i/>
          <w:i/>
          <w:iCs/>
          <w:sz w:val="20"/>
          <w:szCs w:val="20"/>
        </w:rPr>
      </w:pPr>
      <w:bookmarkStart w:id="0" w:name="sub_35148520"/>
      <w:bookmarkEnd w:id="0"/>
      <w:r>
        <w:rPr>
          <w:rFonts w:cs="Arial" w:ascii="Arial" w:hAnsi="Arial"/>
          <w:i/>
          <w:iCs/>
          <w:sz w:val="20"/>
          <w:szCs w:val="20"/>
        </w:rPr>
        <w:t>Межгосударственный стандарт подлежит введению в действие на территории РФ национальным органом по стандартизации</w:t>
      </w:r>
    </w:p>
    <w:p>
      <w:pPr>
        <w:pStyle w:val="Normal"/>
        <w:autoSpaceDE w:val="false"/>
        <w:jc w:val="both"/>
        <w:rPr>
          <w:rFonts w:ascii="Arial" w:hAnsi="Arial" w:cs="Arial"/>
          <w:i/>
          <w:i/>
          <w:iCs/>
          <w:sz w:val="20"/>
          <w:szCs w:val="20"/>
        </w:rPr>
      </w:pPr>
      <w:bookmarkStart w:id="1" w:name="sub_35148520"/>
      <w:bookmarkStart w:id="2" w:name="sub_35148520"/>
      <w:bookmarkEnd w:id="2"/>
      <w:r>
        <w:rPr>
          <w:rFonts w:cs="Arial" w:ascii="Arial" w:hAnsi="Arial"/>
          <w:i/>
          <w:iCs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1.  Область применения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2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2.  Нормативные ссылки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3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3.  Общие положения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4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4.  Общие данные по рабочим чертежам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5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5.  Разбивочный план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6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6.  План организации рельефа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7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7.  План земляных масс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8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8.  Сводный план инженерных сетей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9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9.  План благоустройства территории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1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10. Эскизные чертежи общих видов нетиповых изделий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А. Пример оформления ведомости разработок чертежа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2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Б. Пример  оформления  ведомости  разработок сводного  плана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sz w:val="20"/>
          <w:szCs w:val="20"/>
          <w:u w:val="single"/>
          <w:lang w:val="ru-RU" w:eastAsia="ru-RU"/>
        </w:rPr>
        <w:t>инженерных сетей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3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В. Пример оформления экспликации зданий и сооружений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4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Г. Пример оформления ведомости жилых и  общественных  зданий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sz w:val="20"/>
          <w:szCs w:val="20"/>
          <w:u w:val="single"/>
          <w:lang w:val="ru-RU" w:eastAsia="ru-RU"/>
        </w:rPr>
        <w:t>и сооружений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5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Д. Пример оформления ведомости водоотводных сооружений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6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Е. Пример оформления разбивочного плана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7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Ж. Пример оформления плана  организации рельефа  в проектных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sz w:val="20"/>
          <w:szCs w:val="20"/>
          <w:u w:val="single"/>
          <w:lang w:val="ru-RU" w:eastAsia="ru-RU"/>
        </w:rPr>
        <w:t>горизонталях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8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И. Пример оформления плана организации  рельефа  в проектных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sz w:val="20"/>
          <w:szCs w:val="20"/>
          <w:u w:val="single"/>
          <w:lang w:val="ru-RU" w:eastAsia="ru-RU"/>
        </w:rPr>
        <w:t>отметках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9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К. Пример оформления плана земляных масс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0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Л. Пример оформления ведомости объемов земляных масс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1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М. Пример оформления сводного плана инженерных сетей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2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Н. Пример  оформления  ведомости  малых  архитектурных  форм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sz w:val="20"/>
          <w:szCs w:val="20"/>
          <w:u w:val="single"/>
          <w:lang w:val="ru-RU" w:eastAsia="ru-RU"/>
        </w:rPr>
        <w:t>и переносных изделий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3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П. Пример оформления ведомости элементов озеленения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4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Р. Примеры  оформления   ведомостей   тротуаров,    дорожек,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sz w:val="20"/>
          <w:szCs w:val="20"/>
          <w:u w:val="single"/>
          <w:lang w:val="ru-RU" w:eastAsia="ru-RU"/>
        </w:rPr>
        <w:t>площадок и дорог, подъездов и проездов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5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С. Пример оформления сечений тротуаров, дорожек и площадок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6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Т. Пример оформления плана озеленения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7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У. Пример оформления плана расположения малых  архитектурных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sz w:val="20"/>
          <w:szCs w:val="20"/>
          <w:u w:val="single"/>
          <w:lang w:val="ru-RU" w:eastAsia="ru-RU"/>
        </w:rPr>
        <w:t>форм и переносных изделий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80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Приложение Ф. Пример оформления  плана  проездов,   тротуаров, дорожек,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sz w:val="20"/>
          <w:szCs w:val="20"/>
          <w:u w:val="single"/>
          <w:lang w:val="ru-RU" w:eastAsia="ru-RU"/>
        </w:rPr>
        <w:t>площадок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bookmarkStart w:id="3" w:name="sub_100"/>
      <w:bookmarkEnd w:id="3"/>
      <w:r>
        <w:rPr>
          <w:rFonts w:cs="Arial" w:ascii="Arial" w:hAnsi="Arial"/>
          <w:b/>
          <w:bCs/>
          <w:sz w:val="20"/>
          <w:szCs w:val="20"/>
        </w:rPr>
        <w:t>1. Область применения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bookmarkStart w:id="4" w:name="sub_100"/>
      <w:bookmarkStart w:id="5" w:name="sub_100"/>
      <w:bookmarkEnd w:id="5"/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Настоящий стандарт устанавливает состав и правила оформления рабочей документации генеральных планов предприятий, сооружений и жилищно-гражданских объектов</w:t>
      </w:r>
      <w:hyperlink w:anchor="sub_991">
        <w:r>
          <w:rPr>
            <w:rStyle w:val="Style15"/>
            <w:rFonts w:cs="Arial" w:ascii="Arial" w:hAnsi="Arial"/>
            <w:sz w:val="20"/>
            <w:szCs w:val="20"/>
            <w:u w:val="single"/>
          </w:rPr>
          <w:t>*(1)</w:t>
        </w:r>
      </w:hyperlink>
      <w:r>
        <w:rPr>
          <w:rFonts w:cs="Arial" w:ascii="Arial" w:hAnsi="Arial"/>
          <w:sz w:val="20"/>
          <w:szCs w:val="20"/>
        </w:rPr>
        <w:t xml:space="preserve"> различного назначения (далее - генеральные планы).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bookmarkStart w:id="6" w:name="sub_200"/>
      <w:bookmarkEnd w:id="6"/>
      <w:r>
        <w:rPr>
          <w:rFonts w:cs="Arial" w:ascii="Arial" w:hAnsi="Arial"/>
          <w:b/>
          <w:bCs/>
          <w:sz w:val="20"/>
          <w:szCs w:val="20"/>
        </w:rPr>
        <w:t>2. Нормативные ссылки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bookmarkStart w:id="7" w:name="sub_200"/>
      <w:bookmarkStart w:id="8" w:name="sub_200"/>
      <w:bookmarkEnd w:id="8"/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настоящем стандарте использованы ссылки на следующие стандарты: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2.303-68 ЕСКД. Линии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21.101-93 СПДС. Основные требования к рабочей документации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21.109-80 СПДС. Ведомости потребности в материалах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21.111-84 СПДС. Ведомости объемов строительных и монтажных работ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i/>
          <w:i/>
          <w:iCs/>
          <w:sz w:val="20"/>
          <w:szCs w:val="20"/>
        </w:rPr>
      </w:pPr>
      <w:bookmarkStart w:id="9" w:name="sub_35150644"/>
      <w:bookmarkEnd w:id="9"/>
      <w:r>
        <w:rPr>
          <w:rFonts w:cs="Arial" w:ascii="Arial" w:hAnsi="Arial"/>
          <w:i/>
          <w:iCs/>
          <w:sz w:val="20"/>
          <w:szCs w:val="20"/>
        </w:rPr>
        <w:t>Взамен ГОСТ 21.109-80 и ГОСТ 21.111-84 постановлением Минстроя РФ от 5 июня 1995 г. N 18-55 введен в действие ГОСТ 21.110-95</w:t>
      </w:r>
    </w:p>
    <w:p>
      <w:pPr>
        <w:pStyle w:val="Normal"/>
        <w:autoSpaceDE w:val="false"/>
        <w:jc w:val="both"/>
        <w:rPr>
          <w:rFonts w:ascii="Arial" w:hAnsi="Arial" w:cs="Arial"/>
          <w:i/>
          <w:i/>
          <w:iCs/>
          <w:sz w:val="20"/>
          <w:szCs w:val="20"/>
        </w:rPr>
      </w:pPr>
      <w:bookmarkStart w:id="10" w:name="sub_35150644"/>
      <w:bookmarkStart w:id="11" w:name="sub_35150644"/>
      <w:bookmarkEnd w:id="11"/>
      <w:r>
        <w:rPr>
          <w:rFonts w:cs="Arial" w:ascii="Arial" w:hAnsi="Arial"/>
          <w:i/>
          <w:i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21.204-93 СПДС. Условные графические обозначения и изображения элементов генеральных планов и сооружений транспорта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21.510-83 СПДС. Правила выполнения рабочих чертежей железнодорожных путей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21.511-83 СПДС. Правила выполнения рабочих чертежей автомобильных дорог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i/>
          <w:i/>
          <w:iCs/>
          <w:sz w:val="20"/>
          <w:szCs w:val="20"/>
        </w:rPr>
      </w:pPr>
      <w:bookmarkStart w:id="12" w:name="sub_35150860"/>
      <w:bookmarkEnd w:id="12"/>
      <w:r>
        <w:rPr>
          <w:rFonts w:cs="Arial" w:ascii="Arial" w:hAnsi="Arial"/>
          <w:i/>
          <w:iCs/>
          <w:sz w:val="20"/>
          <w:szCs w:val="20"/>
        </w:rPr>
        <w:t>ГОСТ 21.511-83 постановлением Минстроя РФ от 23 января 1997 г. N 18-2 признан не действующим на территории РФ с 1 июня 1997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i/>
          <w:i/>
          <w:iCs/>
          <w:sz w:val="20"/>
          <w:szCs w:val="20"/>
        </w:rPr>
      </w:pPr>
      <w:bookmarkStart w:id="13" w:name="sub_35150860"/>
      <w:bookmarkEnd w:id="13"/>
      <w:r>
        <w:rPr>
          <w:rFonts w:cs="Arial" w:ascii="Arial" w:hAnsi="Arial"/>
          <w:i/>
          <w:iCs/>
          <w:sz w:val="20"/>
          <w:szCs w:val="20"/>
        </w:rPr>
        <w:t>См. ГОСТ Р 21.1701-97 "СПДС. Правила выполнения рабочей документации автомобильных дорог", введенный в действие с 1 июня 1997 г.</w:t>
      </w:r>
    </w:p>
    <w:p>
      <w:pPr>
        <w:pStyle w:val="Normal"/>
        <w:autoSpaceDE w:val="false"/>
        <w:jc w:val="both"/>
        <w:rPr>
          <w:rFonts w:ascii="Arial" w:hAnsi="Arial" w:cs="Arial"/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i/>
          <w:i/>
          <w:iCs/>
          <w:sz w:val="20"/>
          <w:szCs w:val="20"/>
        </w:rPr>
      </w:pPr>
      <w:r>
        <w:rPr>
          <w:rFonts w:cs="Courier New" w:ascii="Courier New" w:hAnsi="Courier New"/>
          <w:i/>
          <w:iCs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bookmarkStart w:id="14" w:name="sub_300"/>
      <w:bookmarkEnd w:id="14"/>
      <w:r>
        <w:rPr>
          <w:rFonts w:cs="Arial" w:ascii="Arial" w:hAnsi="Arial"/>
          <w:b/>
          <w:bCs/>
          <w:sz w:val="20"/>
          <w:szCs w:val="20"/>
        </w:rPr>
        <w:t>3. Общие положения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bookmarkStart w:id="15" w:name="sub_300"/>
      <w:bookmarkStart w:id="16" w:name="sub_300"/>
      <w:bookmarkEnd w:id="16"/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3.1. Рабочую документацию генеральных планов выполняют в соответствии с требованиями настоящего стандарта, ГОСТ 21.101 и других взаимосвязанных стандартов системы проектной документации для строительства (СПДС).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3.2. В состав рабочей документации генерального плана включают: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рабочие чертежи генерального плана (основной комплект рабочих чертежей марки ГП. При объединении в одном основном комплекте рабочих чертежей генерального плана и сооружений транспорта основному комплекту рабочих чертежей присваивают марку ГТ);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эскизные чертежи общих видов нетиповых изделий, конструкций, устройств и малых архитектурных форм (далее - эскизные чертежи общих видов нетиповых изделий);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- ведомость потребности в материалах - по ГОСТ 21.109</w:t>
      </w:r>
      <w:hyperlink w:anchor="sub_992">
        <w:r>
          <w:rPr>
            <w:rStyle w:val="Style15"/>
            <w:rFonts w:cs="Arial" w:ascii="Arial" w:hAnsi="Arial"/>
            <w:sz w:val="20"/>
            <w:szCs w:val="20"/>
            <w:u w:val="single"/>
          </w:rPr>
          <w:t>*(2)</w:t>
        </w:r>
      </w:hyperlink>
      <w:r>
        <w:rPr>
          <w:rFonts w:cs="Arial" w:ascii="Arial" w:hAnsi="Arial"/>
          <w:sz w:val="20"/>
          <w:szCs w:val="20"/>
        </w:rPr>
        <w:t>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ведомость объемов строительных и монтажных работ - по ГОСТ 21.111</w:t>
      </w:r>
      <w:hyperlink w:anchor="sub_992">
        <w:r>
          <w:rPr>
            <w:rStyle w:val="Style15"/>
            <w:rFonts w:cs="Arial" w:ascii="Arial" w:hAnsi="Arial"/>
            <w:sz w:val="20"/>
            <w:szCs w:val="20"/>
            <w:u w:val="single"/>
          </w:rPr>
          <w:t>*(2)</w:t>
        </w:r>
      </w:hyperlink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i/>
          <w:i/>
          <w:iCs/>
          <w:sz w:val="20"/>
          <w:szCs w:val="20"/>
        </w:rPr>
      </w:pPr>
      <w:bookmarkStart w:id="17" w:name="sub_35151472"/>
      <w:bookmarkEnd w:id="17"/>
      <w:r>
        <w:rPr>
          <w:rFonts w:cs="Arial" w:ascii="Arial" w:hAnsi="Arial"/>
          <w:i/>
          <w:iCs/>
          <w:sz w:val="20"/>
          <w:szCs w:val="20"/>
        </w:rPr>
        <w:t>Взамен ГОСТ 21.109-80 и ГОСТ 21.111-84 постановлением Минстроя РФ от 5 июня 1995 г. N 18-55 введен в действие ГОСТ 21.110-95</w:t>
      </w:r>
    </w:p>
    <w:p>
      <w:pPr>
        <w:pStyle w:val="Normal"/>
        <w:autoSpaceDE w:val="false"/>
        <w:jc w:val="both"/>
        <w:rPr>
          <w:rFonts w:ascii="Arial" w:hAnsi="Arial" w:cs="Arial"/>
          <w:i/>
          <w:i/>
          <w:iCs/>
          <w:sz w:val="20"/>
          <w:szCs w:val="20"/>
        </w:rPr>
      </w:pPr>
      <w:bookmarkStart w:id="18" w:name="sub_35151472"/>
      <w:bookmarkStart w:id="19" w:name="sub_35151472"/>
      <w:bookmarkEnd w:id="19"/>
      <w:r>
        <w:rPr>
          <w:rFonts w:cs="Arial" w:ascii="Arial" w:hAnsi="Arial"/>
          <w:i/>
          <w:i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3.3. В состав основного комплекта рабочих чертежей генерального плана включают: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общие данные по рабочим чертежам;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разбивочный план;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план организации рельефа;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план земляных масс;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сводный план инженерных сетей;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план благоустройства территории;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- выносные элементы (фрагменты, узлы) по ГОСТ 21.101</w:t>
      </w:r>
      <w:hyperlink w:anchor="sub_993">
        <w:r>
          <w:rPr>
            <w:rStyle w:val="Style15"/>
            <w:rFonts w:cs="Arial" w:ascii="Arial" w:hAnsi="Arial"/>
            <w:sz w:val="20"/>
            <w:szCs w:val="20"/>
            <w:u w:val="single"/>
          </w:rPr>
          <w:t>*(3)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3.4. Рабочие чертежи основного комплекта выполняют на инженерно-топографическом плане (кроме чертежа плана земляных масс).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Допускается разбивочный план, сводный план инженерных сетей и план благоустройства территории выполнять без нанесения горизонталей рельефа местности.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3.5. Контуры проектируемых зданий и сооружений наносят на план по архитектурно-строительным рабочим чертежам, принимая координационные оси зданий и сооружений совмещенными с внутренними гранями стен.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Когда расстояние от наружной грани стены здания, сооружения до координационной оси в масштабе изображения превосходит толщину линии контура, последнюю относят от координационной оси на соответствующее расстояние (L) в соответствии с </w:t>
      </w:r>
      <w:hyperlink w:anchor="sub_11">
        <w:r>
          <w:rPr>
            <w:rStyle w:val="Style15"/>
            <w:rFonts w:cs="Arial" w:ascii="Arial" w:hAnsi="Arial"/>
            <w:sz w:val="20"/>
            <w:szCs w:val="20"/>
            <w:u w:val="single"/>
          </w:rPr>
          <w:t>рисунком 1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3.6. Планы рабочих чертежей располагают длинной стороной, условной границы территории вдоль длинной стороны листа, при этом северная часть территории должна находиться вверху. Допускается отклонение ориентации на север в пределах 90° влево или вправо. Планы, расположенные на разных листах, выполняют с одинаковой ориентацией.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3.7. При малой насыщенности изображений допускается совмещать несколько различных планов в один с присвоением ему соответствующего наименования.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sz w:val="20"/>
          <w:szCs w:val="20"/>
        </w:rPr>
        <w:t>Пример</w:t>
      </w:r>
      <w:r>
        <w:rPr>
          <w:rFonts w:cs="Arial" w:ascii="Arial" w:hAnsi="Arial"/>
          <w:sz w:val="20"/>
          <w:szCs w:val="20"/>
        </w:rPr>
        <w:t xml:space="preserve"> - "Разбивочный план и план организации рельефа", "План организации рельефа и земляных масс".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3.8. При большой насыщенности изображений плана благоустройства территории допускается выполнять несколько планов по видам работ с присвоением каждому плану соответствующего наименования.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sz w:val="20"/>
          <w:szCs w:val="20"/>
        </w:rPr>
        <w:t>Пример</w:t>
      </w:r>
      <w:r>
        <w:rPr>
          <w:rFonts w:cs="Arial" w:ascii="Arial" w:hAnsi="Arial"/>
          <w:sz w:val="20"/>
          <w:szCs w:val="20"/>
        </w:rPr>
        <w:t xml:space="preserve"> - "План озеленения", "План расположения малых архитектурных форм", "План проездов, тротуаров, дорожек и площадок".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3.9. Допускается делить план на несколько участков, размещая их на отдельных листах. В этом случае на каждом листе, где показан участок плана, приводят схему целого плана с разбивкой его на участки, указывают номера листов, на которых они размещены, и штриховкой обозначают участок, показанный на данном листе.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0" w:name="sub_310"/>
      <w:bookmarkEnd w:id="20"/>
      <w:r>
        <w:rPr>
          <w:rFonts w:cs="Arial" w:ascii="Arial" w:hAnsi="Arial"/>
          <w:sz w:val="20"/>
          <w:szCs w:val="20"/>
        </w:rPr>
        <w:t>3.10. Рабочие чертежи генеральных планов допускается выпускать поэтапно - разработками по мере выполнения соответствующих рабочих чертежей зданий, сооружений проектируемого предприятия или жилищно-гражданского объекта.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" w:name="sub_310"/>
      <w:bookmarkEnd w:id="21"/>
      <w:r>
        <w:rPr>
          <w:rFonts w:cs="Arial" w:ascii="Arial" w:hAnsi="Arial"/>
          <w:sz w:val="20"/>
          <w:szCs w:val="20"/>
        </w:rPr>
        <w:t>В этом случае каждую разработку оформляют по состоянию на определенную дату с соответствующими дополнениями рабочих чертежей. Очередную разработку не рассматривают и не оформляют как внесение изменений.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Разработкам присваивают порядковые номера.</w:t>
      </w:r>
    </w:p>
    <w:p>
      <w:pPr>
        <w:pStyle w:val="Normal"/>
        <w:autoSpaceDE w:val="false"/>
        <w:ind w:firstLine="720"/>
        <w:jc w:val="both"/>
        <w:rPr/>
      </w:pPr>
      <w:bookmarkStart w:id="22" w:name="sub_311"/>
      <w:bookmarkEnd w:id="22"/>
      <w:r>
        <w:rPr>
          <w:rFonts w:cs="Arial" w:ascii="Arial" w:hAnsi="Arial"/>
          <w:sz w:val="20"/>
          <w:szCs w:val="20"/>
        </w:rPr>
        <w:t xml:space="preserve">3.11. При очередной разработке основную надпись дополняют слева графами 10-13 по ГОСТ 21.101 в соответствии с </w:t>
      </w:r>
      <w:hyperlink w:anchor="sub_12">
        <w:r>
          <w:rPr>
            <w:rStyle w:val="Style15"/>
            <w:rFonts w:cs="Arial" w:ascii="Arial" w:hAnsi="Arial"/>
            <w:sz w:val="20"/>
            <w:szCs w:val="20"/>
            <w:u w:val="single"/>
          </w:rPr>
          <w:t>рисунком 2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/>
      </w:pPr>
      <w:bookmarkStart w:id="23" w:name="sub_311"/>
      <w:bookmarkEnd w:id="23"/>
      <w:r>
        <w:rPr>
          <w:rFonts w:cs="Arial" w:ascii="Arial" w:hAnsi="Arial"/>
          <w:sz w:val="20"/>
          <w:szCs w:val="20"/>
        </w:rPr>
        <w:t xml:space="preserve">Над основной надписью помещают ведомость разработок чертежа: для разбивочного плана, планов организации рельефа, земляных масс и благоустройства территории - по </w:t>
      </w:r>
      <w:hyperlink w:anchor="sub_13">
        <w:r>
          <w:rPr>
            <w:rStyle w:val="Style15"/>
            <w:rFonts w:cs="Arial" w:ascii="Arial" w:hAnsi="Arial"/>
            <w:sz w:val="20"/>
            <w:szCs w:val="20"/>
            <w:u w:val="single"/>
          </w:rPr>
          <w:t>форме 1</w:t>
        </w:r>
      </w:hyperlink>
      <w:r>
        <w:rPr>
          <w:rFonts w:cs="Arial" w:ascii="Arial" w:hAnsi="Arial"/>
          <w:sz w:val="20"/>
          <w:szCs w:val="20"/>
        </w:rPr>
        <w:t xml:space="preserve">, для сводного плана инженерных сетей - по </w:t>
      </w:r>
      <w:hyperlink w:anchor="sub_14">
        <w:r>
          <w:rPr>
            <w:rStyle w:val="Style15"/>
            <w:rFonts w:cs="Arial" w:ascii="Arial" w:hAnsi="Arial"/>
            <w:sz w:val="20"/>
            <w:szCs w:val="20"/>
            <w:u w:val="single"/>
          </w:rPr>
          <w:t>форме 2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Примеры оформления ведомостей разработок приведены в </w:t>
      </w:r>
      <w:hyperlink w:anchor="sub_1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приложениях А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2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Б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3.12. Изображения, на чертежах генерального плана выполняют линиями по ГОСТ 2.303: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сплошными толстыми основными - контуры проектируемых зданий и сооружений (кроме зданий и сооружений на плане земляных масс), "красную" линию, проектные горизонтали с отметками, кратными 0,50 и 1,00 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штриховой тонкой - линии "нулевых" работ и перелома проектного рельефа;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штрихпунктирной очень толстой с двумя точками - условную границу территории проектируемого предприятия, здания, сооружения;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сплошной тонкой - проектируемые здания, сооружения на плане земляных масс и все остальные элементы генерального плана.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3.13. Планы рабочих чертежей выполняют в масштабах 1:500 или 1:1000, фрагменты планов - в масштабе 1:200, узлы - в масштабе 1:20.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Допускается планы выполнять в масштабе 1:2000, узлы - в масштабе 1:10.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Масштаб изображения указывают в основной надписи после наименования изображения.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Если на листе помещено несколько изображений, выполненных в разных масштабах, то масштабы указывают на поле чертежа под наименованием каждого изображения.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3.14. Система высотных отметок, принимаемая в рабочих чертежах генеральных планов, должна соответствовать системе высотных отметок, принятой на инженерно-топографическом плане.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3.15. Размеры, координаты и высотные отметки указывают в метрах с точностью до двух знаков после запятой.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3.16. Величину углов указывают в градусах с точностью до одной минуты, а при необходимости - до одной секунды.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3.17. Величину уклонов указывают в промилле без обозначения единицы измерения.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Крутизну откосов указывают в виде соотношения единицы высоты откоса к горизонтальному положению.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3.18 Основные условные графические обозначения и изображения элементов генерального плана и сооружений транспорта принимают по ГОСТ 21.204.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Малые архитектурные формы (например, беседки, навесы, фонтаны, скульптуры, перголы и т.д.) и другие конструкции, изделия, устройства (например, скамьи, урны и т.д.) выполняют упрощенно в масштабе чертежа или условными графическими обозначениями.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3.19. При выполнении рабочих чертежей генерального плана порядковые номера зданий и сооружений (в т.ч. ограждений, подпорных стенок, эстакад, галерей, тоннелей) принимают, как правило, по генеральному плану, разработанному на предыдущих стадиях проектирования.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Водоотводным сооружениям (канавам, лоткам, трубам) присваивают самостоятельные порядковые номера.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объединении в одном основном комплекте чертежей генерального плана и сооружений транспорта железнодорожным путям и автомобильным дорогам присваивают самостоятельные порядковые номера.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Допускается не присваивать порядковые номера автомобильным дорогам и водоотводным сооружениям. В этом случае на плане указывают их координаты.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3.20. На планах (кроме плана земляных масс) приводят экспликацию зданий и сооружений по </w:t>
      </w:r>
      <w:hyperlink w:anchor="sub_15">
        <w:r>
          <w:rPr>
            <w:rStyle w:val="Style15"/>
            <w:rFonts w:cs="Arial" w:ascii="Arial" w:hAnsi="Arial"/>
            <w:sz w:val="20"/>
            <w:szCs w:val="20"/>
            <w:u w:val="single"/>
          </w:rPr>
          <w:t>форме 3</w:t>
        </w:r>
      </w:hyperlink>
      <w:r>
        <w:rPr>
          <w:rFonts w:cs="Arial" w:ascii="Arial" w:hAnsi="Arial"/>
          <w:sz w:val="20"/>
          <w:szCs w:val="20"/>
        </w:rPr>
        <w:t xml:space="preserve"> (для генеральных планов предприятий производственного назначения) или ведомость жилых и общественных зданий и сооружений по </w:t>
      </w:r>
      <w:hyperlink w:anchor="sub_16">
        <w:r>
          <w:rPr>
            <w:rStyle w:val="Style15"/>
            <w:rFonts w:cs="Arial" w:ascii="Arial" w:hAnsi="Arial"/>
            <w:sz w:val="20"/>
            <w:szCs w:val="20"/>
            <w:u w:val="single"/>
          </w:rPr>
          <w:t>форме 4</w:t>
        </w:r>
      </w:hyperlink>
      <w:r>
        <w:rPr>
          <w:rFonts w:cs="Arial" w:ascii="Arial" w:hAnsi="Arial"/>
          <w:sz w:val="20"/>
          <w:szCs w:val="20"/>
        </w:rPr>
        <w:t xml:space="preserve"> (для генеральных планов жилищно-гражданских объектов). Допускается экспликацию или ведомость зданий и сооружений приводить на листе общих данных по рабочим чертежам.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3.21. В графах </w:t>
      </w:r>
      <w:hyperlink w:anchor="sub_15">
        <w:r>
          <w:rPr>
            <w:rStyle w:val="Style15"/>
            <w:rFonts w:cs="Arial" w:ascii="Arial" w:hAnsi="Arial"/>
            <w:sz w:val="20"/>
            <w:szCs w:val="20"/>
            <w:u w:val="single"/>
          </w:rPr>
          <w:t>экспликации</w:t>
        </w:r>
      </w:hyperlink>
      <w:r>
        <w:rPr>
          <w:rFonts w:cs="Arial" w:ascii="Arial" w:hAnsi="Arial"/>
          <w:sz w:val="20"/>
          <w:szCs w:val="20"/>
        </w:rPr>
        <w:t xml:space="preserve"> зданий и сооружений указывают: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 графе "Номер на плане" - номер здания, сооружения;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 графе "Наименование" - наименование здания, сооружения;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 графе "Координаты квадрата сетки" - координаты нижнего левого угла квадрата строительной геодезической сетки, в пределах которого на изображении здания и сооружения нанесен его номер (при необходимости).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Пример оформления экспликации зданий и сооружений приведен в </w:t>
      </w:r>
      <w:hyperlink w:anchor="sub_3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приложении В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3.22. В графах </w:t>
      </w:r>
      <w:hyperlink w:anchor="sub_16">
        <w:r>
          <w:rPr>
            <w:rStyle w:val="Style15"/>
            <w:rFonts w:cs="Arial" w:ascii="Arial" w:hAnsi="Arial"/>
            <w:sz w:val="20"/>
            <w:szCs w:val="20"/>
            <w:u w:val="single"/>
          </w:rPr>
          <w:t>ведомости</w:t>
        </w:r>
      </w:hyperlink>
      <w:r>
        <w:rPr>
          <w:rFonts w:cs="Arial" w:ascii="Arial" w:hAnsi="Arial"/>
          <w:sz w:val="20"/>
          <w:szCs w:val="20"/>
        </w:rPr>
        <w:t xml:space="preserve"> жилых и общественных зданий и сооружений указывают: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 графе "Номер на плане" - номер здания, сооружения;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 графе "Наименование и обозначение" - наименование здания, сооружения с указанием обозначения индивидуального или типового проекта, проекта по каталогу;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 остальных графах - данные в соответствии с их наименованиями.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Пример оформления ведомости жилых и общественных зданий и сооружений приведен в </w:t>
      </w:r>
      <w:hyperlink w:anchor="sub_4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приложении Г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bookmarkStart w:id="24" w:name="sub_400"/>
      <w:bookmarkEnd w:id="24"/>
      <w:r>
        <w:rPr>
          <w:rFonts w:cs="Arial" w:ascii="Arial" w:hAnsi="Arial"/>
          <w:b/>
          <w:bCs/>
          <w:sz w:val="20"/>
          <w:szCs w:val="20"/>
        </w:rPr>
        <w:t>4. Общие данные по рабочим чертежам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bookmarkStart w:id="25" w:name="sub_400"/>
      <w:bookmarkStart w:id="26" w:name="sub_400"/>
      <w:bookmarkEnd w:id="26"/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Общие данные по рабочим чертежам выполняют по ГОСТ 21.101 с учетом следующих изменений и дополнений: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ведомость спецификаций не выполняют;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 общих указаниях, в дополнение к сведениям, предусмотренным ГОСТ 21.101, приводят обозначения и наименования документов, являющихся основанием для разработки рабочих чертежей генерального плана (например, материалов инженерно-геодезических и инженерно-геологических изысканий), принятую систему координат и высотных отметок.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bookmarkStart w:id="27" w:name="sub_500"/>
      <w:bookmarkEnd w:id="27"/>
      <w:r>
        <w:rPr>
          <w:rFonts w:cs="Arial" w:ascii="Arial" w:hAnsi="Arial"/>
          <w:b/>
          <w:bCs/>
          <w:sz w:val="20"/>
          <w:szCs w:val="20"/>
        </w:rPr>
        <w:t>5. Разбивочный план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bookmarkStart w:id="28" w:name="sub_500"/>
      <w:bookmarkStart w:id="29" w:name="sub_500"/>
      <w:bookmarkEnd w:id="29"/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5.1. На разбивочном плане (плане расположения зданий и сооружений) наносят и указывают: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а) строительную геодезическую сетку или заменяющий ее разбивочный базис, а для жилищно-гражданских объектов, кроме того, городскую геодезическую сетку, которая должна перекрывать весь план;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б) "красную" линию, отделяющую территорию магистрали, улицы, проезда и площади от территории, предназначенной под застройку;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в) ограждения с воротами и калитками или условную границу территории. Если ограждение совпадает с "красной" линией или с условной границей территории, то наносят только ограждение с соответствующим пояснением на чертеже;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г) скважины и шурфы инженерно-геологических изысканий, не указанные на инженерно-топографическом плане;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д) здания и сооружения, в т.ч. коммуникационные (эстакады, тоннели);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е) площадки производственные и складские;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ж) автомобильные дороги и площадки с дорожным покрытием;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и) железнодорожные пути;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к) элементы благоустройства (тротуары, площадки спортивные и для отдыха);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л) элементы и сооружения планировочного рельефа (откосы, подпорные стенки, пандусы);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м) водоотводные сооружения;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н) указатель направления на север стрелкой с буквой "С" у острия (в левом верхнем углу листа).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5.2. Разбивочный план выполняют с координатной или размерной привязкой.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5.3. Строительную геодезическую сетку наносят на весь разбивочный план в виде квадратов со сторонами 10 см.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Начало координат принимают в нижнем левом углу листа.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Оси строительной геодезической сетки обозначают арабскими цифрами, соответствующими числу сотен метров от начала координат, и прописными буквами русского алфавита.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Примеры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 0А (начало координат); 1А; 2А; 3А - горизонтальные оси: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 0Б (начало координат); 1Б; 2Б; 3Б - вертикальные оси.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 чертежах, выполняемых в масштабе 1:500, оси строительной геодезической сетки обозначают в соответствии с приведенными примерами.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Примеры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 0А (начало координат); 0А + 50; 1А; 1А + 50; 2А; 2А + 50 - горизонтальные оси;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 0Б (начало координат); 0Б + 50; 1Б; 1Б + 50; 2Б; 2Б + 50 - вертикальные оси.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Допускается, при необходимости, применение отрицательных значений осей строительной геодезической сетки.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Примеры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 0А (начало координат); 0А - 50; -1А; -1А - 50; -2А; - 2А - 50 - горизонтальные оси;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 0Б (начало координат); 0Б - 50; -1Б; -1Б - 50; -2Б; - 2Б - 50 - вертикальные оси.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Допускается при расширении, реконструкции и техническом перевооружении действующих предприятий сохранять ранее принятые обозначения осей строительной геодезической сетки.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5.4. Размерную привязку осуществляют от разбивочного базиса.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Разбивочным базисом может быть любая прямая линия, проходящая через две закрепленные на местности точки, которые обозначают прописными буквами русского алфавита.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sz w:val="20"/>
          <w:szCs w:val="20"/>
        </w:rPr>
        <w:t>Пример</w:t>
      </w:r>
      <w:r>
        <w:rPr>
          <w:rFonts w:cs="Arial" w:ascii="Arial" w:hAnsi="Arial"/>
          <w:sz w:val="20"/>
          <w:szCs w:val="20"/>
        </w:rPr>
        <w:t xml:space="preserve"> - А; Б.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5.5. Здания и сооружения на плане наносят в масштабе чертежа с указанием проемов ворот и дверей, крайних осей и, при необходимости, координат осей ворот или привязки ворот к координационным осям здания.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0" w:name="sub_56"/>
      <w:bookmarkEnd w:id="30"/>
      <w:r>
        <w:rPr>
          <w:rFonts w:cs="Arial" w:ascii="Arial" w:hAnsi="Arial"/>
          <w:sz w:val="20"/>
          <w:szCs w:val="20"/>
        </w:rPr>
        <w:t>5.6. Внутри контура здания (сооружения) указывают: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1" w:name="sub_56"/>
      <w:bookmarkEnd w:id="31"/>
      <w:r>
        <w:rPr>
          <w:rFonts w:cs="Arial" w:ascii="Arial" w:hAnsi="Arial"/>
          <w:sz w:val="20"/>
          <w:szCs w:val="20"/>
        </w:rPr>
        <w:t>а) номер здания, сооружения в нижнем правом углу;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б) абсолютную отметку,  соответствующую  условной  нулевой  отметке,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принятой  в  строительных  рабочих  чертежах здания, сооружения,  которую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помещают  на  полке  линии-выноски  и  обозначают    знаком    │     (для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softHyphen/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жилищно-гражданских объектов - при необходимости).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2" w:name="sub_5701"/>
      <w:bookmarkEnd w:id="32"/>
      <w:r>
        <w:rPr>
          <w:rFonts w:cs="Arial" w:ascii="Arial" w:hAnsi="Arial"/>
          <w:sz w:val="20"/>
          <w:szCs w:val="20"/>
        </w:rPr>
        <w:t>5.7 На контуре здания, сооружения указывают:</w:t>
      </w:r>
    </w:p>
    <w:p>
      <w:pPr>
        <w:pStyle w:val="Normal"/>
        <w:autoSpaceDE w:val="false"/>
        <w:ind w:firstLine="720"/>
        <w:jc w:val="both"/>
        <w:rPr/>
      </w:pPr>
      <w:bookmarkStart w:id="33" w:name="sub_5701"/>
      <w:bookmarkEnd w:id="33"/>
      <w:r>
        <w:rPr>
          <w:rFonts w:cs="Arial" w:ascii="Arial" w:hAnsi="Arial"/>
          <w:sz w:val="20"/>
          <w:szCs w:val="20"/>
        </w:rPr>
        <w:t>а) координаты точек пересечения координационных осей здания, сооружения в двух его противоположных углах, а при сложной конфигурации здания, сооружения или расположении его не параллельно осям строительной геодезической сетки - во всех углах, для центрических сооружений - координаты центра и одной характерной точки, а также диаметр, для линейных сооружений - координату оси или координаты начала и конца отдельных участков;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б) размерную привязку координационных осей здания, сооружения к разбивочному базису и размеры здания, сооружения между осями при отсутствии строительной геодезической сетки;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в) обозначение координационных осей здания, сооружения в координируемых точках.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5.8. Вокруг контура здания, сооружения показывают отмостку и въездные пандусы, наружные лестницы и площадки у входов.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5.9. На разбивочном плане в части автомобильных дорог наносят и указывают: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а) переезды через железнодорожные пути;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б) транспортные развязки;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в) координаты или привязки осей автомобильных дорог и, при необходимости, их номера;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г) ширину автомобильных дорог;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д) радиусы кривых по кромке проезжей части автомобильных дорог в местах их взаимного пересечения и примыкания;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е) откосы насыпей и выемок (при необходимости).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5.10. При отсутствии основного комплекта рабочих чертежей автомобильных дорог (марки АД) разбивочный план выполняют с учетом требований ГОСТ 21.511.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5.11. На разбивочном плане в части железнодорожных путей наносят и указывают;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а) номера путей;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б) стрелочные переводы;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в) упоры;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г) откосы насыпей и выемок (при необходимости).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5.12. При отсутствии основного комплекта рабочих чертежей железнодорожных путей (марки ПЖ) разбивочный план выполняют с учетом требований ГОСТ 21.510. При этом отметки дна и величину уклонов водоотводных сооружений и уклоноуказатели не указывают.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5.13. На разбивочном плане приводят ведомость водоотводных сооружений по </w:t>
      </w:r>
      <w:hyperlink w:anchor="sub_17">
        <w:r>
          <w:rPr>
            <w:rStyle w:val="Style15"/>
            <w:rFonts w:cs="Arial" w:ascii="Arial" w:hAnsi="Arial"/>
            <w:sz w:val="20"/>
            <w:szCs w:val="20"/>
            <w:u w:val="single"/>
          </w:rPr>
          <w:t>форме 5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Пример оформления ведомости водоотводных сооружений приведен в </w:t>
      </w:r>
      <w:hyperlink w:anchor="sub_5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приложении Д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5.14. Пример оформления разбивочного плана производственного предприятия с координатной привязкой приведен в </w:t>
      </w:r>
      <w:hyperlink w:anchor="sub_6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приложении Е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bookmarkStart w:id="34" w:name="sub_600"/>
      <w:bookmarkEnd w:id="34"/>
      <w:r>
        <w:rPr>
          <w:rFonts w:cs="Arial" w:ascii="Arial" w:hAnsi="Arial"/>
          <w:b/>
          <w:bCs/>
          <w:sz w:val="20"/>
          <w:szCs w:val="20"/>
        </w:rPr>
        <w:t>6. План организации рельефа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bookmarkStart w:id="35" w:name="sub_600"/>
      <w:bookmarkStart w:id="36" w:name="sub_600"/>
      <w:bookmarkEnd w:id="36"/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6.1. План организации рельефа выполняют на основе разбивочного плана без указания и нанесения координационных осей зданий и сооружений, координат, размеров и размерных привязок.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6.2. На плане организации рельефа наносят и указывают: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а) абсолютные отметки внутри контура зданий и сооружений, в соответствии с </w:t>
      </w:r>
      <w:hyperlink w:anchor="sub_56">
        <w:r>
          <w:rPr>
            <w:rStyle w:val="Style15"/>
            <w:rFonts w:cs="Arial" w:ascii="Arial" w:hAnsi="Arial"/>
            <w:sz w:val="20"/>
            <w:szCs w:val="20"/>
            <w:u w:val="single"/>
          </w:rPr>
          <w:t>5.6</w:t>
        </w:r>
      </w:hyperlink>
      <w:r>
        <w:rPr>
          <w:rFonts w:cs="Arial" w:ascii="Arial" w:hAnsi="Arial"/>
          <w:sz w:val="20"/>
          <w:szCs w:val="20"/>
        </w:rPr>
        <w:t xml:space="preserve"> (перечисление б);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б) проектные отметки и уклоноуказатели по "красным" линиям;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в) проектные горизонтали или проектные отметки опорных точек планировки с указанием направления уклона проектного рельефа;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г) отметки низа и верха откосов, лестниц, подпорных стенок, пандусов;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д) отметки дна в местах переломов продольного профиля, направление и величину уклонов водоотводных сооружений;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е) дождеприемные решетки в пониженных точках проектного рельефа с отметками верха решеток;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ж) проектные отметки планировки и фактические отметки рельефа местности по внешнему контуру отмостки в углах зданий и сооружений или, при отсутствии отмостки, указанные отметки в местах пересечения наружных граней стен с рельефом в углах зданий и сооружений - в виде дроби с проектной отметкой в числителе и фактической - в знаменателе;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и) проектные отметки планировки и фактические отметки рельефа местности (при необходимости) по верху площадок различного назначения в местах пересечения их краев с рельефом по углам и в характерных точках;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к) линии перелома проектного рельефа - при выполнении плана в проектных отметках опорных точек планировки;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л) направление уклона проектного рельефа бергштрихами - при выполнении плана в проектных горизонталях и стрелками - при выполнении плана в проектных отметках.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6.3. На плане организации рельефа, в части автомобильных дорог, наносят и указывают: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а) проектные горизонтали - при выполнении плана в проектных горизонталях;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б) контуры поперечного профиля автомобильных дорог - при выполнении плана в проектных отметках;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в) точки перелома продольного профиля с проектными отметками;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г) уклоноуказатели по оси проезжей части автомобильных дорог;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д) водоотводные сооружения - кюветы, лотки с отметками дна в местах переломов продольного профиля и величиной уклонов дна сооружений;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е) дождеприемные решетки в пониженных точках продольного профиля с отметками верха решеток.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6.4. На плане организации рельефа, в части железнодорожных путей, наносят и указывают: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а) уклоноуказатели;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б) отметки дна водоотводных сооружений в местах переломов продольного профиля и величину уклонов дна сооружений.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6.5. План организации рельефа следует, как правило, выполнять в проектных горизонталях.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6.6. При выполнении плана организации рельефа в проектных горизонталях, их проводят с сечением рельефа через 0,10 или 0,20 м по всей планируемой территории (земляной поверхности, автомобильным дорогам, площадкам). Допускается на участках с однообразным уклоном рельефа наносить проектные горизонтали с сечением рельефа через 0,50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Отметки проектных горизонталей надписывают со стороны повышения рельефа. Отметки проектных горизонталей, кратные 1,00 м, указывают полностью, промежуточные - приводят в виде целого числа, соответствующего двум знакам после запятой.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6.7 При выполнении плана организации рельефа в проектных отметках опорных точек планировки в качестве опорных точек, как правило, принимают: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а) углы зданий, сооружений и площадок;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б) повышенные и пониженные точки проектного рельефа;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в) пересечение осей автомобильных дорог;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г) точки перелома продольного профиля автомобильных дорог и железнодорожных путей.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6.8. На плане организации рельефа указывают проектные отметки входа и выхода по дну труб и междушпальных лотков, а также отметки переломных точек по дну водоотводных канав и лотков. На полке линии-выноски водоотводных канав и лотков приводят их сокращенное наименование.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Примеры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 Д.л. - дно лотка;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 Д.к. - дно канавы.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6.9. Примеры оформления планов организации рельефа в проектных горизонталях и проектных отметках опорных точек планировки приведены соответственно в </w:t>
      </w:r>
      <w:hyperlink w:anchor="sub_7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приложениях Ж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8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И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bookmarkStart w:id="37" w:name="sub_700"/>
      <w:bookmarkEnd w:id="37"/>
      <w:r>
        <w:rPr>
          <w:rFonts w:cs="Arial" w:ascii="Arial" w:hAnsi="Arial"/>
          <w:b/>
          <w:bCs/>
          <w:sz w:val="20"/>
          <w:szCs w:val="20"/>
        </w:rPr>
        <w:t>7. План земляных масс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bookmarkStart w:id="38" w:name="sub_700"/>
      <w:bookmarkStart w:id="39" w:name="sub_700"/>
      <w:bookmarkEnd w:id="39"/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7.1. Подсчет объемов земляных масс выполняют, как правило, методом квадратов.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Допускается выполнять план земляных масс с использованием других методов. Содержание и форму плана определяют методом подсчета объемов земляных масс и условиями производства работ.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7.2. На плане земляных масс наносят и указывают: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а) строительную геодезическую сетку или заменяющий ее разбивочный базис;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б) сетку квадратов для подсчета объема земляных масс с проектными, фактическими и рабочими отметками в углах квадратов, линию "нулевых" работ с выделением площади выемок штриховкой под углом 45° к основанию сетки и указанием объема земляных масс в пределах каждого квадрата или иной фигуры, образуемой контуром плакировки;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в) здания и сооружения;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г) ограждение или условную границу территории;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д) откосы, подпорные стенки.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7.3. Сетку квадратов, как правило, вписывают в строительную геодезическую сетку, принимая сторону квадрата равной 20 м. Допускается привязка сетки квадратов к "красной" линии или к разбивочному базису, а также применение сетки квадратов со сторонами, равными 10, 25, 40 или 50 м, в зависимости от характера рельефа и обеспечения требуемой точности подсчета объема земляных масс.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Допускается, в зависимости от конфигурации планируемой территории, для подсчета объема земляных масс применять фигуры, отличные от квадрата. В этих случаях размеры фигур указывают на чертеже.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7.4. Под каждой колонкой квадратов плана земляных масс приводят таблицу по </w:t>
      </w:r>
      <w:hyperlink w:anchor="sub_18">
        <w:r>
          <w:rPr>
            <w:rStyle w:val="Style15"/>
            <w:rFonts w:cs="Arial" w:ascii="Arial" w:hAnsi="Arial"/>
            <w:sz w:val="20"/>
            <w:szCs w:val="20"/>
            <w:u w:val="single"/>
          </w:rPr>
          <w:t>форме 6</w:t>
        </w:r>
      </w:hyperlink>
      <w:r>
        <w:rPr>
          <w:rFonts w:cs="Arial" w:ascii="Arial" w:hAnsi="Arial"/>
          <w:sz w:val="20"/>
          <w:szCs w:val="20"/>
        </w:rPr>
        <w:t>, в соответствующих графах которой указывают суммарные объемы насыпи и выемки по колонке квадратов, а в строках суммарных объемов справа - общие объемы насыпи и выемки по всей планируемой территории.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7.5. В случае залегания в пределах планируемой территории грунтов, подлежащих удалению (плодородный почвенный слой, торф, грунт, непригодный в качестве основания зданий, сооружений), до разработки плана земляных масс для всей территории выполняют план удаления грунтов в пределах контура залегания грунтов, подлежащих удалению, оформляя его аналогично плану земляных масс.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 плане удаления грунтов за проектные отметки принимают отметки низа подлежащего снятию грунта, которые при последующем выполнении плана земляных масс рассматривают как фактические отметки.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наличии на территории строительства разнородных грунтов допускается выполнять планы для каждого вида грунта, присваивая чертежу соответствующее наименование.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Примеры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 "План земляных масс. Снятие строительного мусора";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 "План земляных масс. Разработка скальных грунтов".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В случае залегания грунтов, подлежащих удалению, слоем одной мощности, план удаления грунтов может не выполняться. При этом за фактические отметки для плана земляных масс принимают отметки низа подлежащих удалению грунтов, а вычисленный объем удаляемых грунтов вносят в соответствующие строки и графы ведомости по </w:t>
      </w:r>
      <w:hyperlink w:anchor="sub_19">
        <w:r>
          <w:rPr>
            <w:rStyle w:val="Style15"/>
            <w:rFonts w:cs="Arial" w:ascii="Arial" w:hAnsi="Arial"/>
            <w:sz w:val="20"/>
            <w:szCs w:val="20"/>
            <w:u w:val="single"/>
          </w:rPr>
          <w:t>форме 7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7.6. На плане земляных масс приводят: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а) ведомость объемов земляных масс по форме 7;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б) текстовые указания о необходимости корректировки рабочих отметок в местах устройства газонов, корыта под одежду дорог, площадок и верхнего строения железнодорожных путей.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7.7. Примеры оформления плана земляных масс и ведомости объемов земляных масс приведены соответственно в </w:t>
      </w:r>
      <w:hyperlink w:anchor="sub_9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приложениях К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10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Л</w:t>
        </w:r>
      </w:hyperlink>
      <w:r>
        <w:rPr>
          <w:rFonts w:cs="Arial" w:ascii="Arial" w:hAnsi="Arial"/>
          <w:sz w:val="20"/>
          <w:szCs w:val="20"/>
        </w:rPr>
        <w:t>. Примеры разработаны для случая выполнения вертикальной планировки до начала возведения зданий и сооружений.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bookmarkStart w:id="40" w:name="sub_800"/>
      <w:bookmarkEnd w:id="40"/>
      <w:r>
        <w:rPr>
          <w:rFonts w:cs="Arial" w:ascii="Arial" w:hAnsi="Arial"/>
          <w:b/>
          <w:bCs/>
          <w:sz w:val="20"/>
          <w:szCs w:val="20"/>
        </w:rPr>
        <w:t>8. Сводный план инженерных сетей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bookmarkStart w:id="41" w:name="sub_800"/>
      <w:bookmarkStart w:id="42" w:name="sub_800"/>
      <w:bookmarkEnd w:id="42"/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8.1. Сводный план инженерных сетей выполняют на основе разбивочного плана, но без абсолютных отметок зданий, сооружений, привязки ворот и обозначения координационных осей зданий, сооружений.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необходимости на плане наносят внешние контуры подошвы фундаментов проектируемых и существующих зданий, сооружений.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 изображениях автомобильных дорог и железнодорожных путей указывают только координаты или привязки их осей.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Инженерные сети выполняют условными графическими обозначениями по ГОСТ 21.204.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8.2. На сводном плане инженерных сетей наносят и указывают: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а) коммуникационные сооружения для прокладки сетей;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б) подземные, наземные и надземные сети;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в) дождеприемные решетки, опоры и стойки коммуникационных сооружений.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8.3. Инженерные сети наносят по рабочим чертежам соответствующих основных комплектов с координатной или линейной привязкой оси сети на каждом характерном участке, с изображением компенсаторов, ниш, колодцев, камер и с указанием их обозначений.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8.4. Пример оформления сводного плана инженерных сетей приведен в </w:t>
      </w:r>
      <w:hyperlink w:anchor="sub_11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приложении М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bookmarkStart w:id="43" w:name="sub_900"/>
      <w:bookmarkEnd w:id="43"/>
      <w:r>
        <w:rPr>
          <w:rFonts w:cs="Arial" w:ascii="Arial" w:hAnsi="Arial"/>
          <w:b/>
          <w:bCs/>
          <w:sz w:val="20"/>
          <w:szCs w:val="20"/>
        </w:rPr>
        <w:t>9. План благоустройства территории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bookmarkStart w:id="44" w:name="sub_900"/>
      <w:bookmarkStart w:id="45" w:name="sub_900"/>
      <w:bookmarkEnd w:id="45"/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9.1. План благоустройства территории выполняют на основе разбивочного плана без указания координационных осей, координат и размерных привязок, абсолютных отметок зданий, сооружений.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 изображениях автомобильных дорог и железнодорожных путей, при необходимости, указывают только координаты или привязки их осей.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9.2. На плане благоустройства территории наносят и указывают: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а) тротуары, дорожки и их ширину;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б) площадки различного назначения и их размеры;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в) малые архитектурные формы и переносные изделия площадок для отдыха;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г) деревья, кустарники, цветники, газоны.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9.3. Элементы благоустройства привязывают к наружным граням стен зданий, сооружений, "красным" линиям, автомобильным дорогам или железнодорожным путям.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рядовой посадки деревьев и кустарников приводят размерную привязку ряда.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6" w:name="sub_94"/>
      <w:bookmarkEnd w:id="46"/>
      <w:r>
        <w:rPr>
          <w:rFonts w:cs="Arial" w:ascii="Arial" w:hAnsi="Arial"/>
          <w:sz w:val="20"/>
          <w:szCs w:val="20"/>
        </w:rPr>
        <w:t>9.4. При сложной конфигурации дорожек, при расположении деревьев и кустарников свободными группами допускается взамен размерной привязки наносить на участках их расположения вспомогательную сетку квадратов со сторонами, равными 5-10 м, с привязкой ее к строительной геодезической сетке, разбивочному базису, зданиям, сооружениям, автомобильным дорогам и железнодорожным путям.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7" w:name="sub_94"/>
      <w:bookmarkEnd w:id="47"/>
      <w:r>
        <w:rPr>
          <w:rFonts w:cs="Arial" w:ascii="Arial" w:hAnsi="Arial"/>
          <w:sz w:val="20"/>
          <w:szCs w:val="20"/>
        </w:rPr>
        <w:t>9.5. Элементам благоустройства присваивают позиционные обозначения. Позиционные обозначения малых архитектурных форм и переносных изделий указывают на линии-выноске в кружках диаметром 6 мм. Обозначение элементов озеленения указывают на линии-выноске в кружках диаметром 8-12 мм в виде дроби: в числителе - позиционное обозначение породы или вида насаждения, в знаменателе - их количество или площадь (для цветников).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9.6. На плане благоустройства территории приводят: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а) ведомость малых архитектурных форм и переносных изделий по </w:t>
      </w:r>
      <w:hyperlink w:anchor="sub_20">
        <w:r>
          <w:rPr>
            <w:rStyle w:val="Style15"/>
            <w:rFonts w:cs="Arial" w:ascii="Arial" w:hAnsi="Arial"/>
            <w:sz w:val="20"/>
            <w:szCs w:val="20"/>
            <w:u w:val="single"/>
          </w:rPr>
          <w:t>форме 8</w:t>
        </w:r>
      </w:hyperlink>
      <w:r>
        <w:rPr>
          <w:rFonts w:cs="Arial" w:ascii="Arial" w:hAnsi="Arial"/>
          <w:sz w:val="20"/>
          <w:szCs w:val="20"/>
        </w:rPr>
        <w:t xml:space="preserve">, пример оформления которой приведен в </w:t>
      </w:r>
      <w:hyperlink w:anchor="sub_12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приложении Н</w:t>
        </w:r>
      </w:hyperlink>
      <w:r>
        <w:rPr>
          <w:rFonts w:cs="Arial" w:ascii="Arial" w:hAnsi="Arial"/>
          <w:sz w:val="20"/>
          <w:szCs w:val="20"/>
        </w:rPr>
        <w:t>;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б) ведомость элементов озеленения по </w:t>
      </w:r>
      <w:hyperlink w:anchor="sub_21">
        <w:r>
          <w:rPr>
            <w:rStyle w:val="Style15"/>
            <w:rFonts w:cs="Arial" w:ascii="Arial" w:hAnsi="Arial"/>
            <w:sz w:val="20"/>
            <w:szCs w:val="20"/>
            <w:u w:val="single"/>
          </w:rPr>
          <w:t>форме 9</w:t>
        </w:r>
      </w:hyperlink>
      <w:r>
        <w:rPr>
          <w:rFonts w:cs="Arial" w:ascii="Arial" w:hAnsi="Arial"/>
          <w:sz w:val="20"/>
          <w:szCs w:val="20"/>
        </w:rPr>
        <w:t xml:space="preserve">, пример оформления которой приведен в </w:t>
      </w:r>
      <w:hyperlink w:anchor="sub_13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приложении П</w:t>
        </w:r>
      </w:hyperlink>
      <w:r>
        <w:rPr>
          <w:rFonts w:cs="Arial" w:ascii="Arial" w:hAnsi="Arial"/>
          <w:sz w:val="20"/>
          <w:szCs w:val="20"/>
        </w:rPr>
        <w:t>;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в) ведомость тротуаров, дорожек и площадок по </w:t>
      </w:r>
      <w:hyperlink w:anchor="sub_22">
        <w:r>
          <w:rPr>
            <w:rStyle w:val="Style15"/>
            <w:rFonts w:cs="Arial" w:ascii="Arial" w:hAnsi="Arial"/>
            <w:sz w:val="20"/>
            <w:szCs w:val="20"/>
            <w:u w:val="single"/>
          </w:rPr>
          <w:t>форме 10</w:t>
        </w:r>
      </w:hyperlink>
      <w:r>
        <w:rPr>
          <w:rFonts w:cs="Arial" w:ascii="Arial" w:hAnsi="Arial"/>
          <w:sz w:val="20"/>
          <w:szCs w:val="20"/>
        </w:rPr>
        <w:t>, пример оформления которой приведен в приложении Р; (</w:t>
      </w:r>
      <w:hyperlink w:anchor="sub_14001">
        <w:r>
          <w:rPr>
            <w:rStyle w:val="Style15"/>
            <w:rFonts w:cs="Arial" w:ascii="Arial" w:hAnsi="Arial"/>
            <w:sz w:val="20"/>
            <w:szCs w:val="20"/>
            <w:u w:val="single"/>
          </w:rPr>
          <w:t>рисунок Р.1</w:t>
        </w:r>
      </w:hyperlink>
      <w:r>
        <w:rPr>
          <w:rFonts w:cs="Arial" w:ascii="Arial" w:hAnsi="Arial"/>
          <w:sz w:val="20"/>
          <w:szCs w:val="20"/>
        </w:rPr>
        <w:t>);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г) разрезы, сечения и узлы тротуаров, дорожек и площадок. Пример оформления сечений тротуаров, дорожек и площадок приведен в </w:t>
      </w:r>
      <w:hyperlink w:anchor="sub_15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приложении С</w:t>
        </w:r>
      </w:hyperlink>
      <w:r>
        <w:rPr>
          <w:rFonts w:cs="Arial" w:ascii="Arial" w:hAnsi="Arial"/>
          <w:sz w:val="20"/>
          <w:szCs w:val="20"/>
        </w:rPr>
        <w:t>;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д) ведомость автомобильных дорог, подъездов и проездов по ГОСТ 21.511 (форма 1) - для жилищно-гражданских объектов, пример оформления которой приведен в приложении Р (</w:t>
      </w:r>
      <w:hyperlink w:anchor="sub_14002">
        <w:r>
          <w:rPr>
            <w:rStyle w:val="Style15"/>
            <w:rFonts w:cs="Arial" w:ascii="Arial" w:hAnsi="Arial"/>
            <w:sz w:val="20"/>
            <w:szCs w:val="20"/>
            <w:u w:val="single"/>
          </w:rPr>
          <w:t>рисунок Р.2</w:t>
        </w:r>
      </w:hyperlink>
      <w:r>
        <w:rPr>
          <w:rFonts w:cs="Arial" w:ascii="Arial" w:hAnsi="Arial"/>
          <w:sz w:val="20"/>
          <w:szCs w:val="20"/>
        </w:rPr>
        <w:t>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е) соответствующие текстовые указания, например по условиям посадки деревьев и кустарников, устройству цветников и газонов и т.п.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9.7. Допускается ведомости, указанные в 9.6, помещать на листе общих данных.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9.8. Примеры оформления плана благоустройства, выполненного по видам работ, приведены: в </w:t>
      </w:r>
      <w:hyperlink w:anchor="sub_16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приложении Т</w:t>
        </w:r>
      </w:hyperlink>
      <w:r>
        <w:rPr>
          <w:rFonts w:cs="Arial" w:ascii="Arial" w:hAnsi="Arial"/>
          <w:sz w:val="20"/>
          <w:szCs w:val="20"/>
        </w:rPr>
        <w:t xml:space="preserve"> - "План озеленения"; в </w:t>
      </w:r>
      <w:hyperlink w:anchor="sub_17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приложении У</w:t>
        </w:r>
      </w:hyperlink>
      <w:r>
        <w:rPr>
          <w:rFonts w:cs="Arial" w:ascii="Arial" w:hAnsi="Arial"/>
          <w:sz w:val="20"/>
          <w:szCs w:val="20"/>
        </w:rPr>
        <w:t xml:space="preserve"> - "План расположения малых архитектурных форм и переносных изделий"; в </w:t>
      </w:r>
      <w:hyperlink w:anchor="sub_18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приложении Ф</w:t>
        </w:r>
      </w:hyperlink>
      <w:r>
        <w:rPr>
          <w:rFonts w:cs="Arial" w:ascii="Arial" w:hAnsi="Arial"/>
          <w:sz w:val="20"/>
          <w:szCs w:val="20"/>
        </w:rPr>
        <w:t xml:space="preserve"> - "План проездов, тротуаров, дорожек, площадок".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bookmarkStart w:id="48" w:name="sub_1100"/>
      <w:bookmarkEnd w:id="48"/>
      <w:r>
        <w:rPr>
          <w:rFonts w:cs="Arial" w:ascii="Arial" w:hAnsi="Arial"/>
          <w:b/>
          <w:bCs/>
          <w:sz w:val="20"/>
          <w:szCs w:val="20"/>
        </w:rPr>
        <w:t>10. Эскизные чертежи общих видов нетиповых изделий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bookmarkStart w:id="49" w:name="sub_1100"/>
      <w:bookmarkStart w:id="50" w:name="sub_1100"/>
      <w:bookmarkEnd w:id="50"/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10.1. Эскизный чертеж определяет конструкцию нетипового изделия, содержит упрощенное изображение, основные параметры и технические требования к изделию в объеме исходных данных (задания), необходимых для разработки конструкторской документации.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10.2. Эскизные чертежи разрабатывают на изделия (конструкции, устройства) при отсутствии их серийного производства, типовых чертежей (документации массового применения), стандартов или других документов на эти изделия.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10.3. На каждое нетиповое изделие выполняют отдельный эскизный чертеж. Исключение составляет группа изделий, обладающих общими конструктивными признаками, на которые допускается выполнять групповой эскизный чертеж.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10.4. Эскизному чертежу присваивают самостоятельное обозначение, состоящее из обозначения основного комплекта рабочих чертежей по ГОСТ 21.101, через точку шифра Н и порядкового номера эскизного чертежа.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sz w:val="20"/>
          <w:szCs w:val="20"/>
        </w:rPr>
        <w:t>Пример</w:t>
      </w:r>
      <w:r>
        <w:rPr>
          <w:rFonts w:cs="Arial" w:ascii="Arial" w:hAnsi="Arial"/>
          <w:sz w:val="20"/>
          <w:szCs w:val="20"/>
        </w:rPr>
        <w:t xml:space="preserve"> - 2345 - 11 - ГП.Н1; 2345 - 11 - ГП.Н2.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6231255" cy="5572125"/>
            <wp:effectExtent l="0" t="0" r="0" b="0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1" w:name="sub_11"/>
      <w:bookmarkEnd w:id="51"/>
      <w:r>
        <w:rPr>
          <w:rFonts w:cs="Arial" w:ascii="Arial" w:hAnsi="Arial"/>
          <w:sz w:val="20"/>
          <w:szCs w:val="20"/>
        </w:rPr>
        <w:t>"Рис. 1"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2" w:name="sub_11"/>
      <w:bookmarkEnd w:id="5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5355590"/>
            <wp:effectExtent l="0" t="0" r="0" b="0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3" w:name="sub_12"/>
      <w:bookmarkEnd w:id="53"/>
      <w:r>
        <w:rPr>
          <w:rFonts w:cs="Arial" w:ascii="Arial" w:hAnsi="Arial"/>
          <w:sz w:val="20"/>
          <w:szCs w:val="20"/>
        </w:rPr>
        <w:t>"Рис. 2"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4" w:name="sub_12"/>
      <w:bookmarkEnd w:id="5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121025"/>
            <wp:effectExtent l="0" t="0" r="0" b="0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5" w:name="sub_13"/>
      <w:bookmarkEnd w:id="55"/>
      <w:r>
        <w:rPr>
          <w:rFonts w:cs="Arial" w:ascii="Arial" w:hAnsi="Arial"/>
          <w:sz w:val="20"/>
          <w:szCs w:val="20"/>
        </w:rPr>
        <w:t>"Ведомость разработок чертежа"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6" w:name="sub_13"/>
      <w:bookmarkEnd w:id="5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187065"/>
            <wp:effectExtent l="0" t="0" r="0" b="0"/>
            <wp:docPr id="4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7" w:name="sub_14"/>
      <w:bookmarkEnd w:id="57"/>
      <w:r>
        <w:rPr>
          <w:rFonts w:cs="Arial" w:ascii="Arial" w:hAnsi="Arial"/>
          <w:sz w:val="20"/>
          <w:szCs w:val="20"/>
        </w:rPr>
        <w:t>"Ведомость разработок сводного плана инженерных сетей"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8" w:name="sub_14"/>
      <w:bookmarkEnd w:id="5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121660"/>
            <wp:effectExtent l="0" t="0" r="0" b="0"/>
            <wp:docPr id="5" name="Изображение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9" w:name="sub_15"/>
      <w:bookmarkEnd w:id="59"/>
      <w:r>
        <w:rPr>
          <w:rFonts w:cs="Arial" w:ascii="Arial" w:hAnsi="Arial"/>
          <w:sz w:val="20"/>
          <w:szCs w:val="20"/>
        </w:rPr>
        <w:t>"Экспликация зданий и сооружений"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0" w:name="sub_15"/>
      <w:bookmarkEnd w:id="6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881755"/>
            <wp:effectExtent l="0" t="0" r="0" b="0"/>
            <wp:docPr id="6" name="Изображение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1" w:name="sub_16"/>
      <w:bookmarkEnd w:id="61"/>
      <w:r>
        <w:rPr>
          <w:rFonts w:cs="Arial" w:ascii="Arial" w:hAnsi="Arial"/>
          <w:sz w:val="20"/>
          <w:szCs w:val="20"/>
        </w:rPr>
        <w:t>"Ведомость жилых и общественных зданий и сооружений"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2" w:name="sub_16"/>
      <w:bookmarkEnd w:id="6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824605"/>
            <wp:effectExtent l="0" t="0" r="0" b="0"/>
            <wp:docPr id="7" name="Изображение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3" w:name="sub_17"/>
      <w:bookmarkEnd w:id="63"/>
      <w:r>
        <w:rPr>
          <w:rFonts w:cs="Arial" w:ascii="Arial" w:hAnsi="Arial"/>
          <w:sz w:val="20"/>
          <w:szCs w:val="20"/>
        </w:rPr>
        <w:t>"Ведомость водоотводных сооружений"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4" w:name="sub_17"/>
      <w:bookmarkEnd w:id="6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2154555"/>
            <wp:effectExtent l="0" t="0" r="0" b="0"/>
            <wp:docPr id="8" name="Изображение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5" w:name="sub_18"/>
      <w:bookmarkEnd w:id="65"/>
      <w:r>
        <w:rPr>
          <w:rFonts w:cs="Arial" w:ascii="Arial" w:hAnsi="Arial"/>
          <w:sz w:val="20"/>
          <w:szCs w:val="20"/>
        </w:rPr>
        <w:t>"К плану земляных масс"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6" w:name="sub_18"/>
      <w:bookmarkEnd w:id="6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226435" cy="5572125"/>
            <wp:effectExtent l="0" t="0" r="0" b="0"/>
            <wp:docPr id="9" name="Изображение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7" w:name="sub_19"/>
      <w:bookmarkEnd w:id="67"/>
      <w:r>
        <w:rPr>
          <w:rFonts w:cs="Arial" w:ascii="Arial" w:hAnsi="Arial"/>
          <w:sz w:val="20"/>
          <w:szCs w:val="20"/>
        </w:rPr>
        <w:t>"Ведомость объемов земляных масс"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8" w:name="sub_19"/>
      <w:bookmarkEnd w:id="6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760470"/>
            <wp:effectExtent l="0" t="0" r="0" b="0"/>
            <wp:docPr id="10" name="Изображение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9" w:name="sub_20"/>
      <w:bookmarkEnd w:id="69"/>
      <w:r>
        <w:rPr>
          <w:rFonts w:cs="Arial" w:ascii="Arial" w:hAnsi="Arial"/>
          <w:sz w:val="20"/>
          <w:szCs w:val="20"/>
        </w:rPr>
        <w:t>"Ведомость малых архитектурных форм и переносных изделий"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0" w:name="sub_20"/>
      <w:bookmarkEnd w:id="7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715385"/>
            <wp:effectExtent l="0" t="0" r="0" b="0"/>
            <wp:docPr id="11" name="Изображение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1" w:name="sub_21"/>
      <w:bookmarkEnd w:id="71"/>
      <w:r>
        <w:rPr>
          <w:rFonts w:cs="Arial" w:ascii="Arial" w:hAnsi="Arial"/>
          <w:sz w:val="20"/>
          <w:szCs w:val="20"/>
        </w:rPr>
        <w:t>"Ведомость элементов озеленения"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2" w:name="sub_21"/>
      <w:bookmarkEnd w:id="7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535680"/>
            <wp:effectExtent l="0" t="0" r="0" b="0"/>
            <wp:docPr id="12" name="Изображение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3" w:name="sub_22"/>
      <w:bookmarkEnd w:id="73"/>
      <w:r>
        <w:rPr>
          <w:rFonts w:cs="Arial" w:ascii="Arial" w:hAnsi="Arial"/>
          <w:sz w:val="20"/>
          <w:szCs w:val="20"/>
        </w:rPr>
        <w:t>"Ведомость тротуаров, дорожек и площадок"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74" w:name="sub_22"/>
      <w:bookmarkStart w:id="75" w:name="sub_22"/>
      <w:bookmarkEnd w:id="7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──────────────────────────────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76" w:name="sub_991"/>
      <w:bookmarkEnd w:id="76"/>
      <w:r>
        <w:rPr>
          <w:rFonts w:cs="Arial" w:ascii="Arial" w:hAnsi="Arial"/>
          <w:sz w:val="20"/>
          <w:szCs w:val="20"/>
        </w:rPr>
        <w:t>*(1) В качестве жилищно-гражданских объектов здесь и далее рассматривают микрорайоны, кварталы, группы жилых домов и общественных зданий.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77" w:name="sub_991"/>
      <w:bookmarkStart w:id="78" w:name="sub_992"/>
      <w:bookmarkEnd w:id="77"/>
      <w:bookmarkEnd w:id="78"/>
      <w:r>
        <w:rPr>
          <w:rFonts w:cs="Arial" w:ascii="Arial" w:hAnsi="Arial"/>
          <w:sz w:val="20"/>
          <w:szCs w:val="20"/>
        </w:rPr>
        <w:t>*(2) Выполняют при наличии указаний в договоре на выполнение проектных работ.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79" w:name="sub_992"/>
      <w:bookmarkStart w:id="80" w:name="sub_993"/>
      <w:bookmarkEnd w:id="79"/>
      <w:bookmarkEnd w:id="80"/>
      <w:r>
        <w:rPr>
          <w:rFonts w:cs="Arial" w:ascii="Arial" w:hAnsi="Arial"/>
          <w:sz w:val="20"/>
          <w:szCs w:val="20"/>
        </w:rPr>
        <w:t>*(3) Выполняют при большой насыщенности изображений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81" w:name="sub_993"/>
      <w:bookmarkStart w:id="82" w:name="sub_993"/>
      <w:bookmarkEnd w:id="8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83" w:name="sub_1000"/>
      <w:bookmarkEnd w:id="83"/>
      <w:r>
        <w:rPr>
          <w:rFonts w:cs="Arial" w:ascii="Arial" w:hAnsi="Arial"/>
          <w:b/>
          <w:bCs/>
          <w:sz w:val="20"/>
          <w:szCs w:val="20"/>
        </w:rPr>
        <w:t>Приложение А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84" w:name="sub_1000"/>
      <w:bookmarkEnd w:id="84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2388235"/>
            <wp:effectExtent l="0" t="0" r="0" b="0"/>
            <wp:docPr id="13" name="Изображение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ведомости разработок чертежа"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85" w:name="sub_2000"/>
      <w:bookmarkEnd w:id="85"/>
      <w:r>
        <w:rPr>
          <w:rFonts w:cs="Arial" w:ascii="Arial" w:hAnsi="Arial"/>
          <w:b/>
          <w:bCs/>
          <w:sz w:val="20"/>
          <w:szCs w:val="20"/>
        </w:rPr>
        <w:t>Приложение Б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86" w:name="sub_2000"/>
      <w:bookmarkEnd w:id="86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5193030"/>
            <wp:effectExtent l="0" t="0" r="0" b="0"/>
            <wp:docPr id="14" name="Изображение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ведомости разработок сводного плана инженерных сетей"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87" w:name="sub_3000"/>
      <w:bookmarkEnd w:id="87"/>
      <w:r>
        <w:rPr>
          <w:rFonts w:cs="Arial" w:ascii="Arial" w:hAnsi="Arial"/>
          <w:b/>
          <w:bCs/>
          <w:sz w:val="20"/>
          <w:szCs w:val="20"/>
        </w:rPr>
        <w:t>Приложение В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88" w:name="sub_3000"/>
      <w:bookmarkEnd w:id="88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2870835"/>
            <wp:effectExtent l="0" t="0" r="0" b="0"/>
            <wp:docPr id="15" name="Изображение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экспликации зданий и сооружений"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89" w:name="sub_4000"/>
      <w:bookmarkEnd w:id="89"/>
      <w:r>
        <w:rPr>
          <w:rFonts w:cs="Arial" w:ascii="Arial" w:hAnsi="Arial"/>
          <w:b/>
          <w:bCs/>
          <w:sz w:val="20"/>
          <w:szCs w:val="20"/>
        </w:rPr>
        <w:t>Приложение Г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90" w:name="sub_4000"/>
      <w:bookmarkEnd w:id="90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622800" cy="5572125"/>
            <wp:effectExtent l="0" t="0" r="0" b="0"/>
            <wp:docPr id="16" name="Изображение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ведомости жилых и общественных зданий и сооружений"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91" w:name="sub_5000"/>
      <w:bookmarkEnd w:id="91"/>
      <w:r>
        <w:rPr>
          <w:rFonts w:cs="Arial" w:ascii="Arial" w:hAnsi="Arial"/>
          <w:b/>
          <w:bCs/>
          <w:sz w:val="20"/>
          <w:szCs w:val="20"/>
        </w:rPr>
        <w:t>Приложение Д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92" w:name="sub_5000"/>
      <w:bookmarkEnd w:id="92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714750"/>
            <wp:effectExtent l="0" t="0" r="0" b="0"/>
            <wp:docPr id="17" name="Изображение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ведомости водоотводных сооружений"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93" w:name="sub_6000"/>
      <w:bookmarkEnd w:id="93"/>
      <w:r>
        <w:rPr>
          <w:rFonts w:cs="Arial" w:ascii="Arial" w:hAnsi="Arial"/>
          <w:b/>
          <w:bCs/>
          <w:sz w:val="20"/>
          <w:szCs w:val="20"/>
        </w:rPr>
        <w:t>Приложение Е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94" w:name="sub_6000"/>
      <w:bookmarkEnd w:id="94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254625" cy="5572125"/>
            <wp:effectExtent l="0" t="0" r="0" b="0"/>
            <wp:docPr id="18" name="Изображение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разбивочного плана"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95" w:name="sub_7000"/>
      <w:bookmarkEnd w:id="95"/>
      <w:r>
        <w:rPr>
          <w:rFonts w:cs="Arial" w:ascii="Arial" w:hAnsi="Arial"/>
          <w:b/>
          <w:bCs/>
          <w:sz w:val="20"/>
          <w:szCs w:val="20"/>
        </w:rPr>
        <w:t>Приложение Ж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96" w:name="sub_7000"/>
      <w:bookmarkEnd w:id="96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678805" cy="5572125"/>
            <wp:effectExtent l="0" t="0" r="0" b="0"/>
            <wp:docPr id="19" name="Изображение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0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плана организации рельефа в проектных горизонталях"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97" w:name="sub_8000"/>
      <w:bookmarkEnd w:id="97"/>
      <w:r>
        <w:rPr>
          <w:rFonts w:cs="Arial" w:ascii="Arial" w:hAnsi="Arial"/>
          <w:b/>
          <w:bCs/>
          <w:sz w:val="20"/>
          <w:szCs w:val="20"/>
        </w:rPr>
        <w:t>Приложение И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98" w:name="sub_8000"/>
      <w:bookmarkEnd w:id="98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163820" cy="5572125"/>
            <wp:effectExtent l="0" t="0" r="0" b="0"/>
            <wp:docPr id="20" name="Изображение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плана организации рельефа в проектных отметках"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99" w:name="sub_9000"/>
      <w:bookmarkEnd w:id="99"/>
      <w:r>
        <w:rPr>
          <w:rFonts w:cs="Arial" w:ascii="Arial" w:hAnsi="Arial"/>
          <w:b/>
          <w:bCs/>
          <w:sz w:val="20"/>
          <w:szCs w:val="20"/>
        </w:rPr>
        <w:t>Приложение К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00" w:name="sub_9000"/>
      <w:bookmarkEnd w:id="100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891405" cy="5572125"/>
            <wp:effectExtent l="0" t="0" r="0" b="0"/>
            <wp:docPr id="21" name="Изображение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0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плана земляных масс"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01" w:name="sub_10000"/>
      <w:bookmarkEnd w:id="101"/>
      <w:r>
        <w:rPr>
          <w:rFonts w:cs="Arial" w:ascii="Arial" w:hAnsi="Arial"/>
          <w:b/>
          <w:bCs/>
          <w:sz w:val="20"/>
          <w:szCs w:val="20"/>
        </w:rPr>
        <w:t>Приложение Л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02" w:name="sub_10000"/>
      <w:bookmarkEnd w:id="102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382260" cy="5572125"/>
            <wp:effectExtent l="0" t="0" r="0" b="0"/>
            <wp:docPr id="22" name="Изображение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2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ведомости объемов земляных масс"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03" w:name="sub_11000"/>
      <w:bookmarkEnd w:id="103"/>
      <w:r>
        <w:rPr>
          <w:rFonts w:cs="Arial" w:ascii="Arial" w:hAnsi="Arial"/>
          <w:b/>
          <w:bCs/>
          <w:sz w:val="20"/>
          <w:szCs w:val="20"/>
        </w:rPr>
        <w:t>Приложение М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04" w:name="sub_11000"/>
      <w:bookmarkEnd w:id="104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283200" cy="5572125"/>
            <wp:effectExtent l="0" t="0" r="0" b="0"/>
            <wp:docPr id="23" name="Изображение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3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сводного плана инженерных сетей"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05" w:name="sub_12000"/>
      <w:bookmarkEnd w:id="105"/>
      <w:r>
        <w:rPr>
          <w:rFonts w:cs="Arial" w:ascii="Arial" w:hAnsi="Arial"/>
          <w:b/>
          <w:bCs/>
          <w:sz w:val="20"/>
          <w:szCs w:val="20"/>
        </w:rPr>
        <w:t>Приложение Н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06" w:name="sub_12000"/>
      <w:bookmarkEnd w:id="106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905375"/>
            <wp:effectExtent l="0" t="0" r="0" b="0"/>
            <wp:docPr id="24" name="Изображение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4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ведомости малых архитектурных форм и переносных изделий"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07" w:name="sub_13000"/>
      <w:bookmarkEnd w:id="107"/>
      <w:r>
        <w:rPr>
          <w:rFonts w:cs="Arial" w:ascii="Arial" w:hAnsi="Arial"/>
          <w:b/>
          <w:bCs/>
          <w:sz w:val="20"/>
          <w:szCs w:val="20"/>
        </w:rPr>
        <w:t>Приложение П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08" w:name="sub_13000"/>
      <w:bookmarkEnd w:id="108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856990"/>
            <wp:effectExtent l="0" t="0" r="0" b="0"/>
            <wp:docPr id="25" name="Изображение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5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ведомости элементов озеленения"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09" w:name="sub_14000"/>
      <w:bookmarkEnd w:id="109"/>
      <w:r>
        <w:rPr>
          <w:rFonts w:cs="Arial" w:ascii="Arial" w:hAnsi="Arial"/>
          <w:b/>
          <w:bCs/>
          <w:sz w:val="20"/>
          <w:szCs w:val="20"/>
        </w:rPr>
        <w:t>Приложение Р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10" w:name="sub_14000"/>
      <w:bookmarkEnd w:id="110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Пример оформления ведомости тротуаров, дорожек и площадок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drawing>
          <wp:inline distT="0" distB="0" distL="0" distR="0">
            <wp:extent cx="8699500" cy="4507230"/>
            <wp:effectExtent l="0" t="0" r="0" b="0"/>
            <wp:docPr id="26" name="Изображение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6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11" w:name="sub_14001"/>
      <w:bookmarkEnd w:id="111"/>
      <w:r>
        <w:rPr>
          <w:rFonts w:cs="Arial" w:ascii="Arial" w:hAnsi="Arial"/>
          <w:sz w:val="20"/>
          <w:szCs w:val="20"/>
        </w:rPr>
        <w:t>"Рис. Р.1. Пример оформления ведомости дорог, подъездов и проездов"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12" w:name="sub_14001"/>
      <w:bookmarkEnd w:id="11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4132580"/>
            <wp:effectExtent l="0" t="0" r="0" b="0"/>
            <wp:docPr id="27" name="Изображение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7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13" w:name="sub_14002"/>
      <w:bookmarkEnd w:id="113"/>
      <w:r>
        <w:rPr>
          <w:rFonts w:cs="Arial" w:ascii="Arial" w:hAnsi="Arial"/>
          <w:sz w:val="20"/>
          <w:szCs w:val="20"/>
        </w:rPr>
        <w:t>"Рис. Р.2. Пример оформления ведомости дорог, подъездов и проездов"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14" w:name="sub_14002"/>
      <w:bookmarkStart w:id="115" w:name="sub_14002"/>
      <w:bookmarkEnd w:id="11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16" w:name="sub_15000"/>
      <w:bookmarkEnd w:id="116"/>
      <w:r>
        <w:rPr>
          <w:rFonts w:cs="Arial" w:ascii="Arial" w:hAnsi="Arial"/>
          <w:b/>
          <w:bCs/>
          <w:sz w:val="20"/>
          <w:szCs w:val="20"/>
        </w:rPr>
        <w:t>Приложение С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17" w:name="sub_15000"/>
      <w:bookmarkEnd w:id="117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933825" cy="5572125"/>
            <wp:effectExtent l="0" t="0" r="0" b="0"/>
            <wp:docPr id="28" name="Изображение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8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сечений тротуаров, дорожек и площадок"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18" w:name="sub_16000"/>
      <w:bookmarkEnd w:id="118"/>
      <w:r>
        <w:rPr>
          <w:rFonts w:cs="Arial" w:ascii="Arial" w:hAnsi="Arial"/>
          <w:b/>
          <w:bCs/>
          <w:sz w:val="20"/>
          <w:szCs w:val="20"/>
        </w:rPr>
        <w:t>Приложение Т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19" w:name="sub_16000"/>
      <w:bookmarkEnd w:id="119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909945" cy="5572125"/>
            <wp:effectExtent l="0" t="0" r="0" b="0"/>
            <wp:docPr id="29" name="Изображение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9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плана озеленения"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20" w:name="sub_17000"/>
      <w:bookmarkEnd w:id="120"/>
      <w:r>
        <w:rPr>
          <w:rFonts w:cs="Arial" w:ascii="Arial" w:hAnsi="Arial"/>
          <w:b/>
          <w:bCs/>
          <w:sz w:val="20"/>
          <w:szCs w:val="20"/>
        </w:rPr>
        <w:t>Приложение У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21" w:name="sub_17000"/>
      <w:bookmarkEnd w:id="121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730875" cy="5572125"/>
            <wp:effectExtent l="0" t="0" r="0" b="0"/>
            <wp:docPr id="30" name="Изображение3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30" descr="" titl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плана расположения малых архитектурных форм и переносных изделий"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22" w:name="sub_18000"/>
      <w:bookmarkEnd w:id="122"/>
      <w:r>
        <w:rPr>
          <w:rFonts w:cs="Arial" w:ascii="Arial" w:hAnsi="Arial"/>
          <w:b/>
          <w:bCs/>
          <w:sz w:val="20"/>
          <w:szCs w:val="20"/>
        </w:rPr>
        <w:t>Приложение Ф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23" w:name="sub_18000"/>
      <w:bookmarkEnd w:id="123"/>
      <w:r>
        <w:rPr>
          <w:rFonts w:cs="Arial" w:ascii="Arial" w:hAnsi="Arial"/>
          <w:b/>
          <w:bCs/>
          <w:sz w:val="20"/>
          <w:szCs w:val="20"/>
        </w:rPr>
        <w:t>(справочное)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784215" cy="5572125"/>
            <wp:effectExtent l="0" t="0" r="0" b="0"/>
            <wp:docPr id="31" name="Изображение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31" descr="" titl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 оформления плана проездов, тротуаров, дорожек, площадок"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sectPr>
      <w:type w:val="nextPage"/>
      <w:pgSz w:w="11906" w:h="16838"/>
      <w:pgMar w:left="850" w:right="85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Times New Roman">
    <w:charset w:val="cc" w:characterSet="windows-1251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Arial">
    <w:charset w:val="cc" w:characterSet="windows-1251"/>
    <w:family w:val="swiss"/>
    <w:pitch w:val="variable"/>
  </w:font>
  <w:font w:name="Courier New">
    <w:charset w:val="cc" w:characterSet="windows-1251"/>
    <w:family w:val="moder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fontTable" Target="fontTable.xml"/><Relationship Id="rId3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2006-07-26T17:26:00Z</dcterms:created>
  <dc:creator>Виктор</dc:creator>
  <dc:description/>
  <dc:language>ru-RU</dc:language>
  <cp:lastModifiedBy>Виктор</cp:lastModifiedBy>
  <dcterms:modified xsi:type="dcterms:W3CDTF">2007-04-07T18:08:00Z</dcterms:modified>
  <cp:revision>3</cp:revision>
  <dc:subject/>
  <dc:title/>
</cp:coreProperties>
</file>