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9.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Государственный стандарт СССР ГОСТ 21.406-88</w:t>
        <w:br/>
        <w:t>"Система проектной документации для строительства.</w:t>
        <w:br/>
        <w:t>Проводные средства связи.</w:t>
        <w:br/>
        <w:t>Обозначения условные графические на схемах и планах"</w:t>
        <w:br/>
        <w:t>(утв. постановлением Госстроя СССР от 27 мая 1988 г. N 94)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/>
      </w:pPr>
      <w:r>
        <w:rPr>
          <w:rFonts w:cs="Arial" w:ascii="Arial" w:hAnsi="Arial"/>
          <w:b/>
          <w:bCs/>
          <w:color w:val="000080"/>
          <w:sz w:val="20"/>
          <w:szCs w:val="20"/>
          <w:lang w:val="en-US"/>
        </w:rPr>
        <w:t>System of Design Documents for Construction. Wire communication. Graphical Symbols in Diagrams and Layouts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  <w:lang w:val="en-US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  <w:lang w:val="en-US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Дата введения - 1 июля 1989 г.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Взамен ГОСТ 2.753-79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Настоящий стандарт устанавливает обозначения условные графические проводных средств, связи, а также сетей проводного вещания на схемах и планах сооружений и устройств.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0" w:name="sub_1"/>
      <w:bookmarkEnd w:id="0"/>
      <w:r>
        <w:rPr>
          <w:rFonts w:cs="Arial" w:ascii="Arial" w:hAnsi="Arial"/>
          <w:sz w:val="20"/>
          <w:szCs w:val="20"/>
        </w:rPr>
        <w:t>1. Обозначения условные графические, установленные настоящим стандартом для вторичных сетей связи (например: телефонной, телеграфной, передачи данных), допускается использовать и при проектировании сооружений средств радиосвязи.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" w:name="sub_1"/>
      <w:bookmarkStart w:id="2" w:name="sub_2"/>
      <w:bookmarkEnd w:id="1"/>
      <w:bookmarkEnd w:id="2"/>
      <w:r>
        <w:rPr>
          <w:rFonts w:cs="Arial" w:ascii="Arial" w:hAnsi="Arial"/>
          <w:sz w:val="20"/>
          <w:szCs w:val="20"/>
        </w:rPr>
        <w:t>2. Совместное применение на схемах и планах основных и упрощенных обозначений не допускается.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" w:name="sub_2"/>
      <w:bookmarkStart w:id="4" w:name="sub_3"/>
      <w:bookmarkEnd w:id="3"/>
      <w:bookmarkEnd w:id="4"/>
      <w:r>
        <w:rPr>
          <w:rFonts w:cs="Arial" w:ascii="Arial" w:hAnsi="Arial"/>
          <w:sz w:val="20"/>
          <w:szCs w:val="20"/>
        </w:rPr>
        <w:t>3. Размеры условных обозначений не регламентируются и выбираются в зависимости от насыщенности схем и масштабов планов с учетом обеспечения четкости изображений.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5" w:name="sub_3"/>
      <w:bookmarkStart w:id="6" w:name="sub_4"/>
      <w:bookmarkEnd w:id="5"/>
      <w:bookmarkEnd w:id="6"/>
      <w:r>
        <w:rPr>
          <w:rFonts w:cs="Arial" w:ascii="Arial" w:hAnsi="Arial"/>
          <w:sz w:val="20"/>
          <w:szCs w:val="20"/>
        </w:rPr>
        <w:t>4. Около обозначений, для которых в таблицах отсутствуют дополнительные требования, на схемах и планах, при необходимости, указывают: тип станции, аппаратуры и устройства; их емкость, порядковую нумерацию и другие параметры.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7" w:name="sub_4"/>
      <w:bookmarkStart w:id="8" w:name="sub_5"/>
      <w:bookmarkEnd w:id="7"/>
      <w:bookmarkEnd w:id="8"/>
      <w:r>
        <w:rPr>
          <w:rFonts w:cs="Arial" w:ascii="Arial" w:hAnsi="Arial"/>
          <w:sz w:val="20"/>
          <w:szCs w:val="20"/>
        </w:rPr>
        <w:t>5. Для оконечных станций систем передачи условные обозначения даны на отдельные виды (элементы) аппаратуры, входящие в комплекс оконечных станций.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9" w:name="sub_5"/>
      <w:bookmarkEnd w:id="9"/>
      <w:r>
        <w:rPr>
          <w:rFonts w:cs="Arial" w:ascii="Arial" w:hAnsi="Arial"/>
          <w:sz w:val="20"/>
          <w:szCs w:val="20"/>
        </w:rPr>
        <w:t xml:space="preserve">Конкретные примеры применения условных обозначений элементов оконечных и транзитных станций различных систем передачи на схемах организации связи приведены в </w:t>
      </w:r>
      <w:hyperlink w:anchor="sub_10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приложении 1.</w:t>
        </w:r>
      </w:hyperlink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Примеры применения условных обозначений оконечных и промежуточных пунктов линии передачи (ЛП) с аппаратурой систем передачи синхронной цифровой иерархии (СП СЦИ) на схемах организации связи приведены в </w:t>
      </w:r>
      <w:hyperlink w:anchor="sub_11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приложении 1а.</w:t>
        </w:r>
      </w:hyperlink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(Измененная редакция, Изм. N 1)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0" w:name="sub_6"/>
      <w:bookmarkEnd w:id="10"/>
      <w:r>
        <w:rPr>
          <w:rFonts w:cs="Arial" w:ascii="Arial" w:hAnsi="Arial"/>
          <w:sz w:val="20"/>
          <w:szCs w:val="20"/>
        </w:rPr>
        <w:t xml:space="preserve">6. Алфавитный указатель условных обозначений, устанавливаемых стандартом, приведен в </w:t>
      </w:r>
      <w:hyperlink w:anchor="sub_20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приложении 2.</w:t>
        </w:r>
      </w:hyperlink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1" w:name="sub_6"/>
      <w:bookmarkStart w:id="12" w:name="sub_7"/>
      <w:bookmarkEnd w:id="11"/>
      <w:bookmarkEnd w:id="12"/>
      <w:r>
        <w:rPr>
          <w:rFonts w:cs="Arial" w:ascii="Arial" w:hAnsi="Arial"/>
          <w:sz w:val="20"/>
          <w:szCs w:val="20"/>
        </w:rPr>
        <w:t>7. Обозначения условные узлов и станций первичной сети, пунктов линии передачи и объединенных узлов и станций приведены в табл.1.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3" w:name="sub_7"/>
      <w:bookmarkEnd w:id="1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993775" cy="3581400"/>
            <wp:effectExtent l="0" t="0" r="0" b="0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4" w:name="sub_71"/>
      <w:bookmarkEnd w:id="14"/>
      <w:r>
        <w:rPr>
          <w:rFonts w:cs="Arial" w:ascii="Arial" w:hAnsi="Arial"/>
          <w:sz w:val="20"/>
          <w:szCs w:val="20"/>
        </w:rPr>
        <w:t>"Таблица 1"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5" w:name="sub_71"/>
      <w:bookmarkStart w:id="16" w:name="sub_71"/>
      <w:bookmarkEnd w:id="16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7" w:name="sub_8"/>
      <w:bookmarkEnd w:id="17"/>
      <w:r>
        <w:rPr>
          <w:rFonts w:cs="Arial" w:ascii="Arial" w:hAnsi="Arial"/>
          <w:sz w:val="20"/>
          <w:szCs w:val="20"/>
        </w:rPr>
        <w:t>8. Обозначения условные оконечных станций систем передачи и аппаратуры оконечных станций систем передачи приведены в табл.2.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8" w:name="sub_8"/>
      <w:bookmarkEnd w:id="18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914650" cy="3581400"/>
            <wp:effectExtent l="0" t="0" r="0" b="0"/>
            <wp:docPr id="2" name="Изображение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9" w:name="sub_81"/>
      <w:bookmarkEnd w:id="19"/>
      <w:r>
        <w:rPr>
          <w:rFonts w:cs="Arial" w:ascii="Arial" w:hAnsi="Arial"/>
          <w:sz w:val="20"/>
          <w:szCs w:val="20"/>
        </w:rPr>
        <w:t>"Таблица 2"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20" w:name="sub_81"/>
      <w:bookmarkStart w:id="21" w:name="sub_81"/>
      <w:bookmarkEnd w:id="21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2" w:name="sub_9"/>
      <w:bookmarkEnd w:id="22"/>
      <w:r>
        <w:rPr>
          <w:rFonts w:cs="Arial" w:ascii="Arial" w:hAnsi="Arial"/>
          <w:sz w:val="20"/>
          <w:szCs w:val="20"/>
        </w:rPr>
        <w:t>9. Обозначения условные аппаратуры оконечных и промежуточных (усилительных и регенерационных) станции линейного тракта систем передачи приведены в табл.3.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3" w:name="sub_9"/>
      <w:bookmarkEnd w:id="2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937510" cy="3581400"/>
            <wp:effectExtent l="0" t="0" r="0" b="0"/>
            <wp:docPr id="3" name="Изображение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4" w:name="sub_91"/>
      <w:bookmarkEnd w:id="24"/>
      <w:r>
        <w:rPr>
          <w:rFonts w:cs="Arial" w:ascii="Arial" w:hAnsi="Arial"/>
          <w:sz w:val="20"/>
          <w:szCs w:val="20"/>
        </w:rPr>
        <w:t>"Таблица 3"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25" w:name="sub_91"/>
      <w:bookmarkStart w:id="26" w:name="sub_91"/>
      <w:bookmarkEnd w:id="26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7" w:name="sub_10"/>
      <w:bookmarkEnd w:id="27"/>
      <w:r>
        <w:rPr>
          <w:rFonts w:cs="Arial" w:ascii="Arial" w:hAnsi="Arial"/>
          <w:sz w:val="20"/>
          <w:szCs w:val="20"/>
        </w:rPr>
        <w:t>10. Обозначения условные каналов передачи первичных сетей, аппаратуры вещания и вспомогательных устройств первичной сети связи приведены в табл.4.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8" w:name="sub_10"/>
      <w:bookmarkEnd w:id="28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340735" cy="3581400"/>
            <wp:effectExtent l="0" t="0" r="0" b="0"/>
            <wp:docPr id="4" name="Изображение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9" w:name="sub_101"/>
      <w:bookmarkEnd w:id="29"/>
      <w:r>
        <w:rPr>
          <w:rFonts w:cs="Arial" w:ascii="Arial" w:hAnsi="Arial"/>
          <w:sz w:val="20"/>
          <w:szCs w:val="20"/>
        </w:rPr>
        <w:t>"Таблица 4"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0" w:name="sub_101"/>
      <w:bookmarkStart w:id="31" w:name="sub_101"/>
      <w:bookmarkEnd w:id="31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2" w:name="sub_11"/>
      <w:bookmarkEnd w:id="32"/>
      <w:r>
        <w:rPr>
          <w:rFonts w:cs="Arial" w:ascii="Arial" w:hAnsi="Arial"/>
          <w:sz w:val="20"/>
          <w:szCs w:val="20"/>
        </w:rPr>
        <w:t>11. Обозначения условные узлов, станций, подстанций и устройств вторичной телефонной сети приведены в табл.5.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3" w:name="sub_11"/>
      <w:bookmarkEnd w:id="3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2564765" cy="3581400"/>
            <wp:effectExtent l="0" t="0" r="0" b="0"/>
            <wp:docPr id="5" name="Изображение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4" w:name="sub_111"/>
      <w:bookmarkEnd w:id="34"/>
      <w:r>
        <w:rPr>
          <w:rFonts w:cs="Arial" w:ascii="Arial" w:hAnsi="Arial"/>
          <w:sz w:val="20"/>
          <w:szCs w:val="20"/>
        </w:rPr>
        <w:t>"Таблица 5"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5" w:name="sub_111"/>
      <w:bookmarkStart w:id="36" w:name="sub_111"/>
      <w:bookmarkEnd w:id="36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7" w:name="sub_12"/>
      <w:bookmarkEnd w:id="37"/>
      <w:r>
        <w:rPr>
          <w:rFonts w:cs="Arial" w:ascii="Arial" w:hAnsi="Arial"/>
          <w:sz w:val="20"/>
          <w:szCs w:val="20"/>
        </w:rPr>
        <w:t>12. Обозначения условные узлов, станций, устройств вторичных сетей телеграфной, факсимильной и передачи данных приведены в табл.6.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38" w:name="sub_12"/>
      <w:bookmarkEnd w:id="38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1948180" cy="3581400"/>
            <wp:effectExtent l="0" t="0" r="0" b="0"/>
            <wp:docPr id="6" name="Изображение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39" w:name="sub_121"/>
      <w:bookmarkEnd w:id="39"/>
      <w:r>
        <w:rPr>
          <w:rFonts w:cs="Arial" w:ascii="Arial" w:hAnsi="Arial"/>
          <w:sz w:val="20"/>
          <w:szCs w:val="20"/>
        </w:rPr>
        <w:t>"Таблица 6"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0" w:name="sub_121"/>
      <w:bookmarkStart w:id="41" w:name="sub_121"/>
      <w:bookmarkEnd w:id="41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42" w:name="sub_13"/>
      <w:bookmarkEnd w:id="42"/>
      <w:r>
        <w:rPr>
          <w:rFonts w:cs="Arial" w:ascii="Arial" w:hAnsi="Arial"/>
          <w:sz w:val="20"/>
          <w:szCs w:val="20"/>
        </w:rPr>
        <w:t>13. Обозначения условные станций и устройств сетей проводного и звукового вещания приведены в табл.7.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43" w:name="sub_13"/>
      <w:bookmarkEnd w:id="4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206115" cy="3581400"/>
            <wp:effectExtent l="0" t="0" r="0" b="0"/>
            <wp:docPr id="7" name="Изображение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4" w:name="sub_131"/>
      <w:bookmarkEnd w:id="44"/>
      <w:r>
        <w:rPr>
          <w:rFonts w:cs="Arial" w:ascii="Arial" w:hAnsi="Arial"/>
          <w:sz w:val="20"/>
          <w:szCs w:val="20"/>
        </w:rPr>
        <w:t>"Таблица 7"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5" w:name="sub_131"/>
      <w:bookmarkStart w:id="46" w:name="sub_131"/>
      <w:bookmarkEnd w:id="46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47" w:name="sub_14"/>
      <w:bookmarkEnd w:id="47"/>
      <w:r>
        <w:rPr>
          <w:rFonts w:cs="Arial" w:ascii="Arial" w:hAnsi="Arial"/>
          <w:sz w:val="20"/>
          <w:szCs w:val="20"/>
        </w:rPr>
        <w:t>14. Обозначения условные для направляющих сред (кабельных, воздушных) линий передачи и сетей проводного вещания приведены в табл.8.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48" w:name="sub_14"/>
      <w:bookmarkEnd w:id="48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491230" cy="3581400"/>
            <wp:effectExtent l="0" t="0" r="0" b="0"/>
            <wp:docPr id="8" name="Изображение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49" w:name="sub_141"/>
      <w:bookmarkEnd w:id="49"/>
      <w:r>
        <w:rPr>
          <w:rFonts w:cs="Arial" w:ascii="Arial" w:hAnsi="Arial"/>
          <w:sz w:val="20"/>
          <w:szCs w:val="20"/>
        </w:rPr>
        <w:t>"Таблица 8"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0" w:name="sub_141"/>
      <w:bookmarkStart w:id="51" w:name="sub_141"/>
      <w:bookmarkEnd w:id="51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52" w:name="sub_15"/>
      <w:bookmarkEnd w:id="52"/>
      <w:r>
        <w:rPr>
          <w:rFonts w:cs="Arial" w:ascii="Arial" w:hAnsi="Arial"/>
          <w:sz w:val="20"/>
          <w:szCs w:val="20"/>
        </w:rPr>
        <w:t>15. Прочие условные обозначения, используемые на схемах и планах сооружений связи, приведены в табл.9.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53" w:name="sub_15"/>
      <w:bookmarkEnd w:id="5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021965" cy="3581400"/>
            <wp:effectExtent l="0" t="0" r="0" b="0"/>
            <wp:docPr id="9" name="Изображение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54" w:name="sub_151"/>
      <w:bookmarkEnd w:id="54"/>
      <w:r>
        <w:rPr>
          <w:rFonts w:cs="Arial" w:ascii="Arial" w:hAnsi="Arial"/>
          <w:sz w:val="20"/>
          <w:szCs w:val="20"/>
        </w:rPr>
        <w:t>"Таблица 9"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55" w:name="sub_151"/>
      <w:bookmarkStart w:id="56" w:name="sub_151"/>
      <w:bookmarkEnd w:id="56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57" w:name="sub_16"/>
      <w:bookmarkEnd w:id="57"/>
      <w:r>
        <w:rPr>
          <w:rFonts w:cs="Arial" w:ascii="Arial" w:hAnsi="Arial"/>
          <w:sz w:val="20"/>
          <w:szCs w:val="20"/>
        </w:rPr>
        <w:t>16. (Дополнение. Изм. N 1). Условные обозначения оконечных и промежуточных пунктов ЛП с аппаратурой СП СЦИ состоят из графического условного обозначения и буквенно-цифрового обозначения элементов аппаратуры, а также номеров цифровых трактов.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58" w:name="sub_16"/>
      <w:bookmarkEnd w:id="58"/>
      <w:r>
        <w:rPr>
          <w:rFonts w:cs="Arial" w:ascii="Arial" w:hAnsi="Arial"/>
          <w:sz w:val="20"/>
          <w:szCs w:val="20"/>
        </w:rPr>
        <w:t>Размер шрифта буквенно-цифрового обозначения аппаратуры и ее элементов должен быть на один-два номера больше, чем размер шрифта, принятого для размерных чисел на том же чертеже, а также номеров цифровых трактов.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Условные обозначения пунктов ЛП с аппаратурой СП СЦИ приведены в табл.10.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779520" cy="3581400"/>
            <wp:effectExtent l="0" t="0" r="0" b="0"/>
            <wp:docPr id="10" name="Изображение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59" w:name="sub_161"/>
      <w:bookmarkEnd w:id="59"/>
      <w:r>
        <w:rPr>
          <w:rFonts w:cs="Arial" w:ascii="Arial" w:hAnsi="Arial"/>
          <w:sz w:val="20"/>
          <w:szCs w:val="20"/>
        </w:rPr>
        <w:t>"Таблица 10"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60" w:name="sub_161"/>
      <w:bookmarkStart w:id="61" w:name="sub_161"/>
      <w:bookmarkEnd w:id="61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10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Приложение 1  (справочное). Примеры построения  на  схемах  организации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</w:t>
      </w:r>
      <w:r>
        <w:rPr>
          <w:rFonts w:cs="Courier New" w:ascii="Courier New" w:hAnsi="Courier New"/>
          <w:color w:val="008000"/>
          <w:sz w:val="20"/>
          <w:szCs w:val="20"/>
          <w:u w:val="single"/>
          <w:lang w:val="ru-RU" w:eastAsia="ru-RU"/>
        </w:rPr>
        <w:t>связи условных  обозначений   оконечных   и    транзитных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</w:t>
      </w:r>
      <w:r>
        <w:rPr>
          <w:rFonts w:cs="Courier New" w:ascii="Courier New" w:hAnsi="Courier New"/>
          <w:color w:val="008000"/>
          <w:sz w:val="20"/>
          <w:szCs w:val="20"/>
          <w:u w:val="single"/>
          <w:lang w:val="ru-RU" w:eastAsia="ru-RU"/>
        </w:rPr>
        <w:t>станций   систем  передачи   с   использованием  условных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</w:t>
      </w:r>
      <w:r>
        <w:rPr>
          <w:rFonts w:cs="Courier New" w:ascii="Courier New" w:hAnsi="Courier New"/>
          <w:color w:val="008000"/>
          <w:sz w:val="20"/>
          <w:szCs w:val="20"/>
          <w:u w:val="single"/>
          <w:lang w:val="ru-RU" w:eastAsia="ru-RU"/>
        </w:rPr>
        <w:t>обозначений элементов этих станций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11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Приложение 1а (справочное).Примеры   применения   условных  обозначений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</w:t>
      </w:r>
      <w:r>
        <w:rPr>
          <w:rFonts w:cs="Courier New" w:ascii="Courier New" w:hAnsi="Courier New"/>
          <w:color w:val="008000"/>
          <w:sz w:val="20"/>
          <w:szCs w:val="20"/>
          <w:u w:val="single"/>
          <w:lang w:val="ru-RU" w:eastAsia="ru-RU"/>
        </w:rPr>
        <w:t>оконечных и  промежуточных  пунктов  ЛП   с   аппаратурой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</w:t>
      </w:r>
      <w:r>
        <w:rPr>
          <w:rFonts w:cs="Courier New" w:ascii="Courier New" w:hAnsi="Courier New"/>
          <w:color w:val="008000"/>
          <w:sz w:val="20"/>
          <w:szCs w:val="20"/>
          <w:u w:val="single"/>
          <w:lang w:val="ru-RU" w:eastAsia="ru-RU"/>
        </w:rPr>
        <w:t>СП СЦИ на схемах организации связи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20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Приложение 2  (справочное). Алфавитный указатель условных обозначений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62" w:name="sub_1000"/>
      <w:bookmarkEnd w:id="62"/>
      <w:r>
        <w:rPr>
          <w:rFonts w:cs="Arial" w:ascii="Arial" w:hAnsi="Arial"/>
          <w:b/>
          <w:bCs/>
          <w:color w:val="000080"/>
          <w:sz w:val="20"/>
          <w:szCs w:val="20"/>
        </w:rPr>
        <w:t>Приложение 1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63" w:name="sub_1000"/>
      <w:bookmarkEnd w:id="63"/>
      <w:r>
        <w:rPr>
          <w:rFonts w:cs="Arial" w:ascii="Arial" w:hAnsi="Arial"/>
          <w:b/>
          <w:bCs/>
          <w:color w:val="000080"/>
          <w:sz w:val="20"/>
          <w:szCs w:val="20"/>
        </w:rPr>
        <w:t>Справочное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Примеры построения на схемах организации связи условных обозначений</w:t>
        <w:br/>
        <w:t>оконечных и транзитных станций систем передачи с использованием</w:t>
        <w:br/>
        <w:t>условных обозначений элементов этих станций</w:t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drawing>
          <wp:inline distT="0" distB="0" distL="0" distR="0">
            <wp:extent cx="3126740" cy="3581400"/>
            <wp:effectExtent l="0" t="0" r="0" b="0"/>
            <wp:docPr id="11" name="Изображение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 titl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"Примеры построения на схемах организации связи условных обозначений оконечных и транзитных станций систем передачи с использованием условных обозначений элементов этих станций"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64" w:name="sub_1100"/>
      <w:bookmarkEnd w:id="64"/>
      <w:r>
        <w:rPr>
          <w:rFonts w:cs="Arial" w:ascii="Arial" w:hAnsi="Arial"/>
          <w:b/>
          <w:bCs/>
          <w:color w:val="000080"/>
          <w:sz w:val="20"/>
          <w:szCs w:val="20"/>
        </w:rPr>
        <w:t>Приложение 1a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65" w:name="sub_1100"/>
      <w:bookmarkEnd w:id="65"/>
      <w:r>
        <w:rPr>
          <w:rFonts w:cs="Arial" w:ascii="Arial" w:hAnsi="Arial"/>
          <w:b/>
          <w:bCs/>
          <w:color w:val="000080"/>
          <w:sz w:val="20"/>
          <w:szCs w:val="20"/>
        </w:rPr>
        <w:t>Справочное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Примеры применения условных обозначений оконечных и промежуточных</w:t>
        <w:br/>
        <w:t>пунктов ЛП с аппаратурой СП СЦИ на схемах организации связи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1. Система передачи 155 Мбит/с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SMS-150T*            SMS-150R               SMS-150T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──────────────────────────────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* Около условного обозначения указывают тип аппаратуры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2805430"/>
            <wp:effectExtent l="0" t="0" r="0" b="0"/>
            <wp:docPr id="12" name="Изображение1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 titl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66" w:name="sub_1001"/>
      <w:bookmarkEnd w:id="66"/>
      <w:r>
        <w:rPr>
          <w:rFonts w:cs="Arial" w:ascii="Arial" w:hAnsi="Arial"/>
          <w:sz w:val="20"/>
          <w:szCs w:val="20"/>
        </w:rPr>
        <w:t>"Рисунок 1"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67" w:name="sub_1001"/>
      <w:bookmarkStart w:id="68" w:name="sub_1001"/>
      <w:bookmarkEnd w:id="68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 Система передачи 622 Мбит/с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2756535"/>
            <wp:effectExtent l="0" t="0" r="0" b="0"/>
            <wp:docPr id="13" name="Изображение1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 titl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eastAsia="Courier New" w:cs="Courier New" w:ascii="Courier New" w:hAnsi="Courier New"/>
          <w:sz w:val="20"/>
          <w:szCs w:val="20"/>
          <w:lang w:val="en-US" w:eastAsia="ru-RU"/>
        </w:rPr>
        <w:t xml:space="preserve">    </w:t>
      </w:r>
      <w:r>
        <w:rPr>
          <w:rFonts w:cs="Courier New" w:ascii="Courier New" w:hAnsi="Courier New"/>
          <w:sz w:val="20"/>
          <w:szCs w:val="20"/>
          <w:lang w:val="en-US" w:eastAsia="ru-RU"/>
        </w:rPr>
        <w:t>SMS-150A             SMS-600W                SMS-600W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cs="Courier New" w:ascii="Courier New" w:hAnsi="Courier New"/>
          <w:sz w:val="20"/>
          <w:szCs w:val="20"/>
          <w:lang w:val="en-US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69" w:name="sub_1002"/>
      <w:bookmarkEnd w:id="69"/>
      <w:r>
        <w:rPr>
          <w:rFonts w:cs="Arial" w:ascii="Arial" w:hAnsi="Arial"/>
          <w:sz w:val="20"/>
          <w:szCs w:val="20"/>
        </w:rPr>
        <w:t>"Рисунок 2"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70" w:name="sub_1002"/>
      <w:bookmarkStart w:id="71" w:name="sub_1002"/>
      <w:bookmarkEnd w:id="71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 Система передачи 2,5 Гбит/с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6818630" cy="3581400"/>
            <wp:effectExtent l="0" t="0" r="0" b="0"/>
            <wp:docPr id="14" name="Изображение1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63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72" w:name="sub_1003"/>
      <w:bookmarkEnd w:id="72"/>
      <w:r>
        <w:rPr>
          <w:rFonts w:cs="Arial" w:ascii="Arial" w:hAnsi="Arial"/>
          <w:sz w:val="20"/>
          <w:szCs w:val="20"/>
        </w:rPr>
        <w:t>"Рисунок 3"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73" w:name="sub_1003"/>
      <w:bookmarkStart w:id="74" w:name="sub_1003"/>
      <w:bookmarkEnd w:id="74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75" w:name="sub_2000"/>
      <w:bookmarkEnd w:id="75"/>
      <w:r>
        <w:rPr>
          <w:rFonts w:cs="Arial" w:ascii="Arial" w:hAnsi="Arial"/>
          <w:b/>
          <w:bCs/>
          <w:color w:val="000080"/>
          <w:sz w:val="20"/>
          <w:szCs w:val="20"/>
        </w:rPr>
        <w:t>Приложение 2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76" w:name="sub_2000"/>
      <w:bookmarkEnd w:id="76"/>
      <w:r>
        <w:rPr>
          <w:rFonts w:cs="Arial" w:ascii="Arial" w:hAnsi="Arial"/>
          <w:b/>
          <w:bCs/>
          <w:color w:val="000080"/>
          <w:sz w:val="20"/>
          <w:szCs w:val="20"/>
        </w:rPr>
        <w:t>Справочное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Алфавитный указатель условных обозначений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┌──────────────────────────────┬────────────────────┬───────────────────┐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Наименование         │   Номер таблицы    │Порядковый номер в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               │                    │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таблице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├──────────────────────────────┼────────────────────┼───────────────────┤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Автотрансформатор             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51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согласовывающий (AT)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Аппарат телеграфный           │         </w:t>
      </w:r>
      <w:hyperlink w:anchor="sub_12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6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17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Аппарат          телеграфный с│         </w:t>
      </w:r>
      <w:hyperlink w:anchor="sub_12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6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20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магнитной приставкой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Аппарат факсимильный          │         </w:t>
      </w:r>
      <w:hyperlink w:anchor="sub_12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6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18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Аппараты телефонные           │         </w:t>
      </w:r>
      <w:hyperlink w:anchor="sub_11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5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4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Аппаратура        двусторонней│         </w:t>
      </w:r>
      <w:hyperlink w:anchor="sub_10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4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9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групповой        междугородной│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телефонной связи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Аппаратная         звукового и│         </w:t>
      </w:r>
      <w:hyperlink w:anchor="sub_13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7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14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телевизионного вещания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Аппаратура                    │         </w:t>
      </w:r>
      <w:hyperlink w:anchor="sub_12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6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13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контрольно-измерительная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Аппаратура         образования│         </w:t>
      </w:r>
      <w:hyperlink w:anchor="sub_12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6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4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дискретных             каналов│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магистральных и  внутризоновых│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связей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Аппаратура         образования│         </w:t>
      </w:r>
      <w:hyperlink w:anchor="sub_12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6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5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дискретных   каналов   местных│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телеграфных связей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Аппаратура образования  канала│         </w:t>
      </w:r>
      <w:hyperlink w:anchor="sub_10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4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8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звукового вещания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Аппаратура оконечная линейного│         </w:t>
      </w:r>
      <w:hyperlink w:anchor="sub_9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3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тракта (ОПЛТ)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Аппаратура передачи данных    │         </w:t>
      </w:r>
      <w:hyperlink w:anchor="sub_12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6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21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Аппаратура  преобразования   и│         </w:t>
      </w:r>
      <w:hyperlink w:anchor="sub_8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2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2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временного группообразования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Аппаратура служебной связи    │         </w:t>
      </w:r>
      <w:hyperlink w:anchor="sub_10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4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6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Аппаратура сопряжения         │         </w:t>
      </w:r>
      <w:hyperlink w:anchor="sub_8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2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3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Аппаратура телемеханики       │         </w:t>
      </w:r>
      <w:hyperlink w:anchor="sub_10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4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7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Аппаратура транзита  групповых│         </w:t>
      </w:r>
      <w:hyperlink w:anchor="sub_8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2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4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трактов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Блок-станция (БС)             │         </w:t>
      </w:r>
      <w:hyperlink w:anchor="sub_13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7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4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Бокс кабельный                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6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Вставка кабельная  и  ввод  на│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56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воздушных линиях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Вывод   кабеля,    защищаемого│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19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металлическим       угольником│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(трубой), на стену здания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Выделение  и  введение  в  ОУП│         </w:t>
      </w:r>
      <w:hyperlink w:anchor="sub_9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3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4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групповых трактов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Граница                 района│         </w:t>
      </w:r>
      <w:hyperlink w:anchor="sub_15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9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11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трансформаторной    подстанции│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(ТП),    блок-станции    (БС),│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усилительной   станции   (УС),│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хозяйства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Громкоговоритель              │         </w:t>
      </w:r>
      <w:hyperlink w:anchor="sub_13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7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12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Желоб воздушный для  прокладки│         </w:t>
      </w:r>
      <w:hyperlink w:anchor="sub_15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9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7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кабелей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Желоб подпольный              │         </w:t>
      </w:r>
      <w:hyperlink w:anchor="sub_15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9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4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Заземление                    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20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Знак   створный   на    речных│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18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переходах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Кабель демонтируемый          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2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Кабель электродренажа         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3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Канал телеграфный (ТГ)        │         </w:t>
      </w:r>
      <w:hyperlink w:anchor="sub_12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6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26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Канал тональной частоты (ТЧ)  │         </w:t>
      </w:r>
      <w:hyperlink w:anchor="sub_10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4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Канал  тональной  частоты  или│         </w:t>
      </w:r>
      <w:hyperlink w:anchor="sub_10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4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2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групповой тракт резервный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Каналы кабельной канализации  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5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Каналы скрытых проводок       │         </w:t>
      </w:r>
      <w:hyperlink w:anchor="sub_15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9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8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Канализация связи кабельная   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4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Катушка                       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50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Катушка пупиновская на опоре  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52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Колодец кабельный             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7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Колодец кабельной  канализации│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8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переустраиваемый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Колодец кабельной  канализации│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9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 геодезической подоснове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Колодец кабельной  канализации│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10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  поперечном  и   продольном│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профиле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Колонка звуковая              │         </w:t>
      </w:r>
      <w:hyperlink w:anchor="sub_13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7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13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Коммутатор    низовой    связи│         </w:t>
      </w:r>
      <w:hyperlink w:anchor="sub_12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6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9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станции прямых соединений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Коммутатор   станции    прямых│         </w:t>
      </w:r>
      <w:hyperlink w:anchor="sub_12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6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10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соединений схемный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Коммутатор телеграфный  особой│         </w:t>
      </w:r>
      <w:hyperlink w:anchor="sub_12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6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11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корреспонденции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Коммутаторы телефонные        │         </w:t>
      </w:r>
      <w:hyperlink w:anchor="sub_11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5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4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Комплекс аппаратно-программный│         </w:t>
      </w:r>
      <w:hyperlink w:anchor="sub_12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6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14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"Телеграф"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Комплекс           управляющий│         </w:t>
      </w:r>
      <w:hyperlink w:anchor="sub_10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4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10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вычислительный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Комплекты реле  соединительных│         </w:t>
      </w:r>
      <w:hyperlink w:anchor="sub_11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5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7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линий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Концентратор каналов ПД       │         </w:t>
      </w:r>
      <w:hyperlink w:anchor="sub_12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6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25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Концентратор телеграфной связи│         </w:t>
      </w:r>
      <w:hyperlink w:anchor="sub_12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6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12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Коробка абонентская           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12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Коробка подпольная            │         </w:t>
      </w:r>
      <w:hyperlink w:anchor="sub_15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9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5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Коробка   универсальная   сети│         </w:t>
      </w:r>
      <w:hyperlink w:anchor="sub_13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7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10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проводного вещания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Линия воздушная столбовая     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23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Линия кабельной связи         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Линия передачи  соединительная│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57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ГТС и СТС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Линия сети проводного  вещания│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26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 электроопорах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Линия    стоечная    городских│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25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телефонных   сетей   и   сетей│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проводного вещания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Муфта  кабельная  (для   линий│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21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связи)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Оборудование  станционное   на│         </w:t>
      </w:r>
      <w:hyperlink w:anchor="sub_15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9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2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планах расположения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Опора для болотистых грунтов  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41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Опора  кабельная  с  кабельным│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46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шкафом или ящиком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Опора мачтовая                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47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Опора, оборудованная  двойными│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42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траверсами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Опора П-образная              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45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Опора полуанкерная            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44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Опора сдвоенная               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40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Опора с молниеотводом         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48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Опора с разрядником           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49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Опоры столбовые               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30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Опора   угловая,   укрепленная│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33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оттяжкой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Опора   угловая,   укрепленная│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34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подпорой и оттяжкой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Опора   угловая,   укрепленная│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31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подпорой с  левой  стороны  по│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ходу нумерации опор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Опора   угловая,   укрепленная│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32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подпорой с правой  стороны  по│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ходу нумерации опор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Опора,    укрепленная    двумя│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36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деревянными приставками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Опора,    укрепленная    двумя│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38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железобетонными  и  рельсовыми│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приставками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Опора, укрепленная контрольной│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39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оттяжкой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Опора,    укрепленная    одной│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35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деревянной приставкой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Опора,    укрепленная    одной│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37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железобетонной  или  рельсовой│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приставкой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Опора, установленная в ряже   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43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Отверстие для прохода кабелей │         </w:t>
      </w:r>
      <w:hyperlink w:anchor="sub_15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9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6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Ответвление  в  ОУП  групповых│         </w:t>
      </w:r>
      <w:hyperlink w:anchor="sub_9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3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5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трактов с потерей спектра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Переключение каналов ТЧ, ТТ   │         </w:t>
      </w:r>
      <w:hyperlink w:anchor="sub_15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9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9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Переход кабельный подводный   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54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Переход мачтовый              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55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Питание дистанционное (ДП)    │         </w:t>
      </w:r>
      <w:hyperlink w:anchor="sub_15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9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10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Подстанция    трансформаторная│         </w:t>
      </w:r>
      <w:hyperlink w:anchor="sub_13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7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7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(ТП)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Подстанция    трансформаторная│         </w:t>
      </w:r>
      <w:hyperlink w:anchor="sub_13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7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8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однолучевого питания (ТПО)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Предприятия       (сооружения)│         </w:t>
      </w:r>
      <w:hyperlink w:anchor="sub_15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9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эксплуатационные сетей связи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Прибор вызывной               │         </w:t>
      </w:r>
      <w:hyperlink w:anchor="sub_12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6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19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Провод защитный               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14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Профили опор  воздушных  линий│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24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передачи  и  сети   проводного│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вещания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Пульт контрольно-измерительный│         </w:t>
      </w:r>
      <w:hyperlink w:anchor="sub_12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6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8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Пункт абонентский (АП) сети AT│         </w:t>
      </w:r>
      <w:hyperlink w:anchor="sub_12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6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16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Пункт абонентский сети ПД     │         </w:t>
      </w:r>
      <w:hyperlink w:anchor="sub_12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6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22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Пункт контрольно-измерительный│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16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(КИП)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Пункт оконечный (ОП)  передачи│         </w:t>
      </w:r>
      <w:hyperlink w:anchor="sub_12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6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27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(ПРД)   или    приема    (ПРМ)│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газетных  полос   по   каналам│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связи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Пункт  оконечный   телеграфной│         </w:t>
      </w:r>
      <w:hyperlink w:anchor="sub_12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6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15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сети общего пользования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Пункт    переприема    каналов│         </w:t>
      </w:r>
      <w:hyperlink w:anchor="sub_13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7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15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звукового  вещания  (3В)   или│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телевизионного вещания (ТВ)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Пункт телефонный  переговорный│         </w:t>
      </w:r>
      <w:hyperlink w:anchor="sub_11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5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6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(ПП)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Пункт     транзита     каналов│         </w:t>
      </w:r>
      <w:hyperlink w:anchor="sub_13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7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16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звукового  вещания  (3В)   или│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телевизионного вещания (ТВ)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Пункты на первичной сети      │         </w:t>
      </w:r>
      <w:hyperlink w:anchor="sub_7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1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4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Радиорозетка                  │         </w:t>
      </w:r>
      <w:hyperlink w:anchor="sub_13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7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11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Рамка  штифтовая   на   схемах│         </w:t>
      </w:r>
      <w:hyperlink w:anchor="sub_15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9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3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подключения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Розетка телефонная            │         </w:t>
      </w:r>
      <w:hyperlink w:anchor="sub_11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5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5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Станция              оконечная│         </w:t>
      </w:r>
      <w:hyperlink w:anchor="sub_7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1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3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междугородная            (ОМС)│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объединенная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Станция  опорная  усилительная│         </w:t>
      </w:r>
      <w:hyperlink w:anchor="sub_13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7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3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(ОУС)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Станция            передвижная│         </w:t>
      </w:r>
      <w:hyperlink w:anchor="sub_7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1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5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усилительная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Станция  ПВ   централизованной│         </w:t>
      </w:r>
      <w:hyperlink w:anchor="sub_13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7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6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сети проводного вещания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Станция          промежуточная│         </w:t>
      </w:r>
      <w:hyperlink w:anchor="sub_9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3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3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регенерационная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Станция          промежуточная│         </w:t>
      </w:r>
      <w:hyperlink w:anchor="sub_9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3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2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усилительная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Станция сетевая               │         </w:t>
      </w:r>
      <w:hyperlink w:anchor="sub_7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1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2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Станция    системы    передачи│         </w:t>
      </w:r>
      <w:hyperlink w:anchor="sub_8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2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оконечная (СП)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Станция телефонная            │         </w:t>
      </w:r>
      <w:hyperlink w:anchor="sub_11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5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2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Станция усилительная (УС)     │         </w:t>
      </w:r>
      <w:hyperlink w:anchor="sub_13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7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5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Станция           усилительная│         </w:t>
      </w:r>
      <w:hyperlink w:anchor="sub_13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7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2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проводного вещания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Станция центральная (ЦСПВ)    │         </w:t>
      </w:r>
      <w:hyperlink w:anchor="sub_13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7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Стойка          коммутационных│         </w:t>
      </w:r>
      <w:hyperlink w:anchor="sub_12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6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7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устройств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Стойка телефонная             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28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Столбик замерный              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17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Ступень            искания для│         </w:t>
      </w:r>
      <w:hyperlink w:anchor="sub_11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5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3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функциональных схем станций  и│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узлов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Таксофоны телефонные          │         </w:t>
      </w:r>
      <w:hyperlink w:anchor="sub_11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5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4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Термодатчик грунтовый АРУ     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15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Трансформатор абонентский  или│         </w:t>
      </w:r>
      <w:hyperlink w:anchor="sub_13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7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9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фидерный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Узел  телеграфный   коммутации│         </w:t>
      </w:r>
      <w:hyperlink w:anchor="sub_12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6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1-го класса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Узел  телеграфный   коммутации│         </w:t>
      </w:r>
      <w:hyperlink w:anchor="sub_12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6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2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2-го класса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Узел  телеграфный   коммутации│         </w:t>
      </w:r>
      <w:hyperlink w:anchor="sub_12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6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3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3-го класса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Узел телефонный автоматической│         </w:t>
      </w:r>
      <w:hyperlink w:anchor="sub_11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5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коммутации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Узлы связи сетевые            │         </w:t>
      </w:r>
      <w:hyperlink w:anchor="sub_7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1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Усилитель тональной частоты   │         </w:t>
      </w:r>
      <w:hyperlink w:anchor="sub_10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4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5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Устройство защиты от ошибок   │         </w:t>
      </w:r>
      <w:hyperlink w:anchor="sub_12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6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23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Устройство управления релейное│         </w:t>
      </w:r>
      <w:hyperlink w:anchor="sub_11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5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8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или электронное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Устройства сопряжения  каналов│         </w:t>
      </w:r>
      <w:hyperlink w:anchor="sub_12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6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24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ПД и ЭВМ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Устройства электрозащиты      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22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Устройства переходные         │         </w:t>
      </w:r>
      <w:hyperlink w:anchor="sub_12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6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6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Фидер магистральный на  схемах│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27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сети проводного вещания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Цепь фантомная двухпроводная  │         </w:t>
      </w:r>
      <w:hyperlink w:anchor="sub_10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4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3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Цепь физическая               │         </w:t>
      </w:r>
      <w:hyperlink w:anchor="sub_10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4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4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Шкаф                 кабельный│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11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распределительный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Штыри на крыше                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29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Щит переключений промежуточный│         </w:t>
      </w:r>
      <w:hyperlink w:anchor="sub_11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5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 9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(ПЩ)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Ящик кабельный телефонный     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13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Ящик пупиновский              │         </w:t>
      </w:r>
      <w:hyperlink w:anchor="sub_14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│        53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Интерфейсы                    │         </w:t>
      </w:r>
      <w:hyperlink w:anchor="sub_16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10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│         1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Пункт    оконечный    ЛП     с│         </w:t>
      </w:r>
      <w:hyperlink w:anchor="sub_16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10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│         2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аппаратурой СП СЦИ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Пункт   промежуточный     ЛП с│         </w:t>
      </w:r>
      <w:hyperlink w:anchor="sub_16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10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│         3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аппаратурой СП СЦИ            │                    │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└──────────────────────────────┴────────────────────┴───────────────────┘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sectPr>
      <w:type w:val="nextPage"/>
      <w:pgSz w:w="11906" w:h="16838"/>
      <w:pgMar w:left="850" w:right="850" w:header="0" w:top="1440" w:footer="0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Times New Roman">
    <w:charset w:val="cc" w:characterSet="windows-1251"/>
    <w:family w:val="roman"/>
    <w:pitch w:val="variable"/>
  </w:font>
  <w:font w:name="Liberation Sans">
    <w:altName w:val="Arial"/>
    <w:charset w:val="01" w:characterSet="utf-8"/>
    <w:family w:val="swiss"/>
    <w:pitch w:val="variable"/>
  </w:font>
  <w:font w:name="Arial">
    <w:charset w:val="cc" w:characterSet="windows-1251"/>
    <w:family w:val="swiss"/>
    <w:pitch w:val="variable"/>
  </w:font>
  <w:font w:name="Courier New">
    <w:charset w:val="cc" w:characterSet="windows-1251"/>
    <w:family w:val="moder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Интернет-ссылка"/>
    <w:rPr>
      <w:color w:val="000080"/>
      <w:u w:val="single"/>
      <w:lang w:val="zxx" w:eastAsia="zxx" w:bidi="zxx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2007-02-05T21:05:00Z</dcterms:created>
  <dc:creator>Виктор</dc:creator>
  <dc:description/>
  <dc:language>ru-RU</dc:language>
  <cp:lastModifiedBy>Виктор</cp:lastModifiedBy>
  <dcterms:modified xsi:type="dcterms:W3CDTF">2007-02-05T21:07:00Z</dcterms:modified>
  <cp:revision>2</cp:revision>
  <dc:subject/>
  <dc:title/>
</cp:coreProperties>
</file>