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0" w:name="sub_255107768"/>
      <w:bookmarkEnd w:id="0"/>
      <w:r>
        <w:rPr>
          <w:rFonts w:cs="Arial" w:ascii="Arial" w:hAnsi="Arial"/>
          <w:i/>
          <w:iCs/>
          <w:color w:val="800080"/>
          <w:sz w:val="20"/>
          <w:szCs w:val="20"/>
        </w:rPr>
        <w:t>Изменением N 1 ГОСТ 21204-97, принятым постановлением Госстандарта РФ от 9 марта 2004 г. N 102-ст, в настоящий ГОСТ внесены изменения, вступающие в силу с 1 сентября 2004 г.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" w:name="sub_255107768"/>
      <w:bookmarkEnd w:id="1"/>
      <w:r>
        <w:rPr>
          <w:rFonts w:cs="Arial" w:ascii="Arial" w:hAnsi="Arial"/>
          <w:i/>
          <w:iCs/>
          <w:color w:val="800080"/>
          <w:sz w:val="20"/>
          <w:szCs w:val="20"/>
        </w:rPr>
        <w:t>См. текст ГОСТа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Межгосударственный стандарт ГОСТ 21204-97</w:t>
        <w:br/>
        <w:t>"Горелки газовые промышленные. Общие технические требования"</w:t>
        <w:br/>
        <w:t>(утв. постановлением Госстандарта РФ от 17 сентября 1997 г. N 313)</w:t>
        <w:br/>
        <w:t>(с изменениями от 9 марта 2004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  <w:lang w:val="en-US"/>
        </w:rPr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>Industrial gas burners. General technical requirements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en-US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1 июля 1998 г.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Взамен ГОСТ 21204-83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" w:name="sub_100"/>
      <w:bookmarkEnd w:id="2"/>
      <w:r>
        <w:rPr>
          <w:rFonts w:cs="Arial" w:ascii="Arial" w:hAnsi="Arial"/>
          <w:b/>
          <w:bCs/>
          <w:color w:val="000080"/>
          <w:sz w:val="20"/>
          <w:szCs w:val="20"/>
        </w:rPr>
        <w:t>1 Область применения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" w:name="sub_100"/>
      <w:bookmarkStart w:id="4" w:name="sub_100"/>
      <w:bookmarkEnd w:id="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101"/>
      <w:bookmarkEnd w:id="5"/>
      <w:r>
        <w:rPr>
          <w:rFonts w:cs="Arial" w:ascii="Arial" w:hAnsi="Arial"/>
          <w:sz w:val="20"/>
          <w:szCs w:val="20"/>
        </w:rPr>
        <w:t>Настоящий стандарт распространяется на газовые промышленные горелки, работающие на газообразном топливе, сжигаемом с воздухом или со смесью воздуха с дымовыми газами рециркуляции, а также на газовую часть комбинированных горелок, применяемых в паровых и водогрейных котлах, теплогенераторах и газоиспользующих установках.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01"/>
      <w:bookmarkStart w:id="7" w:name="sub_102"/>
      <w:bookmarkEnd w:id="6"/>
      <w:bookmarkEnd w:id="7"/>
      <w:r>
        <w:rPr>
          <w:rFonts w:cs="Arial" w:ascii="Arial" w:hAnsi="Arial"/>
          <w:sz w:val="20"/>
          <w:szCs w:val="20"/>
        </w:rPr>
        <w:t>Стандарт не распространяется на горелки, в которых для интенсификации процесса горения применяют дополнительные средства (электрическую или акустическую энергию, кислород); радиационные трубы; горелки, при работе которых образуются продукты сгорания, используемые в качестве контролируемой атмосферы; горелки инфракрасного излучения; горелки, являющиеся составной частью газоиспользующего оборудования для использования в быту и предприятиями общественного питания; горелки мартеновских печей, ванных регенеративных стекловаренных печей; горелки факельных установок для сжигания сбросных газов.</w:t>
      </w:r>
    </w:p>
    <w:p>
      <w:pPr>
        <w:pStyle w:val="Normal"/>
        <w:autoSpaceDE w:val="false"/>
        <w:ind w:firstLine="720"/>
        <w:jc w:val="both"/>
        <w:rPr/>
      </w:pPr>
      <w:bookmarkStart w:id="8" w:name="sub_102"/>
      <w:bookmarkEnd w:id="8"/>
      <w:r>
        <w:rPr>
          <w:rFonts w:cs="Arial" w:ascii="Arial" w:hAnsi="Arial"/>
          <w:sz w:val="20"/>
          <w:szCs w:val="20"/>
        </w:rPr>
        <w:t xml:space="preserve">Обязательные требования к качеству продукции, обеспечивающие ее безопасность для жизни и здоровья людей, охране окружающей среды изложены в </w:t>
      </w:r>
      <w:hyperlink w:anchor="sub_40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4.1.2</w:t>
        </w:r>
      </w:hyperlink>
      <w:r>
        <w:rPr>
          <w:rFonts w:cs="Arial" w:ascii="Arial" w:hAnsi="Arial"/>
          <w:sz w:val="20"/>
          <w:szCs w:val="20"/>
        </w:rPr>
        <w:t xml:space="preserve">; </w:t>
      </w:r>
      <w:hyperlink w:anchor="sub_40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4.1.3</w:t>
        </w:r>
      </w:hyperlink>
      <w:r>
        <w:rPr>
          <w:rFonts w:cs="Arial" w:ascii="Arial" w:hAnsi="Arial"/>
          <w:sz w:val="20"/>
          <w:szCs w:val="20"/>
        </w:rPr>
        <w:t xml:space="preserve">; </w:t>
      </w:r>
      <w:hyperlink w:anchor="sub_4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4.2</w:t>
        </w:r>
      </w:hyperlink>
      <w:r>
        <w:rPr>
          <w:rFonts w:cs="Arial" w:ascii="Arial" w:hAnsi="Arial"/>
          <w:sz w:val="20"/>
          <w:szCs w:val="20"/>
        </w:rPr>
        <w:t xml:space="preserve">; </w:t>
      </w:r>
      <w:hyperlink w:anchor="sub_4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4.3</w:t>
        </w:r>
      </w:hyperlink>
      <w:r>
        <w:rPr>
          <w:rFonts w:cs="Arial" w:ascii="Arial" w:hAnsi="Arial"/>
          <w:sz w:val="20"/>
          <w:szCs w:val="20"/>
        </w:rPr>
        <w:t xml:space="preserve">; </w:t>
      </w:r>
      <w:hyperlink w:anchor="sub_4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4.4</w:t>
        </w:r>
      </w:hyperlink>
      <w:r>
        <w:rPr>
          <w:rFonts w:cs="Arial" w:ascii="Arial" w:hAnsi="Arial"/>
          <w:sz w:val="20"/>
          <w:szCs w:val="20"/>
        </w:rPr>
        <w:t xml:space="preserve">; </w:t>
      </w:r>
      <w:hyperlink w:anchor="sub_405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4.5.5 - 4.5.7</w:t>
        </w:r>
      </w:hyperlink>
      <w:r>
        <w:rPr>
          <w:rFonts w:cs="Arial" w:ascii="Arial" w:hAnsi="Arial"/>
          <w:sz w:val="20"/>
          <w:szCs w:val="20"/>
        </w:rPr>
        <w:t xml:space="preserve">; </w:t>
      </w:r>
      <w:hyperlink w:anchor="sub_5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разделах 5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6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6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Горелочные устройства должны также отвечать соответствующим требованиям правил безопасности в газовом хозяйстве, принятых в каждом из государств-участников Соглашения.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настоящем стандарте использованы термины по ГОСТ 17356.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" w:name="sub_200"/>
      <w:bookmarkEnd w:id="9"/>
      <w:r>
        <w:rPr>
          <w:rFonts w:cs="Arial" w:ascii="Arial" w:hAnsi="Arial"/>
          <w:b/>
          <w:bCs/>
          <w:color w:val="000080"/>
          <w:sz w:val="20"/>
          <w:szCs w:val="20"/>
        </w:rPr>
        <w:t>2 Нормативные ссылки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" w:name="sub_200"/>
      <w:bookmarkStart w:id="11" w:name="sub_200"/>
      <w:bookmarkEnd w:id="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настоящем стандарте использованы ссылки на следующие стандарты: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9.014-78 Единая система защиты от коррозии и старения. Временная противокоррозийная защита изделий. Общие требования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12.1.003-83 ССБТ. Шум. Общие требования безопасности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12.2.003-91 ССБТ. Оборудование производственное. Общие требования безопасности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12.2.064-81 Органы управления производственным оборудованием. Общие требования безопасности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10617-83 Котлы отопительные теплопроизводительностью от 0,10 до 3,15 МВт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12969-67 Таблички для машин и приборов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12997-84 Изделия ГСП. Общие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14254-96 (МЭК 529-89) Степени защиты, обеспечиваемые оболочками (Код IP)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15150-69 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ГОСТ 20548-93</w:t>
      </w:r>
      <w:hyperlink w:anchor="sub_333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***</w:t>
        </w:r>
      </w:hyperlink>
      <w:r>
        <w:rPr>
          <w:rFonts w:cs="Arial" w:ascii="Arial" w:hAnsi="Arial"/>
          <w:sz w:val="20"/>
          <w:szCs w:val="20"/>
        </w:rPr>
        <w:t xml:space="preserve"> Котлы отопительные водогрейные теплопроизводительностью до 100 кВт. Общие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28193-89 Котлы паровые стационарные с естественной циркуляцией производительностью менее 4 т/ч. Общие технические требования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ГОСТ Р 50591-93</w:t>
      </w:r>
      <w:hyperlink w:anchor="sub_11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*</w:t>
        </w:r>
      </w:hyperlink>
      <w:r>
        <w:rPr>
          <w:rFonts w:cs="Arial" w:ascii="Arial" w:hAnsi="Arial"/>
          <w:sz w:val="20"/>
          <w:szCs w:val="20"/>
        </w:rPr>
        <w:t xml:space="preserve"> Агрегаты тепловые газопотребляющие. Горелки газовые промышленные. Предельные нормы концентраций NOx в продуктах сгорания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ГОСТ 12.1.028-80</w:t>
      </w:r>
      <w:hyperlink w:anchor="sub_111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**</w:t>
        </w:r>
      </w:hyperlink>
      <w:r>
        <w:rPr>
          <w:rFonts w:cs="Arial" w:ascii="Arial" w:hAnsi="Arial"/>
          <w:sz w:val="20"/>
          <w:szCs w:val="20"/>
        </w:rPr>
        <w:t xml:space="preserve"> Система стандартов безопасности труда. Шум. Определение шумовых характеристик источников шума. Ориентировочный метод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17356-89 (ИСО 3544-78, ИСО 5063-78) Горелки на газообразном и жидком топливах. Термины и определения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28269-89 Котлы паровые стационарные большой мощности. Общие технические требования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ГОСТ Р 50831-95</w:t>
      </w:r>
      <w:hyperlink w:anchor="sub_11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*</w:t>
        </w:r>
      </w:hyperlink>
      <w:r>
        <w:rPr>
          <w:rFonts w:cs="Arial" w:ascii="Arial" w:hAnsi="Arial"/>
          <w:sz w:val="20"/>
          <w:szCs w:val="20"/>
        </w:rPr>
        <w:t xml:space="preserve"> Установки котельные. Тепломеханическое оборудование. Общие технические требования.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" w:name="sub_300"/>
      <w:bookmarkEnd w:id="12"/>
      <w:r>
        <w:rPr>
          <w:rFonts w:cs="Arial" w:ascii="Arial" w:hAnsi="Arial"/>
          <w:b/>
          <w:bCs/>
          <w:color w:val="000080"/>
          <w:sz w:val="20"/>
          <w:szCs w:val="20"/>
        </w:rPr>
        <w:t>3 Классификация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" w:name="sub_300"/>
      <w:bookmarkStart w:id="14" w:name="sub_300"/>
      <w:bookmarkEnd w:id="1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301"/>
      <w:bookmarkEnd w:id="15"/>
      <w:r>
        <w:rPr>
          <w:rFonts w:cs="Arial" w:ascii="Arial" w:hAnsi="Arial"/>
          <w:sz w:val="20"/>
          <w:szCs w:val="20"/>
        </w:rPr>
        <w:t>3.1 Газовые горелки классифицируют по: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301"/>
      <w:bookmarkEnd w:id="16"/>
      <w:r>
        <w:rPr>
          <w:rFonts w:cs="Arial" w:ascii="Arial" w:hAnsi="Arial"/>
          <w:sz w:val="20"/>
          <w:szCs w:val="20"/>
        </w:rPr>
        <w:t>- способу подачи компонентов;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степени подготовки горючей смеси;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скорости истечения продуктов сгорания;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характеру потока, истекающего из горелки;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номинальному давлению газа перед горелкой;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возможности регулирования характеристик факела;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необходимости регулирования коэффициента избытка воздуха;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локализации зоны горения;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30110"/>
      <w:bookmarkEnd w:id="17"/>
      <w:r>
        <w:rPr>
          <w:rFonts w:cs="Arial" w:ascii="Arial" w:hAnsi="Arial"/>
          <w:sz w:val="20"/>
          <w:szCs w:val="20"/>
        </w:rPr>
        <w:t>- возможности утилизации тепла продуктов сгорания;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30110"/>
      <w:bookmarkEnd w:id="18"/>
      <w:r>
        <w:rPr>
          <w:rFonts w:cs="Arial" w:ascii="Arial" w:hAnsi="Arial"/>
          <w:sz w:val="20"/>
          <w:szCs w:val="20"/>
        </w:rPr>
        <w:t>- степени автоматизации.</w:t>
      </w:r>
    </w:p>
    <w:p>
      <w:pPr>
        <w:pStyle w:val="Normal"/>
        <w:autoSpaceDE w:val="false"/>
        <w:ind w:firstLine="720"/>
        <w:jc w:val="both"/>
        <w:rPr/>
      </w:pPr>
      <w:bookmarkStart w:id="19" w:name="sub_302"/>
      <w:bookmarkEnd w:id="19"/>
      <w:r>
        <w:rPr>
          <w:rFonts w:cs="Arial" w:ascii="Arial" w:hAnsi="Arial"/>
          <w:sz w:val="20"/>
          <w:szCs w:val="20"/>
        </w:rPr>
        <w:t xml:space="preserve">3.2 Классификация газовых промышленных горелок приведена в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 А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" w:name="sub_302"/>
      <w:bookmarkStart w:id="21" w:name="sub_302"/>
      <w:bookmarkEnd w:id="2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2" w:name="sub_400"/>
      <w:bookmarkEnd w:id="22"/>
      <w:r>
        <w:rPr>
          <w:rFonts w:cs="Arial" w:ascii="Arial" w:hAnsi="Arial"/>
          <w:b/>
          <w:bCs/>
          <w:color w:val="000080"/>
          <w:sz w:val="20"/>
          <w:szCs w:val="20"/>
        </w:rPr>
        <w:t>4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" w:name="sub_400"/>
      <w:bookmarkStart w:id="24" w:name="sub_400"/>
      <w:bookmarkEnd w:id="2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401"/>
      <w:bookmarkEnd w:id="25"/>
      <w:r>
        <w:rPr>
          <w:rFonts w:cs="Arial" w:ascii="Arial" w:hAnsi="Arial"/>
          <w:sz w:val="20"/>
          <w:szCs w:val="20"/>
        </w:rPr>
        <w:t>4.1 Требования назначения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401"/>
      <w:bookmarkStart w:id="27" w:name="sub_4011"/>
      <w:bookmarkEnd w:id="26"/>
      <w:bookmarkEnd w:id="27"/>
      <w:r>
        <w:rPr>
          <w:rFonts w:cs="Arial" w:ascii="Arial" w:hAnsi="Arial"/>
          <w:sz w:val="20"/>
          <w:szCs w:val="20"/>
        </w:rPr>
        <w:t>4.1.1 Номинальная тепловая мощность каждой горелки должна соответствовать номинальной тепловой мощности, установленной для горелок данного типоразмера (предельные отклонения (+10) - (-5)%).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4011"/>
      <w:bookmarkStart w:id="29" w:name="sub_4111"/>
      <w:bookmarkEnd w:id="28"/>
      <w:bookmarkEnd w:id="29"/>
      <w:r>
        <w:rPr>
          <w:rFonts w:cs="Arial" w:ascii="Arial" w:hAnsi="Arial"/>
          <w:sz w:val="20"/>
          <w:szCs w:val="20"/>
        </w:rPr>
        <w:t>4.1.1а Допускается работа горелок на одном или нескольких видах газообразного топлива, а также на их смесях.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4111"/>
      <w:bookmarkEnd w:id="30"/>
      <w:r>
        <w:rPr>
          <w:rFonts w:cs="Arial" w:ascii="Arial" w:hAnsi="Arial"/>
          <w:sz w:val="20"/>
          <w:szCs w:val="20"/>
        </w:rPr>
        <w:t>Комбинированные горелки (газомазутные, пылегазовые) должны обеспечивать безостановочный переход с одного вида топлива на другой, а также совместное их сжигание при технологической необходимости.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4012"/>
      <w:bookmarkEnd w:id="31"/>
      <w:r>
        <w:rPr>
          <w:rFonts w:cs="Arial" w:ascii="Arial" w:hAnsi="Arial"/>
          <w:sz w:val="20"/>
          <w:szCs w:val="20"/>
        </w:rPr>
        <w:t>4.1.2 Коэффициенты рабочего регулирования горелки должны соответствовать значениям, приведенным в таблице 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" w:name="sub_4012"/>
      <w:bookmarkStart w:id="33" w:name="sub_4012"/>
      <w:bookmarkEnd w:id="3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4" w:name="sub_40121"/>
      <w:bookmarkEnd w:id="34"/>
      <w:r>
        <w:rPr>
          <w:rFonts w:cs="Arial" w:ascii="Arial" w:hAnsi="Arial"/>
          <w:b/>
          <w:bCs/>
          <w:color w:val="000080"/>
          <w:sz w:val="20"/>
          <w:szCs w:val="20"/>
        </w:rPr>
        <w:t>Таблица 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" w:name="sub_40121"/>
      <w:bookmarkStart w:id="36" w:name="sub_40121"/>
      <w:bookmarkEnd w:id="3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┌────────────────────────────────────────────────────┬──────────────────┐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горелки по способу подачи воздуха и степени  │   Коэффициент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подготовки горючей смеси              │     рабочего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регулирования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K_р.р., не менее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Горелки с принудительной подачей  воздуха  с  полным│        3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предварительным смешением;  инжекционные   горелки с│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полным предварительным смешением   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Горелки с принудительной подачей воздуха с  неполным│        4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предварительным смешением          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Горелки  с  принудительной   подачей     воздуха без│        5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предварительного смешения; горелки с подачей воздуха│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 счет разрежения  без  предварительного  смешения;│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инжекционные горелки с частичной подачей  первичного│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воздуха                            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Беспламенные панельные горелки                      │        2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├────────────────────────────────────────────────────┴──────────────────┤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Примечания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Указанные коэффициенты рабочего регулирования не относятся к блочным│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горелкам  со  ступенчатым  регулированием,  к  запальным    горелкам, к│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горелкам, предназначенным для газоиспользующих установок, не  требующих│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указанных в таблице 1 значений К_р.р.  Значения  коэффициента  рабочего│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регулирования перечисленных горелок указывают в нормативных  документах│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конкретный тип горелки.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  Коэффициенты  рабочего  регулирования  горелок  для  котлов  большой│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мощности   (ГОСТ   28269)   должны   соответствовать      требованиям к│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маневренности котлов.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4013"/>
      <w:bookmarkEnd w:id="37"/>
      <w:r>
        <w:rPr>
          <w:rFonts w:cs="Arial" w:ascii="Arial" w:hAnsi="Arial"/>
          <w:sz w:val="20"/>
          <w:szCs w:val="20"/>
        </w:rPr>
        <w:t>4.1.3 Испытания горелок (в т.ч. для целей сертификации) - приемочные, квалификационные, периодические и типовые, а также испытания по предписаниям государственных органов надзора проводят испытательные центры горелочных устройств промышленного назначения, аккредитованные национальными органами по стандартизации.</w:t>
      </w:r>
    </w:p>
    <w:p>
      <w:pPr>
        <w:pStyle w:val="Normal"/>
        <w:autoSpaceDE w:val="false"/>
        <w:ind w:firstLine="720"/>
        <w:jc w:val="both"/>
        <w:rPr/>
      </w:pPr>
      <w:bookmarkStart w:id="38" w:name="sub_4013"/>
      <w:bookmarkStart w:id="39" w:name="sub_4014"/>
      <w:bookmarkEnd w:id="38"/>
      <w:bookmarkEnd w:id="39"/>
      <w:r>
        <w:rPr>
          <w:rFonts w:cs="Arial" w:ascii="Arial" w:hAnsi="Arial"/>
          <w:sz w:val="20"/>
          <w:szCs w:val="20"/>
        </w:rPr>
        <w:t xml:space="preserve">4.1.4 Не допускается внесение монтажными и эксплуатационными организациями изменений в конструкцию горелки, прошедшей испытания в соответствии с </w:t>
      </w:r>
      <w:hyperlink w:anchor="sub_40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4.1.3</w:t>
        </w:r>
      </w:hyperlink>
      <w:r>
        <w:rPr>
          <w:rFonts w:cs="Arial" w:ascii="Arial" w:hAnsi="Arial"/>
          <w:sz w:val="20"/>
          <w:szCs w:val="20"/>
        </w:rPr>
        <w:t xml:space="preserve"> и рекомендованной к применению, в случае, если они могут изменить ее технические характеристики. Изменения допускается вносить в установленном порядке специализированными организациями, имеющими соответствующие лицензии.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4014"/>
      <w:bookmarkStart w:id="41" w:name="sub_402"/>
      <w:bookmarkEnd w:id="40"/>
      <w:bookmarkEnd w:id="41"/>
      <w:r>
        <w:rPr>
          <w:rFonts w:cs="Arial" w:ascii="Arial" w:hAnsi="Arial"/>
          <w:sz w:val="20"/>
          <w:szCs w:val="20"/>
        </w:rPr>
        <w:t>4.2 Требования к автоматике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402"/>
      <w:bookmarkStart w:id="43" w:name="sub_4021"/>
      <w:bookmarkEnd w:id="42"/>
      <w:bookmarkEnd w:id="43"/>
      <w:r>
        <w:rPr>
          <w:rFonts w:cs="Arial" w:ascii="Arial" w:hAnsi="Arial"/>
          <w:sz w:val="20"/>
          <w:szCs w:val="20"/>
        </w:rPr>
        <w:t>4.2.1 Автоматические горелки должны работать при поддержании давления газа перед основным запорным органом с точностью от минус 15 до плюс 15% номинального - для газа низкого давления (до 5 кПа) и от минус 10 до плюс 10% - для газа среднего давления (до 100 кПа).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4021"/>
      <w:bookmarkStart w:id="45" w:name="sub_4022"/>
      <w:bookmarkEnd w:id="44"/>
      <w:bookmarkEnd w:id="45"/>
      <w:r>
        <w:rPr>
          <w:rFonts w:cs="Arial" w:ascii="Arial" w:hAnsi="Arial"/>
          <w:sz w:val="20"/>
          <w:szCs w:val="20"/>
        </w:rPr>
        <w:t>4.2.2 В автоматических горелках должны выполняться следующие операции: пуск горелки по программе, зависящей от ее мощности (включая продувку камеры горения и дымоходов), перевод ее в рабочее состояние, регулирование тепловой мощности, контроль параметров безопасности горелки и газоиспользующей установки, выключение горелки при недопустимых отклонениях контролируемых параметров.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4022"/>
      <w:bookmarkEnd w:id="46"/>
      <w:r>
        <w:rPr>
          <w:rFonts w:cs="Arial" w:ascii="Arial" w:hAnsi="Arial"/>
          <w:sz w:val="20"/>
          <w:szCs w:val="20"/>
        </w:rPr>
        <w:t>В полуавтоматических горелках должны выполняться следующие операции: дистанционный розжиг горелки, контроль наличия пламени, выключение горелки при погасании контролируемого пламени.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4023"/>
      <w:bookmarkEnd w:id="47"/>
      <w:r>
        <w:rPr>
          <w:rFonts w:cs="Arial" w:ascii="Arial" w:hAnsi="Arial"/>
          <w:sz w:val="20"/>
          <w:szCs w:val="20"/>
        </w:rPr>
        <w:t>4.2.3 В автоматических горелках пуск не должен осуществляться в следующих случаях: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4023"/>
      <w:bookmarkStart w:id="49" w:name="sub_40232"/>
      <w:bookmarkEnd w:id="48"/>
      <w:bookmarkEnd w:id="49"/>
      <w:r>
        <w:rPr>
          <w:rFonts w:cs="Arial" w:ascii="Arial" w:hAnsi="Arial"/>
          <w:sz w:val="20"/>
          <w:szCs w:val="20"/>
        </w:rPr>
        <w:t>- при отсутствии электроэнергии;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40232"/>
      <w:bookmarkStart w:id="51" w:name="sub_40233"/>
      <w:bookmarkEnd w:id="50"/>
      <w:bookmarkEnd w:id="51"/>
      <w:r>
        <w:rPr>
          <w:rFonts w:cs="Arial" w:ascii="Arial" w:hAnsi="Arial"/>
          <w:sz w:val="20"/>
          <w:szCs w:val="20"/>
        </w:rPr>
        <w:t>- при давлении газа за основным запорным органом на 30% выше и ниже номинального значения. Применительно к горелкам мощных котлов, имеющих единичную теплопроизводительность более 420 ГДж/ч (~120 МВт) - при понижении давления газа ниже минимального (соответствующего минимальной тепловой мощности горелки);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2" w:name="sub_40233"/>
      <w:bookmarkStart w:id="53" w:name="sub_40234"/>
      <w:bookmarkEnd w:id="52"/>
      <w:bookmarkEnd w:id="53"/>
      <w:r>
        <w:rPr>
          <w:rFonts w:cs="Arial" w:ascii="Arial" w:hAnsi="Arial"/>
          <w:sz w:val="20"/>
          <w:szCs w:val="20"/>
        </w:rPr>
        <w:t>- при недопустимых отклонениях контролируемых параметров газоиспользующей установки;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40234"/>
      <w:bookmarkStart w:id="55" w:name="sub_40235"/>
      <w:bookmarkEnd w:id="54"/>
      <w:bookmarkEnd w:id="55"/>
      <w:r>
        <w:rPr>
          <w:rFonts w:cs="Arial" w:ascii="Arial" w:hAnsi="Arial"/>
          <w:sz w:val="20"/>
          <w:szCs w:val="20"/>
        </w:rPr>
        <w:t>- при недостатке воздуха для горения (отключении дутьевого вентилятора, дымососа или отсутствии необходимого разрежения);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6" w:name="sub_40235"/>
      <w:bookmarkStart w:id="57" w:name="sub_40236"/>
      <w:bookmarkEnd w:id="56"/>
      <w:bookmarkEnd w:id="57"/>
      <w:r>
        <w:rPr>
          <w:rFonts w:cs="Arial" w:ascii="Arial" w:hAnsi="Arial"/>
          <w:sz w:val="20"/>
          <w:szCs w:val="20"/>
        </w:rPr>
        <w:t>- при неполадках устройств продувки и отвода продуктов сгорания (отключении дутьевого вентилятора, дымососа или отсутствии необходимого разрежения);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40236"/>
      <w:bookmarkStart w:id="59" w:name="sub_40237"/>
      <w:bookmarkEnd w:id="58"/>
      <w:bookmarkEnd w:id="59"/>
      <w:r>
        <w:rPr>
          <w:rFonts w:cs="Arial" w:ascii="Arial" w:hAnsi="Arial"/>
          <w:sz w:val="20"/>
          <w:szCs w:val="20"/>
        </w:rPr>
        <w:t>- при сигнале о нарушении герметичности быстродействующего запорного топливного органа горелки или при сигнале об открытом положении автоматического органа утечки газообразного топлива.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0" w:name="sub_40237"/>
      <w:bookmarkStart w:id="61" w:name="sub_4024"/>
      <w:bookmarkEnd w:id="60"/>
      <w:bookmarkEnd w:id="61"/>
      <w:r>
        <w:rPr>
          <w:rFonts w:cs="Arial" w:ascii="Arial" w:hAnsi="Arial"/>
          <w:sz w:val="20"/>
          <w:szCs w:val="20"/>
        </w:rPr>
        <w:t>4.2.4. В автоматических горелках не должна допускаться подача газа в основную горелку, пока не включено запальное устройство или не появилось пламя запальной горелки.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2" w:name="sub_4024"/>
      <w:bookmarkStart w:id="63" w:name="sub_4025"/>
      <w:bookmarkEnd w:id="62"/>
      <w:bookmarkEnd w:id="63"/>
      <w:r>
        <w:rPr>
          <w:rFonts w:cs="Arial" w:ascii="Arial" w:hAnsi="Arial"/>
          <w:sz w:val="20"/>
          <w:szCs w:val="20"/>
        </w:rPr>
        <w:t>4.2.5 Автоматика должна обеспечивать защитное выключение горелки, если при ее розжиге не произойдет воспламенение топлива в течение не более: 5 с - горелок тепловой мощностью до 50 кВт; 3 с - горелок тепловой мощностью свыше 50 кВт.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4" w:name="sub_4025"/>
      <w:bookmarkStart w:id="65" w:name="sub_4026"/>
      <w:bookmarkEnd w:id="64"/>
      <w:bookmarkEnd w:id="65"/>
      <w:r>
        <w:rPr>
          <w:rFonts w:cs="Arial" w:ascii="Arial" w:hAnsi="Arial"/>
          <w:sz w:val="20"/>
          <w:szCs w:val="20"/>
        </w:rPr>
        <w:t>4.2.6 У автоматических горелок в рабочем состоянии защитное выключение горелки должно обеспечиваться в следующих случаях: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6" w:name="sub_4026"/>
      <w:bookmarkEnd w:id="66"/>
      <w:r>
        <w:rPr>
          <w:rFonts w:cs="Arial" w:ascii="Arial" w:hAnsi="Arial"/>
          <w:sz w:val="20"/>
          <w:szCs w:val="20"/>
        </w:rPr>
        <w:t>- при погасании контролируемого пламени;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при прекращении подачи электроэнергии;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7" w:name="sub_40264"/>
      <w:bookmarkEnd w:id="67"/>
      <w:r>
        <w:rPr>
          <w:rFonts w:cs="Arial" w:ascii="Arial" w:hAnsi="Arial"/>
          <w:sz w:val="20"/>
          <w:szCs w:val="20"/>
        </w:rPr>
        <w:t>- при повышении и понижении давления газа за основным запорным органом более чем на 30% относительно номинального значения. Применительно к горелкам мощных котлов, имеющих единичную теплопроизводительность более 420 ГДж/ч (~120 МВт) - при понижении давления газа ниже минимального (соответствующего минимальной тепловой мощности горелки);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8" w:name="sub_40264"/>
      <w:bookmarkStart w:id="69" w:name="sub_40265"/>
      <w:bookmarkEnd w:id="68"/>
      <w:bookmarkEnd w:id="69"/>
      <w:r>
        <w:rPr>
          <w:rFonts w:cs="Arial" w:ascii="Arial" w:hAnsi="Arial"/>
          <w:sz w:val="20"/>
          <w:szCs w:val="20"/>
        </w:rPr>
        <w:t>- при недопустимых отклонениях контролируемых параметров газоиспользующей установки;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0" w:name="sub_40265"/>
      <w:bookmarkStart w:id="71" w:name="sub_40266"/>
      <w:bookmarkEnd w:id="70"/>
      <w:bookmarkEnd w:id="71"/>
      <w:r>
        <w:rPr>
          <w:rFonts w:cs="Arial" w:ascii="Arial" w:hAnsi="Arial"/>
          <w:sz w:val="20"/>
          <w:szCs w:val="20"/>
        </w:rPr>
        <w:t>- при недостатке воздуха для горения (отключении дутьевого вентилятора, дымососа или отсутствии необходимого разрежения);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2" w:name="sub_40266"/>
      <w:bookmarkStart w:id="73" w:name="sub_40267"/>
      <w:bookmarkEnd w:id="72"/>
      <w:bookmarkEnd w:id="73"/>
      <w:r>
        <w:rPr>
          <w:rFonts w:cs="Arial" w:ascii="Arial" w:hAnsi="Arial"/>
          <w:sz w:val="20"/>
          <w:szCs w:val="20"/>
        </w:rPr>
        <w:t>- при неполадках устройств отвода продуктов сгорания (отключении дутьевого вентилятора, дымососа или отсутствии необходимого разрежения).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4" w:name="sub_40267"/>
      <w:bookmarkEnd w:id="74"/>
      <w:r>
        <w:rPr>
          <w:rFonts w:cs="Arial" w:ascii="Arial" w:hAnsi="Arial"/>
          <w:sz w:val="20"/>
          <w:szCs w:val="20"/>
        </w:rPr>
        <w:t>Пуск горелки после устранения причины, вызвавшей защитное выключение горелки, не должен быть самопроизвольным.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5" w:name="sub_4027"/>
      <w:bookmarkEnd w:id="75"/>
      <w:r>
        <w:rPr>
          <w:rFonts w:cs="Arial" w:ascii="Arial" w:hAnsi="Arial"/>
          <w:sz w:val="20"/>
          <w:szCs w:val="20"/>
        </w:rPr>
        <w:t>4.2.7 При защитном выключении автоматической горелки из-за прекращения подачи электроэнергии возобновление подачи энергии не должно вызывать самопроизвольного пуска горелки (за исключением блочных горелок с регулированием мощности 0-100% номинальной, находящихся в рабочем состоянии, с выполнением полной программы пуска).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6" w:name="sub_4027"/>
      <w:bookmarkStart w:id="77" w:name="sub_4028"/>
      <w:bookmarkEnd w:id="76"/>
      <w:bookmarkEnd w:id="77"/>
      <w:r>
        <w:rPr>
          <w:rFonts w:cs="Arial" w:ascii="Arial" w:hAnsi="Arial"/>
          <w:sz w:val="20"/>
          <w:szCs w:val="20"/>
        </w:rPr>
        <w:t>4.2.8 Устройство контроля пламени должно реагировать только на пламя контролируемой горелки и не должно реагировать на посторонние источники тепла и света (раскаленная футеровка, освещение и т.д.).</w:t>
      </w:r>
    </w:p>
    <w:p>
      <w:pPr>
        <w:pStyle w:val="Normal"/>
        <w:autoSpaceDE w:val="false"/>
        <w:ind w:firstLine="720"/>
        <w:jc w:val="both"/>
        <w:rPr/>
      </w:pPr>
      <w:bookmarkStart w:id="78" w:name="sub_4028"/>
      <w:bookmarkStart w:id="79" w:name="sub_4029"/>
      <w:bookmarkEnd w:id="78"/>
      <w:bookmarkEnd w:id="79"/>
      <w:r>
        <w:rPr>
          <w:rFonts w:cs="Arial" w:ascii="Arial" w:hAnsi="Arial"/>
          <w:sz w:val="20"/>
          <w:szCs w:val="20"/>
        </w:rPr>
        <w:t xml:space="preserve">4.2.9 При неисправности устройства контроля пламени или нарушении в линиях связи между чувствительным элементом и вторичным прибором устройства контроля пламени при розжиге или работе горелки должно произойти защитное выключение горелки в течение времени, указанного в </w:t>
      </w:r>
      <w:hyperlink w:anchor="sub_402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4.2.11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0" w:name="sub_4029"/>
      <w:bookmarkStart w:id="81" w:name="sub_40210"/>
      <w:bookmarkEnd w:id="80"/>
      <w:bookmarkEnd w:id="81"/>
      <w:r>
        <w:rPr>
          <w:rFonts w:cs="Arial" w:ascii="Arial" w:hAnsi="Arial"/>
          <w:sz w:val="20"/>
          <w:szCs w:val="20"/>
        </w:rPr>
        <w:t>4.2.10 Группу горелок допускается оснащать одним устройством контроля пламени в случае, если наличие пламени горелки, оснащенной устройством контроля пламени, обеспечивает розжиг в других горелках группы.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2" w:name="sub_40210"/>
      <w:bookmarkEnd w:id="82"/>
      <w:r>
        <w:rPr>
          <w:rFonts w:cs="Arial" w:ascii="Arial" w:hAnsi="Arial"/>
          <w:sz w:val="20"/>
          <w:szCs w:val="20"/>
        </w:rPr>
        <w:t>Каждая горелка котла, имеющего теплопроизводительность более 420 ГДж/ч (~120 МВт), должна быть оснащена стационарно установленным защитно-запальным устройством (ЗЗУ), управляемым дистанционно со щита управления котлом, а также с площадки обслуживания системы управления горелками. ЗЗУ должно обеспечивать розжиг факела горелки и селективный контроль факела горелки во всех режимах работы котла.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3" w:name="sub_40211"/>
      <w:bookmarkEnd w:id="83"/>
      <w:r>
        <w:rPr>
          <w:rFonts w:cs="Arial" w:ascii="Arial" w:hAnsi="Arial"/>
          <w:sz w:val="20"/>
          <w:szCs w:val="20"/>
        </w:rPr>
        <w:t>4.2.11 Система контроля пламени должна обеспечивать защитное выключение горелки, если произойдет погасание контролируемого пламени, при этом время защитного отключения подачи газа должно быть не более 2 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4" w:name="sub_40211"/>
      <w:bookmarkStart w:id="85" w:name="sub_40212"/>
      <w:bookmarkEnd w:id="84"/>
      <w:bookmarkEnd w:id="85"/>
      <w:r>
        <w:rPr>
          <w:rFonts w:cs="Arial" w:ascii="Arial" w:hAnsi="Arial"/>
          <w:sz w:val="20"/>
          <w:szCs w:val="20"/>
        </w:rPr>
        <w:t>4.2.12 Для горелок номинальной тепловой мощностью до 0,1 МВт, устанавливаемых в камерах горения с разрежением и оснащаемых системой контроля пламени, датчиками которой являются термочувствительные элементы, выполненные на базе термопар, дилатометров и т.п., реагирующие на пламя пилотной горелки, время защитного отключения подачи газа в основную горелку при погасании пламени пилотной горелки не должно превышать 30 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6" w:name="sub_40212"/>
      <w:bookmarkStart w:id="87" w:name="sub_40213"/>
      <w:bookmarkEnd w:id="86"/>
      <w:bookmarkEnd w:id="87"/>
      <w:r>
        <w:rPr>
          <w:rFonts w:cs="Arial" w:ascii="Arial" w:hAnsi="Arial"/>
          <w:sz w:val="20"/>
          <w:szCs w:val="20"/>
        </w:rPr>
        <w:t>4.2.13 Прекращение подачи электроэнергии к газовому автоматическому запорному органу от внешнего источника должно вызывать его закрытие.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8" w:name="sub_40213"/>
      <w:bookmarkEnd w:id="88"/>
      <w:r>
        <w:rPr>
          <w:rFonts w:cs="Arial" w:ascii="Arial" w:hAnsi="Arial"/>
          <w:sz w:val="20"/>
          <w:szCs w:val="20"/>
        </w:rPr>
        <w:t>Запорный орган должен закрываться без дополнительного подвода энергии от внешнего источника.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Время от момента прекращения подачи энергии от внешнего источника до прекращения поступления газа через запорный орган не должно превышать 1 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9" w:name="sub_40214"/>
      <w:bookmarkEnd w:id="89"/>
      <w:r>
        <w:rPr>
          <w:rFonts w:cs="Arial" w:ascii="Arial" w:hAnsi="Arial"/>
          <w:sz w:val="20"/>
          <w:szCs w:val="20"/>
        </w:rPr>
        <w:t>4.2.14 Автоматические и полуавтоматические горелки номинальной тепловой мощностью до 0,35 МВт должны быть оснащены одним быстродействующим запорным топливным органом, мощностью свыше 0,35 до 2 МВт - двумя быстродействующими запорными топливными органами, свыше 2 МВт - двумя быстродействующими запорными топливными органами и автоматическим устройством контроля их герметичности или автоматическим органом утечки газообразного топлива для автоматического соединения с атмосферой участка топливного тракта, заключенного между этими двумя запорными органами, после отключения подачи топлива на горелки.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0" w:name="sub_40214"/>
      <w:bookmarkEnd w:id="90"/>
      <w:r>
        <w:rPr>
          <w:rFonts w:cs="Arial" w:ascii="Arial" w:hAnsi="Arial"/>
          <w:sz w:val="20"/>
          <w:szCs w:val="20"/>
        </w:rPr>
        <w:t>При работе на газоиспользующей установке группы горелок с общим подводом газа, единичная тепловая мощность которых свыше 0,35 МВт, допускается один из двух автоматических запорных органов (быстродействующий) устанавливать общим для всех горелок.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газопроводе перед каждой горелкой котла, имеющего теплопроизводительность более 420 ГДж/ч (~120 МВт), должны устанавливаться два предохранительно-запорных клапана (ПЗК).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наличии перед каждой горелкой двух быстродействующих запорных клапанов и индивидуального регулирующего клапана установку общекотлового ПЗК допускается не предусматривать.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Допускается установка одного ПЗК и отключающего устройства с электроприводом (очередность определяется проектом) или двух отключающих устройств с электроприводом при условии установки общекотлового ПЗК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1" w:name="sub_40215"/>
      <w:bookmarkEnd w:id="91"/>
      <w:r>
        <w:rPr>
          <w:rFonts w:cs="Arial" w:ascii="Arial" w:hAnsi="Arial"/>
          <w:sz w:val="20"/>
          <w:szCs w:val="20"/>
        </w:rPr>
        <w:t>4.2.15 Работоспособность автоматики горелок должна быть обеспечена при отклонениях питающего напряжения электрического тока от плюс 10 до минус 15% номинального.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2" w:name="sub_40215"/>
      <w:bookmarkStart w:id="93" w:name="sub_40216"/>
      <w:bookmarkEnd w:id="92"/>
      <w:bookmarkEnd w:id="93"/>
      <w:r>
        <w:rPr>
          <w:rFonts w:cs="Arial" w:ascii="Arial" w:hAnsi="Arial"/>
          <w:sz w:val="20"/>
          <w:szCs w:val="20"/>
        </w:rPr>
        <w:t>4.2.16 По устойчивости к механическим воздействиям средства автоматизации должны отвечать требованиям к изделиям в виброустойчивом исполнении, группа исполнения LX-NX - по ГОСТ 12997.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4" w:name="sub_40216"/>
      <w:bookmarkStart w:id="95" w:name="sub_40217"/>
      <w:bookmarkEnd w:id="94"/>
      <w:bookmarkEnd w:id="95"/>
      <w:r>
        <w:rPr>
          <w:rFonts w:cs="Arial" w:ascii="Arial" w:hAnsi="Arial"/>
          <w:sz w:val="20"/>
          <w:szCs w:val="20"/>
        </w:rPr>
        <w:t>4.2.17 Климатическое исполнение средств автоматизации УХЛ - по ГОСТ 15150.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6" w:name="sub_40217"/>
      <w:bookmarkStart w:id="97" w:name="sub_40218"/>
      <w:bookmarkEnd w:id="96"/>
      <w:bookmarkEnd w:id="97"/>
      <w:r>
        <w:rPr>
          <w:rFonts w:cs="Arial" w:ascii="Arial" w:hAnsi="Arial"/>
          <w:sz w:val="20"/>
          <w:szCs w:val="20"/>
        </w:rPr>
        <w:t>4.2.18 Категория размещения средств автоматизации, размещаемых в закрытых помещениях без регулирования климатических условий, - 3.1 по ГОСТ 15150, с регулируемыми климатическими условиями - 4.2 по ГОСТ 15150.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8" w:name="sub_40218"/>
      <w:bookmarkStart w:id="99" w:name="sub_40219"/>
      <w:bookmarkEnd w:id="98"/>
      <w:bookmarkEnd w:id="99"/>
      <w:r>
        <w:rPr>
          <w:rFonts w:cs="Arial" w:ascii="Arial" w:hAnsi="Arial"/>
          <w:sz w:val="20"/>
          <w:szCs w:val="20"/>
        </w:rPr>
        <w:t>4.2.19 Полуавтоматические горелки и горелки с ручным управлением, входящие в состав автоматизированной газоиспользующей установки как комплектующие изделия, должны быть пригодны для работы с автоматикой этой установки. При этом должны быть выполнены требования к автоматике автоматических или полуавтоматических горелок.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0" w:name="sub_40219"/>
      <w:bookmarkStart w:id="101" w:name="sub_403"/>
      <w:bookmarkEnd w:id="100"/>
      <w:bookmarkEnd w:id="101"/>
      <w:r>
        <w:rPr>
          <w:rFonts w:cs="Arial" w:ascii="Arial" w:hAnsi="Arial"/>
          <w:sz w:val="20"/>
          <w:szCs w:val="20"/>
        </w:rPr>
        <w:t>4.3 Требования надежности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2" w:name="sub_403"/>
      <w:bookmarkStart w:id="103" w:name="sub_4031"/>
      <w:bookmarkEnd w:id="102"/>
      <w:bookmarkEnd w:id="103"/>
      <w:r>
        <w:rPr>
          <w:rFonts w:cs="Arial" w:ascii="Arial" w:hAnsi="Arial"/>
          <w:sz w:val="20"/>
          <w:szCs w:val="20"/>
        </w:rPr>
        <w:t>4.3.1 Средний ресурс горелок до капитального ремонта (для ремонтируемых горелок) и до списания (для неремонтируемых горелок) должен быть по жаростойкости не менее 18000 ч. Указанный ресурс не распространяется на быстроизнашиваемые элементы, автоматику горелки, а также на детали из огнеупорной керамики.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4" w:name="sub_4031"/>
      <w:bookmarkEnd w:id="104"/>
      <w:r>
        <w:rPr>
          <w:rFonts w:cs="Arial" w:ascii="Arial" w:hAnsi="Arial"/>
          <w:sz w:val="20"/>
          <w:szCs w:val="20"/>
        </w:rPr>
        <w:t>Средний ресурс пылегазовых горелок для котлов между капитальными ремонтами должен быть не менее 12000 ч.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5" w:name="sub_4032"/>
      <w:bookmarkEnd w:id="105"/>
      <w:r>
        <w:rPr>
          <w:rFonts w:cs="Arial" w:ascii="Arial" w:hAnsi="Arial"/>
          <w:sz w:val="20"/>
          <w:szCs w:val="20"/>
        </w:rPr>
        <w:t>4.3.2 Электрические элементы автоматики должны в условиях, близких к эксплуатационным, при питающем напряжении, равном 110% номинального значения, выдерживать не менее 100000 циклов включения и выключения.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6" w:name="sub_4032"/>
      <w:bookmarkStart w:id="107" w:name="sub_4033"/>
      <w:bookmarkEnd w:id="106"/>
      <w:bookmarkEnd w:id="107"/>
      <w:r>
        <w:rPr>
          <w:rFonts w:cs="Arial" w:ascii="Arial" w:hAnsi="Arial"/>
          <w:sz w:val="20"/>
          <w:szCs w:val="20"/>
        </w:rPr>
        <w:t>4.3.3 Вероятность безотказной работы устройства контроля пламени - не менее 0,92 за 2000 ч.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8" w:name="sub_4033"/>
      <w:bookmarkStart w:id="109" w:name="sub_404"/>
      <w:bookmarkEnd w:id="108"/>
      <w:bookmarkEnd w:id="109"/>
      <w:r>
        <w:rPr>
          <w:rFonts w:cs="Arial" w:ascii="Arial" w:hAnsi="Arial"/>
          <w:sz w:val="20"/>
          <w:szCs w:val="20"/>
        </w:rPr>
        <w:t>4.4 Требования экономного использования топлива</w:t>
      </w:r>
    </w:p>
    <w:p>
      <w:pPr>
        <w:pStyle w:val="Normal"/>
        <w:autoSpaceDE w:val="false"/>
        <w:ind w:firstLine="720"/>
        <w:jc w:val="both"/>
        <w:rPr/>
      </w:pPr>
      <w:bookmarkStart w:id="110" w:name="sub_404"/>
      <w:bookmarkStart w:id="111" w:name="sub_4041"/>
      <w:bookmarkEnd w:id="110"/>
      <w:bookmarkEnd w:id="111"/>
      <w:r>
        <w:rPr>
          <w:rFonts w:cs="Arial" w:ascii="Arial" w:hAnsi="Arial"/>
          <w:sz w:val="20"/>
          <w:szCs w:val="20"/>
        </w:rPr>
        <w:t>4.4.1 Горелки должны обеспечивать значения коэффициента избытка воздуха альфа, приведенные в таблице 2, при номинальной тепловой мощности и выполнении требований </w:t>
      </w:r>
      <w:hyperlink w:anchor="sub_6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6.1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2" w:name="sub_4041"/>
      <w:bookmarkStart w:id="113" w:name="sub_4041"/>
      <w:bookmarkEnd w:id="11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 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┌────────────────────────────────────────────────┬──────────────────────┐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 горелки по способу подачи воздуха, степени│ Коэффициент избытка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подготовки горючей смеси и назначению      │    воздуха альфа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Горелки  с  принудительной  подачей    воздуха с│&lt;=1,05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полным предварительным  смешением;  инжекционные│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горелки с полным предварительным смешением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Горелки  с  принудительной  подачей    воздуха с│&lt;=(1,05-1,10)*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неполным предварительным смешением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Горелки с  принудительной  подачей  воздуха  без│&lt;=(1,05-1,15)**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предварительного  смешения;  горелки  с  подачей│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воздуха за счет разрежения без  предварительного│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смешения                     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Горелки  для  паровых  котлов  большой  мощности│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(независимо от способа подачи воздуха и  степени│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подготовки горючей смеси):   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газовые и газомазутные                          │&lt;=1,05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пылегазовые                                     │&lt;=1,10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├────────────────────────────────────────────────┼──────────────────────┤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горелки   при   организации   в      топке котла│&lt;=1,10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ступенчатого сжигания топлива                   │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├────────────────────────────────────────────────┴──────────────────────┤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4" w:name="sub_11114"/>
      <w:bookmarkEnd w:id="1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* Указанный диапазон учитывает различную степень смешения.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5" w:name="sub_11114"/>
      <w:bookmarkStart w:id="116" w:name="sub_11115"/>
      <w:bookmarkEnd w:id="115"/>
      <w:bookmarkEnd w:id="1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** Указанный диапазон учитывает различную скорость смешения в факеле за│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7" w:name="sub_11115"/>
      <w:bookmarkEnd w:id="1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счет разности скоростей.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Примечание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- При работе горелок  в  (на)  газоиспользующих  установках,│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предусматривающих  многостадийное   (ступенчатое)   сжигание   топлива,│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значения коэффициентов избытка воздуха, указанные в таблице 2,  следует│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относить к выходному сечению камеры горения газоиспользующей  установки│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(за вычетом присосов) или  к  месту  отбора  проб  продуктов  сгорания,│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определенному по </w:t>
      </w:r>
      <w:hyperlink w:anchor="sub_60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6.1, таблица 3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.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8" w:name="sub_4042"/>
      <w:bookmarkEnd w:id="118"/>
      <w:r>
        <w:rPr>
          <w:rFonts w:cs="Arial" w:ascii="Arial" w:hAnsi="Arial"/>
          <w:sz w:val="20"/>
          <w:szCs w:val="20"/>
        </w:rPr>
        <w:t>4.4.2 Допускаемое увеличение коэффициента избытка воздуха в диапазоне рабочего регулирования мощности (за исключением пусковых режимов) не должно превышать 0,2.</w:t>
      </w:r>
    </w:p>
    <w:p>
      <w:pPr>
        <w:pStyle w:val="Normal"/>
        <w:autoSpaceDE w:val="false"/>
        <w:ind w:firstLine="720"/>
        <w:jc w:val="both"/>
        <w:rPr/>
      </w:pPr>
      <w:bookmarkStart w:id="119" w:name="sub_4042"/>
      <w:bookmarkEnd w:id="119"/>
      <w:r>
        <w:rPr>
          <w:rFonts w:cs="Arial" w:ascii="Arial" w:hAnsi="Arial"/>
          <w:b/>
          <w:bCs/>
          <w:color w:val="000080"/>
          <w:sz w:val="20"/>
          <w:szCs w:val="20"/>
        </w:rPr>
        <w:t>Примечание</w:t>
      </w:r>
      <w:r>
        <w:rPr>
          <w:rFonts w:cs="Arial" w:ascii="Arial" w:hAnsi="Arial"/>
          <w:sz w:val="20"/>
          <w:szCs w:val="20"/>
        </w:rPr>
        <w:t xml:space="preserve"> - Требования, приведенные в </w:t>
      </w:r>
      <w:hyperlink w:anchor="sub_404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4.4.1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404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4.4.2</w:t>
        </w:r>
      </w:hyperlink>
      <w:r>
        <w:rPr>
          <w:rFonts w:cs="Arial" w:ascii="Arial" w:hAnsi="Arial"/>
          <w:sz w:val="20"/>
          <w:szCs w:val="20"/>
        </w:rPr>
        <w:t>, не распространяются на горелки, предназначенные для работы с переменным или повышенным избытком воздуха.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0" w:name="sub_4043"/>
      <w:bookmarkEnd w:id="120"/>
      <w:r>
        <w:rPr>
          <w:rFonts w:cs="Arial" w:ascii="Arial" w:hAnsi="Arial"/>
          <w:sz w:val="20"/>
          <w:szCs w:val="20"/>
        </w:rPr>
        <w:t>4.4.3 Потери тепла от химической неполноты сгорания, определенные на основании анализа проб продуктов сгорания, в диапазоне рабочего регулирования горелки не должны быть более 0,4%. Для газовой части газомазутных горелок, предназначенных для мощных котлов, потери тепла от химической неполноты сгорания не должны превышать 0,2%.</w:t>
      </w:r>
    </w:p>
    <w:p>
      <w:pPr>
        <w:pStyle w:val="Normal"/>
        <w:autoSpaceDE w:val="false"/>
        <w:ind w:firstLine="720"/>
        <w:jc w:val="both"/>
        <w:rPr/>
      </w:pPr>
      <w:bookmarkStart w:id="121" w:name="sub_4043"/>
      <w:bookmarkEnd w:id="121"/>
      <w:r>
        <w:rPr>
          <w:rFonts w:cs="Arial" w:ascii="Arial" w:hAnsi="Arial"/>
          <w:sz w:val="20"/>
          <w:szCs w:val="20"/>
        </w:rPr>
        <w:t xml:space="preserve">Место отбора проб устанавливается по </w:t>
      </w:r>
      <w:hyperlink w:anchor="sub_60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6.1, таблица 3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2" w:name="sub_405"/>
      <w:bookmarkEnd w:id="122"/>
      <w:r>
        <w:rPr>
          <w:rFonts w:cs="Arial" w:ascii="Arial" w:hAnsi="Arial"/>
          <w:sz w:val="20"/>
          <w:szCs w:val="20"/>
        </w:rPr>
        <w:t>4.5 Конструктивные требования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3" w:name="sub_405"/>
      <w:bookmarkStart w:id="124" w:name="sub_4051"/>
      <w:bookmarkEnd w:id="123"/>
      <w:bookmarkEnd w:id="124"/>
      <w:r>
        <w:rPr>
          <w:rFonts w:cs="Arial" w:ascii="Arial" w:hAnsi="Arial"/>
          <w:sz w:val="20"/>
          <w:szCs w:val="20"/>
        </w:rPr>
        <w:t>4.5.1 Конструкции горелок с принудительной подачей воздуха должны быть выполнены из материалов, допускающих работу на подогретом воздухе температурой не менее 300°С.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5" w:name="sub_4051"/>
      <w:bookmarkStart w:id="126" w:name="sub_4052"/>
      <w:bookmarkEnd w:id="125"/>
      <w:bookmarkEnd w:id="126"/>
      <w:r>
        <w:rPr>
          <w:rFonts w:cs="Arial" w:ascii="Arial" w:hAnsi="Arial"/>
          <w:sz w:val="20"/>
          <w:szCs w:val="20"/>
        </w:rPr>
        <w:t>4.5.2 Сопла, завихрители и другие детали, засоряющиеся во время работы, должны быть доступны для очистки и замены без демонтажа горелок.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7" w:name="sub_4052"/>
      <w:bookmarkStart w:id="128" w:name="sub_4053"/>
      <w:bookmarkEnd w:id="127"/>
      <w:bookmarkEnd w:id="128"/>
      <w:r>
        <w:rPr>
          <w:rFonts w:cs="Arial" w:ascii="Arial" w:hAnsi="Arial"/>
          <w:sz w:val="20"/>
          <w:szCs w:val="20"/>
        </w:rPr>
        <w:t>4.5.3 Горелки или ее детали, подлежащие снятию для очистки или замены, массой более 30 кг должны иметь специальные приспособления для перемещения.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9" w:name="sub_4053"/>
      <w:bookmarkStart w:id="130" w:name="sub_4054"/>
      <w:bookmarkEnd w:id="129"/>
      <w:bookmarkEnd w:id="130"/>
      <w:r>
        <w:rPr>
          <w:rFonts w:cs="Arial" w:ascii="Arial" w:hAnsi="Arial"/>
          <w:sz w:val="20"/>
          <w:szCs w:val="20"/>
        </w:rPr>
        <w:t>4.5.4 Горелки, конструкция которых позволяет выдвигать или извлекать их из камеры горения без инструмента, должны быть оснащены блокировкой, не допускающей возможности их включения в открытом положении и осуществляющей их отключение при выдвижении или извлечении в процессе работы.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1" w:name="sub_4054"/>
      <w:bookmarkEnd w:id="131"/>
      <w:r>
        <w:rPr>
          <w:rFonts w:cs="Arial" w:ascii="Arial" w:hAnsi="Arial"/>
          <w:sz w:val="20"/>
          <w:szCs w:val="20"/>
        </w:rPr>
        <w:t>Конструкция горелок и входящих в них разъемных соединений должна исключать возможность их неправильной сборки и самопроизвольного смещения или разъединения деталей.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2" w:name="sub_4055"/>
      <w:bookmarkEnd w:id="132"/>
      <w:r>
        <w:rPr>
          <w:rFonts w:cs="Arial" w:ascii="Arial" w:hAnsi="Arial"/>
          <w:sz w:val="20"/>
          <w:szCs w:val="20"/>
        </w:rPr>
        <w:t>4.5.5 Конструкция горелок должна предусматривать возможность визуального контроля пламени.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3" w:name="sub_4055"/>
      <w:bookmarkEnd w:id="133"/>
      <w:r>
        <w:rPr>
          <w:rFonts w:cs="Arial" w:ascii="Arial" w:hAnsi="Arial"/>
          <w:sz w:val="20"/>
          <w:szCs w:val="20"/>
        </w:rPr>
        <w:t>Допускается визуальное наблюдение за пламенем через смотровые отверстия камеры горения теплового агрегата.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4" w:name="sub_4056"/>
      <w:bookmarkEnd w:id="134"/>
      <w:r>
        <w:rPr>
          <w:rFonts w:cs="Arial" w:ascii="Arial" w:hAnsi="Arial"/>
          <w:sz w:val="20"/>
          <w:szCs w:val="20"/>
        </w:rPr>
        <w:t>4.5.6 Горелки, предназначенные для камер горения, работающих под разрежением, должны обеспечивать устойчивое горение при разрежении, превышающем паспортные данные в 1,2 раза при разрежении свыше 50 Па и в 1,5 раза при разрежении до 50 Па включительно.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5" w:name="sub_4056"/>
      <w:bookmarkEnd w:id="135"/>
      <w:r>
        <w:rPr>
          <w:rFonts w:cs="Arial" w:ascii="Arial" w:hAnsi="Arial"/>
          <w:sz w:val="20"/>
          <w:szCs w:val="20"/>
        </w:rPr>
        <w:t>Горелки, предназначенные для камер горения с избыточным давлением, должны обеспечивать устойчивое горение при противодавлении, превышающем паспортные данные в 1,2 раза при давлении свыше 50 Па и в 1,5 раза при давлении до 50 Па включительно.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6" w:name="sub_4057"/>
      <w:bookmarkEnd w:id="136"/>
      <w:r>
        <w:rPr>
          <w:rFonts w:cs="Arial" w:ascii="Arial" w:hAnsi="Arial"/>
          <w:sz w:val="20"/>
          <w:szCs w:val="20"/>
        </w:rPr>
        <w:t>4.5.7 Блочные горелки, предназначенные для работы при разрежении в камере горения, должны устойчиво работать при избыточном давлении до 10 Па.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7" w:name="sub_4057"/>
      <w:bookmarkEnd w:id="137"/>
      <w:r>
        <w:rPr>
          <w:rFonts w:cs="Arial" w:ascii="Arial" w:hAnsi="Arial"/>
          <w:sz w:val="20"/>
          <w:szCs w:val="20"/>
        </w:rPr>
        <w:t>Блочные горелки, предназначенные для работы при избыточном давлении в камере горения, должны устойчиво работать при разрежении до 10 Па.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8" w:name="sub_406"/>
      <w:bookmarkEnd w:id="138"/>
      <w:r>
        <w:rPr>
          <w:rFonts w:cs="Arial" w:ascii="Arial" w:hAnsi="Arial"/>
          <w:sz w:val="20"/>
          <w:szCs w:val="20"/>
        </w:rPr>
        <w:t>4.6 Маркировка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9" w:name="sub_406"/>
      <w:bookmarkStart w:id="140" w:name="sub_4061"/>
      <w:bookmarkEnd w:id="139"/>
      <w:bookmarkEnd w:id="140"/>
      <w:r>
        <w:rPr>
          <w:rFonts w:cs="Arial" w:ascii="Arial" w:hAnsi="Arial"/>
          <w:sz w:val="20"/>
          <w:szCs w:val="20"/>
        </w:rPr>
        <w:t>4.6.1 На каждой горелке должна быть прикреплена табличка - по ГОСТ 12969, содержащая: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1" w:name="sub_4061"/>
      <w:bookmarkEnd w:id="141"/>
      <w:r>
        <w:rPr>
          <w:rFonts w:cs="Arial" w:ascii="Arial" w:hAnsi="Arial"/>
          <w:sz w:val="20"/>
          <w:szCs w:val="20"/>
        </w:rPr>
        <w:t>- наименование или товарный знак предприятия-изготовителя;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условное обозначение типоразмера;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номинальную тепловую мощность горелки;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электрическое напряжение;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2" w:name="sub_40616"/>
      <w:bookmarkEnd w:id="142"/>
      <w:r>
        <w:rPr>
          <w:rFonts w:cs="Arial" w:ascii="Arial" w:hAnsi="Arial"/>
          <w:sz w:val="20"/>
          <w:szCs w:val="20"/>
        </w:rPr>
        <w:t>- силу электрического тока;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3" w:name="sub_40616"/>
      <w:bookmarkEnd w:id="143"/>
      <w:r>
        <w:rPr>
          <w:rFonts w:cs="Arial" w:ascii="Arial" w:hAnsi="Arial"/>
          <w:sz w:val="20"/>
          <w:szCs w:val="20"/>
        </w:rPr>
        <w:t>- степень электрозащиты;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порядковый номер горелки по системе нумерации предприятия-изготовителя;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дату изготовления;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обозначение стандарта или технических условий.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44" w:name="sub_500"/>
      <w:bookmarkEnd w:id="144"/>
      <w:r>
        <w:rPr>
          <w:rFonts w:cs="Arial" w:ascii="Arial" w:hAnsi="Arial"/>
          <w:b/>
          <w:bCs/>
          <w:color w:val="000080"/>
          <w:sz w:val="20"/>
          <w:szCs w:val="20"/>
        </w:rPr>
        <w:t>5 Требования безопасности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45" w:name="sub_500"/>
      <w:bookmarkStart w:id="146" w:name="sub_500"/>
      <w:bookmarkEnd w:id="14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7" w:name="sub_501"/>
      <w:bookmarkEnd w:id="147"/>
      <w:r>
        <w:rPr>
          <w:rFonts w:cs="Arial" w:ascii="Arial" w:hAnsi="Arial"/>
          <w:sz w:val="20"/>
          <w:szCs w:val="20"/>
        </w:rPr>
        <w:t>5.1 Общие требования безопасности к горелке - по ГОСТ 12.2.003.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8" w:name="sub_501"/>
      <w:bookmarkStart w:id="149" w:name="sub_502"/>
      <w:bookmarkEnd w:id="148"/>
      <w:bookmarkEnd w:id="149"/>
      <w:r>
        <w:rPr>
          <w:rFonts w:cs="Arial" w:ascii="Arial" w:hAnsi="Arial"/>
          <w:sz w:val="20"/>
          <w:szCs w:val="20"/>
        </w:rPr>
        <w:t>5.2 Температура поверхностей элементов горелок, предназначенных для ручного управления, - по ГОСТ 12.2.064.</w:t>
      </w:r>
    </w:p>
    <w:p>
      <w:pPr>
        <w:pStyle w:val="Normal"/>
        <w:autoSpaceDE w:val="false"/>
        <w:ind w:firstLine="720"/>
        <w:jc w:val="both"/>
        <w:rPr/>
      </w:pPr>
      <w:bookmarkStart w:id="150" w:name="sub_502"/>
      <w:bookmarkStart w:id="151" w:name="sub_503"/>
      <w:bookmarkEnd w:id="150"/>
      <w:bookmarkEnd w:id="151"/>
      <w:r>
        <w:rPr>
          <w:rFonts w:cs="Arial" w:ascii="Arial" w:hAnsi="Arial"/>
          <w:sz w:val="20"/>
          <w:szCs w:val="20"/>
        </w:rPr>
        <w:t xml:space="preserve">5.3 Предельно допустимые шумовые характеристики (ПДШХ) устанавливают в соответствии с </w:t>
      </w:r>
      <w:hyperlink w:anchor="sub_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приложением Б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bookmarkStart w:id="152" w:name="sub_503"/>
      <w:bookmarkEnd w:id="152"/>
      <w:r>
        <w:rPr>
          <w:rFonts w:cs="Arial" w:ascii="Arial" w:hAnsi="Arial"/>
          <w:sz w:val="20"/>
          <w:szCs w:val="20"/>
        </w:rPr>
        <w:t xml:space="preserve">Если значения шумовых характеристик горелок превышают значения, установленные в </w:t>
      </w:r>
      <w:hyperlink w:anchor="sub_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 Б</w:t>
        </w:r>
      </w:hyperlink>
      <w:r>
        <w:rPr>
          <w:rFonts w:cs="Arial" w:ascii="Arial" w:hAnsi="Arial"/>
          <w:sz w:val="20"/>
          <w:szCs w:val="20"/>
        </w:rPr>
        <w:t>, то в нормативных документах на горелки допускается устанавливать технически достижимые значения шумовых характеристик по ГОСТ 12.1.003.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Если в рабочих условиях разность между уровнем измеренного шума и эквивалентным уровнем помех менее указанного в 3.8 ГОСТ 12.1.028, то оценка уровня шума не производится.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3" w:name="sub_504"/>
      <w:bookmarkEnd w:id="153"/>
      <w:r>
        <w:rPr>
          <w:rFonts w:cs="Arial" w:ascii="Arial" w:hAnsi="Arial"/>
          <w:sz w:val="20"/>
          <w:szCs w:val="20"/>
        </w:rPr>
        <w:t>5.4 Исключен.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54" w:name="sub_504"/>
      <w:bookmarkStart w:id="155" w:name="sub_255145060"/>
      <w:bookmarkEnd w:id="154"/>
      <w:bookmarkEnd w:id="155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См. текст </w:t>
      </w:r>
      <w:hyperlink w:anchor="sub_504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пункта 5.4</w:t>
        </w:r>
      </w:hyperlink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6" w:name="sub_255145060"/>
      <w:bookmarkStart w:id="157" w:name="sub_505"/>
      <w:bookmarkEnd w:id="156"/>
      <w:bookmarkEnd w:id="157"/>
      <w:r>
        <w:rPr>
          <w:rFonts w:cs="Arial" w:ascii="Arial" w:hAnsi="Arial"/>
          <w:sz w:val="20"/>
          <w:szCs w:val="20"/>
        </w:rPr>
        <w:t>5.5 Степень защиты электротехнических средств автоматизации горелок IP 40 - по ГОСТ 14254.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8" w:name="sub_505"/>
      <w:bookmarkStart w:id="159" w:name="sub_506"/>
      <w:bookmarkEnd w:id="158"/>
      <w:bookmarkEnd w:id="159"/>
      <w:r>
        <w:rPr>
          <w:rFonts w:cs="Arial" w:ascii="Arial" w:hAnsi="Arial"/>
          <w:sz w:val="20"/>
          <w:szCs w:val="20"/>
        </w:rPr>
        <w:t>5.6 Электрическое оборудование горелки должно питаться от одного источника электроэнергии и выключаться при помощи одного выключателя.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0" w:name="sub_506"/>
      <w:bookmarkStart w:id="161" w:name="sub_507"/>
      <w:bookmarkEnd w:id="160"/>
      <w:bookmarkEnd w:id="161"/>
      <w:r>
        <w:rPr>
          <w:rFonts w:cs="Arial" w:ascii="Arial" w:hAnsi="Arial"/>
          <w:sz w:val="20"/>
          <w:szCs w:val="20"/>
        </w:rPr>
        <w:t>5.7 Горелки номинальной мощностью свыше 0,12 МВт должны разжигаться при пусковой мощности, не превышающей 50% номинальной.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2" w:name="sub_507"/>
      <w:bookmarkStart w:id="163" w:name="sub_508"/>
      <w:bookmarkEnd w:id="162"/>
      <w:bookmarkEnd w:id="163"/>
      <w:r>
        <w:rPr>
          <w:rFonts w:cs="Arial" w:ascii="Arial" w:hAnsi="Arial"/>
          <w:sz w:val="20"/>
          <w:szCs w:val="20"/>
        </w:rPr>
        <w:t>5.8 Горелки номинальной мощностью свыше 0,12 МВт должны разжигаться запальным устройством или запальной горелкой (переносной или стационарной).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4" w:name="sub_508"/>
      <w:bookmarkEnd w:id="164"/>
      <w:r>
        <w:rPr>
          <w:rFonts w:cs="Arial" w:ascii="Arial" w:hAnsi="Arial"/>
          <w:sz w:val="20"/>
          <w:szCs w:val="20"/>
        </w:rPr>
        <w:t>Мощность запальной горелки должна быть не более 5% номинальной мощности основной горелки, но не превышать 0,12 МВт.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5" w:name="sub_509"/>
      <w:bookmarkEnd w:id="165"/>
      <w:r>
        <w:rPr>
          <w:rFonts w:cs="Arial" w:ascii="Arial" w:hAnsi="Arial"/>
          <w:sz w:val="20"/>
          <w:szCs w:val="20"/>
        </w:rPr>
        <w:t>5.9 Автоматические и полуавтоматические горелки, пусковая мощность которых превышает 0,4 МВт, должны быть оснащены стационарной запальной горелкой.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6" w:name="sub_509"/>
      <w:bookmarkEnd w:id="166"/>
      <w:r>
        <w:rPr>
          <w:rFonts w:cs="Arial" w:ascii="Arial" w:hAnsi="Arial"/>
          <w:sz w:val="20"/>
          <w:szCs w:val="20"/>
        </w:rPr>
        <w:t>Группу горелок с ручным управлением допускается оснащать одной стационарной запальной горелкой, если наличие пламени основной горелки, оснащенной запальной горелкой, обеспечивает зажигание пламени других горелок группы.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7" w:name="sub_510"/>
      <w:bookmarkEnd w:id="167"/>
      <w:r>
        <w:rPr>
          <w:rFonts w:cs="Arial" w:ascii="Arial" w:hAnsi="Arial"/>
          <w:sz w:val="20"/>
          <w:szCs w:val="20"/>
        </w:rPr>
        <w:t>5.10 Конструкция горелок с принудительной подачей воздуха должна предусматривать возможность продувки камеры горения перед розжигом.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8" w:name="sub_510"/>
      <w:bookmarkStart w:id="169" w:name="sub_511"/>
      <w:bookmarkEnd w:id="168"/>
      <w:bookmarkEnd w:id="169"/>
      <w:r>
        <w:rPr>
          <w:rFonts w:cs="Arial" w:ascii="Arial" w:hAnsi="Arial"/>
          <w:sz w:val="20"/>
          <w:szCs w:val="20"/>
        </w:rPr>
        <w:t>5.11 Горелки, в которые трубопроводом подается предварительно подготовленная горючая смесь, должны быть снабжены огнепреградителями.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0" w:name="sub_511"/>
      <w:bookmarkStart w:id="171" w:name="sub_512"/>
      <w:bookmarkEnd w:id="170"/>
      <w:bookmarkEnd w:id="171"/>
      <w:r>
        <w:rPr>
          <w:rFonts w:cs="Arial" w:ascii="Arial" w:hAnsi="Arial"/>
          <w:sz w:val="20"/>
          <w:szCs w:val="20"/>
        </w:rPr>
        <w:t>5.12 Горелки должны быть оборудованы штуцерами для присоединения приборов, измеряющих давление газа перед горелкой, а горелки с принудительной подачей воздуха - дополнительно штуцерами для присоединения приборов, измеряющих давление воздуха перед горелками (или в корпусе горелки).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2" w:name="sub_512"/>
      <w:bookmarkEnd w:id="172"/>
      <w:r>
        <w:rPr>
          <w:rFonts w:cs="Arial" w:ascii="Arial" w:hAnsi="Arial"/>
          <w:sz w:val="20"/>
          <w:szCs w:val="20"/>
        </w:rPr>
        <w:t>Штуцера могут быть установлены на трубопроводах, принадлежащих непосредственно горелке, и на подводящих трубопроводах.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Во всех случаях штуцера располагают после последнего по ходу газа (воздуха) запорного или регулирующего органа.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Группу горелок допускается оснащать одним штуцером для измерения давления газа и одним штуцером для измерения давления воздуха.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Конструкция автоматических горелок должна обеспечивать возможность измерений: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давления газа за основным запорным органом и после последнего по ходу газа регулирующего органа горелки;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давление воздуха после последнего по ходу воздуха регулирующего или запорного органа.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Измерение давления газа допускается заменять измерением расхода газа.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3" w:name="sub_5013"/>
      <w:bookmarkEnd w:id="173"/>
      <w:r>
        <w:rPr>
          <w:rFonts w:cs="Arial" w:ascii="Arial" w:hAnsi="Arial"/>
          <w:sz w:val="20"/>
          <w:szCs w:val="20"/>
        </w:rPr>
        <w:t>5.13 На трубопроводе, подводящем газ к горелке или группе горелок, должен быть предусмотрен основной запорный топливный орган горелки, установленный на удобном для обслуживания месте и снабженный указателем положений "открыто" и "закрыто", если его конструкция не позволяет определить эти положения без указателя.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4" w:name="sub_5013"/>
      <w:bookmarkStart w:id="175" w:name="sub_5013"/>
      <w:bookmarkEnd w:id="17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6" w:name="sub_600"/>
      <w:bookmarkEnd w:id="176"/>
      <w:r>
        <w:rPr>
          <w:rFonts w:cs="Arial" w:ascii="Arial" w:hAnsi="Arial"/>
          <w:b/>
          <w:bCs/>
          <w:color w:val="000080"/>
          <w:sz w:val="20"/>
          <w:szCs w:val="20"/>
        </w:rPr>
        <w:t>6 Требования охраны окружающей среды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7" w:name="sub_600"/>
      <w:bookmarkStart w:id="178" w:name="sub_600"/>
      <w:bookmarkEnd w:id="17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9" w:name="sub_601"/>
      <w:bookmarkEnd w:id="179"/>
      <w:r>
        <w:rPr>
          <w:rFonts w:cs="Arial" w:ascii="Arial" w:hAnsi="Arial"/>
          <w:sz w:val="20"/>
          <w:szCs w:val="20"/>
        </w:rPr>
        <w:t>6.1 Концентрация оксида углерода в сухих продуктах сгорания, приведенная к альфа=1,0, не должна превышать значений, указанных в таблице 3, в диапазоне рабочего регулирования.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0" w:name="sub_601"/>
      <w:bookmarkStart w:id="181" w:name="sub_601"/>
      <w:bookmarkEnd w:id="18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82" w:name="sub_6013"/>
      <w:bookmarkEnd w:id="182"/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3" w:name="sub_6013"/>
      <w:bookmarkStart w:id="184" w:name="sub_6013"/>
      <w:bookmarkEnd w:id="18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┌────────────────┬─────────────────┬──────────────────┬─────────────────┐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5" w:name="sub_60130"/>
      <w:bookmarkEnd w:id="1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 работы │Место отбора проб│   Температура    │       СО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6" w:name="sub_60130"/>
      <w:bookmarkEnd w:id="18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(испытаний)   │                 │    продуктов     │ (альфа = 1,0)%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горелок     │                 │ сгорания, °С, не │       об.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│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├────────────────┼─────────────────┼──────────────────┼─────────────────┤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Газоиспользующая│На   выходе    из│       1400       │      0,05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установка       │камеры    горения│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(испытательный  │газоиспользующей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стенд)          │установки       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(испытательного 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стенда)         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├────────────────┼─────────────────┤                  ├─────────────────┤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Открытый воздух │В     контрольном│                  │      0,01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сечении        за│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видимой    длиной│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факела           │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└────────────────┴─────────────────┴──────────────────┴─────────────────┘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</w:t>
      </w:r>
      <w:r>
        <w:rPr>
          <w:rFonts w:cs="Arial" w:ascii="Arial" w:hAnsi="Arial"/>
          <w:sz w:val="20"/>
          <w:szCs w:val="20"/>
        </w:rPr>
        <w:t xml:space="preserve"> - Допускается определять место отбора проб на газоиспользующей установке (испытательном стенде) таким образом, чтобы при разбавлении продуктов сгорания воздухом, поступающим в газовый тракт установки вследствие присосов, концентрации компонентов смеси, образовавшейся в месте отбора пробы, не выходили за пределы порога чувствительности применяемого газоанализатора.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7" w:name="sub_6012"/>
      <w:bookmarkEnd w:id="187"/>
      <w:r>
        <w:rPr>
          <w:rFonts w:cs="Arial" w:ascii="Arial" w:hAnsi="Arial"/>
          <w:sz w:val="20"/>
          <w:szCs w:val="20"/>
        </w:rPr>
        <w:t>Концентрация оксида углерода в продуктах сгорания для горелок, предназначенных для соответствующих котлов, - по ГОСТ 10617; ГОСТ 20548; ГОСТ 28193, ГОСТ Р 50831.</w:t>
      </w:r>
    </w:p>
    <w:p>
      <w:pPr>
        <w:pStyle w:val="Normal"/>
        <w:autoSpaceDE w:val="false"/>
        <w:ind w:firstLine="720"/>
        <w:jc w:val="both"/>
        <w:rPr/>
      </w:pPr>
      <w:bookmarkStart w:id="188" w:name="sub_6012"/>
      <w:bookmarkStart w:id="189" w:name="sub_602"/>
      <w:bookmarkEnd w:id="188"/>
      <w:bookmarkEnd w:id="189"/>
      <w:r>
        <w:rPr>
          <w:rFonts w:cs="Arial" w:ascii="Arial" w:hAnsi="Arial"/>
          <w:sz w:val="20"/>
          <w:szCs w:val="20"/>
        </w:rPr>
        <w:t>6.2 Концентрация оксидов азота (NOx) в продуктах сгорания для горелок - по ГОСТ 10617, ГОСТ 20548, ГОСТ 28193; ГОСТ 28269, ГОСТ Р 50831, ГОСТ Р 50591</w:t>
      </w:r>
      <w:hyperlink w:anchor="sub_11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*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0" w:name="sub_602"/>
      <w:bookmarkStart w:id="191" w:name="sub_602"/>
      <w:bookmarkEnd w:id="19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92" w:name="sub_700"/>
      <w:bookmarkEnd w:id="192"/>
      <w:r>
        <w:rPr>
          <w:rFonts w:cs="Arial" w:ascii="Arial" w:hAnsi="Arial"/>
          <w:b/>
          <w:bCs/>
          <w:color w:val="000080"/>
          <w:sz w:val="20"/>
          <w:szCs w:val="20"/>
        </w:rPr>
        <w:t>7 Хранение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3" w:name="sub_700"/>
      <w:bookmarkStart w:id="194" w:name="sub_700"/>
      <w:bookmarkEnd w:id="19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5" w:name="sub_701"/>
      <w:bookmarkEnd w:id="195"/>
      <w:r>
        <w:rPr>
          <w:rFonts w:cs="Arial" w:ascii="Arial" w:hAnsi="Arial"/>
          <w:sz w:val="20"/>
          <w:szCs w:val="20"/>
        </w:rPr>
        <w:t>7.1 Горелки должны быть подвергнуты консервации - по ГОСТ 9.014.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6" w:name="sub_701"/>
      <w:bookmarkStart w:id="197" w:name="sub_702"/>
      <w:bookmarkEnd w:id="196"/>
      <w:bookmarkEnd w:id="197"/>
      <w:r>
        <w:rPr>
          <w:rFonts w:cs="Arial" w:ascii="Arial" w:hAnsi="Arial"/>
          <w:sz w:val="20"/>
          <w:szCs w:val="20"/>
        </w:rPr>
        <w:t>7.2 Автоматические и полуавтоматические горелки должны хранить в условиях 1(Л) - по ГОСТ 15150.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8" w:name="sub_702"/>
      <w:bookmarkEnd w:id="198"/>
      <w:r>
        <w:rPr>
          <w:rFonts w:cs="Arial" w:ascii="Arial" w:hAnsi="Arial"/>
          <w:sz w:val="20"/>
          <w:szCs w:val="20"/>
        </w:rPr>
        <w:t>Горелки без средств автоматизации допускается хранить в условиях 7(Ж1) - по ГОСТ 15150.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9" w:name="sub_1111"/>
      <w:bookmarkEnd w:id="199"/>
      <w:r>
        <w:rPr>
          <w:rFonts w:cs="Arial" w:ascii="Arial" w:hAnsi="Arial"/>
          <w:sz w:val="20"/>
          <w:szCs w:val="20"/>
        </w:rPr>
        <w:t>* Действует на территории Российской Федерации;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0" w:name="sub_1111"/>
      <w:bookmarkStart w:id="201" w:name="sub_11111"/>
      <w:bookmarkEnd w:id="200"/>
      <w:bookmarkEnd w:id="201"/>
      <w:r>
        <w:rPr>
          <w:rFonts w:cs="Arial" w:ascii="Arial" w:hAnsi="Arial"/>
          <w:sz w:val="20"/>
          <w:szCs w:val="20"/>
        </w:rPr>
        <w:t>** На территории Российской Федерации действует ГОСТ Р 51402-99.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2" w:name="sub_11111"/>
      <w:bookmarkStart w:id="203" w:name="sub_3333"/>
      <w:bookmarkEnd w:id="202"/>
      <w:bookmarkEnd w:id="203"/>
      <w:r>
        <w:rPr>
          <w:rFonts w:cs="Arial" w:ascii="Arial" w:hAnsi="Arial"/>
          <w:sz w:val="20"/>
          <w:szCs w:val="20"/>
        </w:rPr>
        <w:t>*** На территории Российской Федерации действует ГОСТ 20548-87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4" w:name="sub_3333"/>
      <w:bookmarkStart w:id="205" w:name="sub_3333"/>
      <w:bookmarkEnd w:id="20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06" w:name="sub_1000"/>
      <w:bookmarkEnd w:id="206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 А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07" w:name="sub_1000"/>
      <w:bookmarkEnd w:id="207"/>
      <w:r>
        <w:rPr>
          <w:rFonts w:cs="Arial" w:ascii="Arial" w:hAnsi="Arial"/>
          <w:b/>
          <w:bCs/>
          <w:color w:val="000080"/>
          <w:sz w:val="20"/>
          <w:szCs w:val="20"/>
        </w:rPr>
        <w:t>(справочное)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 А.1 - Классификация газовых промышленных горелок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8" w:name="sub_1001"/>
      <w:bookmarkEnd w:id="20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Классификационный   │Характеристика классификационного признака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9" w:name="sub_1001"/>
      <w:bookmarkEnd w:id="20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признак      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подачи       │Подача воздуха за счет свободной конвекции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компонентов         ├──────────────────────────────────────────────────┤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Подача  воздуха  за  счет  разрежения  в   рабочем│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пространстве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├──────────────────────────────────────────────────┤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Инжекция воздуха газом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├──────────────────────────────────────────────────┤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Принудительная подача  воздуха  за  счет  давления│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газа (турбинные горелки)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├──────────────────────────────────────────────────┤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Принудительная  подача  воздуха  от   постороннего│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источника: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дутьевые горелки с невстроенным вентилятором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дутьевые   горелки   с   встроенным   вентилятором│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(блочные)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инжекция газа воздухом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├──────────────────────────────────────────────────┤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Принудительная  подача  газовоздушной     смеси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постороннего источника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Степень подготовки  │Без предварительного смешения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горючей смеси       ├──────────────────────────────────────────────────┤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частичной подачей первичного воздуха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├──────────────────────────────────────────────────┤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неполным предварительным смещением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├──────────────────────────────────────────────────┤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полным предварительным смешением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Скорость   продуктов│До 20 (низкая)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 на  выходе├──────────────────────────────────────────────────┤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горелки, м/с     │Св. 20 до 70 (средняя)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├──────────────────────────────────────────────────┤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70 (высокая, скоростные горелки)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Характер потока,    │Прямоточный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истекающего из      ├──────────────────────────────────────────────────┤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горелки             │Закрученный неразомкнутый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├──────────────────────────────────────────────────┤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Закрученный разомкнутый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Номинальное давление│До 5000 (низкое)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газа перед горелкой,├──────────────────────────────────────────────────┤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                  │Среднее давление (до критического перепада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давлений)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├──────────────────────────────────────────────────┤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Высокое давление (критический и сверхкритический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перепад давлений)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Возможность         │С нерегулируемыми характеристиками факела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регулирования       ├──────────────────────────────────────────────────┤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характеристик факела│С регулируемыми характеристиками факела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Необходимость       │С нерегулируемым (минимальным или оптимальным)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регулирования       │коэффициентом избытка воздуха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коэффициента избытка├──────────────────────────────────────────────────┤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воздуха             │С регулируемым (переменным или повышенным)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коэффициентом избытка воздуха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Локализация зоны    │В огнеупорном туннеле или в камере горения горелки│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горения             │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├──────────────────────────────────────────────────┤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поверхности катализатора, в слое катализатора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├──────────────────────────────────────────────────┤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зернистой огнеупорной массе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├──────────────────────────────────────────────────┤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керамических или металлических насадках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├──────────────────────────────────────────────────┤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камере горения агрегата или в открытом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пространстве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Возможность         │Без подогрева воздуха и газа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использования тепла ├──────────────────────────────────────────────────┤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продуктов сгорания  │С подогревом в автономном рекуператоре или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регенераторе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├──────────────────────────────────────────────────┤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подогревом воздуха во встроенном рекуператоре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регенераторе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├──────────────────────────────────────────────────┤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подогревом воздуха и газа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Степень             │С ручным управлением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автоматизации       ├──────────────────────────────────────────────────┤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Полуавтоматические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├──────────────────────────────────────────────────┤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Автоматические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├────────────────────┴──────────────────────────────────────────────────┤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Примечание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- Настоящую классификацию следует применять при  составлении│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технического задания, анализе состояния газогорелочного парка, а  также│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технической, учебной и справочной литературе.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10" w:name="sub_2000"/>
      <w:bookmarkEnd w:id="210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 Б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11" w:name="sub_2000"/>
      <w:bookmarkEnd w:id="211"/>
      <w:r>
        <w:rPr>
          <w:rFonts w:cs="Arial" w:ascii="Arial" w:hAnsi="Arial"/>
          <w:b/>
          <w:bCs/>
          <w:color w:val="000080"/>
          <w:sz w:val="20"/>
          <w:szCs w:val="20"/>
        </w:rPr>
        <w:t>(обязательное)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Методы установления шумовых характеристик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Значения ПДШХ, устанавливаемых в октавных уровнях звукового давления, определяют по формулам: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работе горелок в стенде (тепловом агрегате)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L  = L  - Дельта L;                                 (Б.1)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pl   l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работе горелок на открытом воздухе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</w:t>
      </w:r>
      <w:r>
        <w:rPr>
          <w:rFonts w:cs="Courier New" w:ascii="Courier New" w:hAnsi="Courier New"/>
          <w:sz w:val="20"/>
          <w:szCs w:val="20"/>
          <w:lang w:val="en-US" w:eastAsia="ru-RU"/>
        </w:rPr>
        <w:t>S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eastAsia="Courier New" w:cs="Courier New" w:ascii="Courier New" w:hAnsi="Courier New"/>
          <w:sz w:val="20"/>
          <w:szCs w:val="20"/>
          <w:lang w:val="en-US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en-US" w:eastAsia="ru-RU"/>
        </w:rPr>
        <w:t xml:space="preserve">L  = L + 10 lg ─── -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Дельта</w:t>
      </w:r>
      <w:r>
        <w:rPr>
          <w:rFonts w:cs="Courier New" w:ascii="Courier New" w:hAnsi="Courier New"/>
          <w:sz w:val="20"/>
          <w:szCs w:val="20"/>
          <w:lang w:val="en-US" w:eastAsia="ru-RU"/>
        </w:rPr>
        <w:t xml:space="preserve"> L,                      (</w:t>
      </w:r>
      <w:r>
        <w:rPr>
          <w:rFonts w:cs="Courier New" w:ascii="Courier New" w:hAnsi="Courier New"/>
          <w:sz w:val="20"/>
          <w:szCs w:val="20"/>
          <w:lang w:val="ru-RU" w:eastAsia="ru-RU"/>
        </w:rPr>
        <w:t>Б</w:t>
      </w:r>
      <w:r>
        <w:rPr>
          <w:rFonts w:cs="Courier New" w:ascii="Courier New" w:hAnsi="Courier New"/>
          <w:sz w:val="20"/>
          <w:szCs w:val="20"/>
          <w:lang w:val="en-US" w:eastAsia="ru-RU"/>
        </w:rPr>
        <w:t>.2)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en-US" w:eastAsia="ru-RU"/>
        </w:rPr>
        <w:t xml:space="preserve">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pl   l         S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 L   - уровень звукового давления в i-и октаве  или  уровень  звука  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pl   шкале А, принимаемый в качестве значения ПДШХ, дБ (дБА);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L  - предельно  допустимый уровень звукового давления в i-й  октаве,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l   уровень звука или эквивалентный уровень звука на рабочем месте,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дБ (дБА) (</w:t>
      </w:r>
      <w:hyperlink w:anchor="sub_2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Б.1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). Эквивалентный уровень звука  определяют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ГОСТ 12.1.003;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S  - площадь измеряемой поверхности, находящейся на расстоянии   1 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наружного контура горелки, м2;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S  - параметр, равный 1 м2;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Дельта L - поправка на групповую  установку   горелок    в   типовых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условиях эксплуатации, дБ (</w:t>
      </w:r>
      <w:hyperlink w:anchor="sub_2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таблица Б.2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bookmarkStart w:id="212" w:name="sub_2001"/>
      <w:bookmarkEnd w:id="212"/>
      <w:r>
        <w:rPr>
          <w:rFonts w:cs="Arial" w:ascii="Arial" w:hAnsi="Arial"/>
          <w:b/>
          <w:bCs/>
          <w:color w:val="000080"/>
          <w:sz w:val="20"/>
          <w:szCs w:val="20"/>
        </w:rPr>
        <w:t>Таблица Б. 1 - Допустимые уровни звукового давления и уровни звука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3" w:name="sub_2001"/>
      <w:bookmarkStart w:id="214" w:name="sub_2001"/>
      <w:bookmarkEnd w:id="21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Уровни звукового давления, дБ, в октавных полосах со    │ Уровень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среднегеометрическими частотами, Гц             │ звука и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эквивален-│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тный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уровень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звука, дБА│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├─────┬──────┬──────┬─────┬──────┬──────┬──────┬──────┬──────┼──────────┤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31,5 │  63  │ 125  │ 250 │ 500  │ 1000 │ 2000 │ 4000 │ 8000 │    80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├─────┼──────┼──────┼─────┼──────┼──────┼──────┼──────┼──────┼──────────┤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107 │  95  │  87  │ 82  │  78  │  75  │  73  │  71  │  69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└─────┴──────┴──────┴─────┴──────┴──────┴──────┴──────┴──────┴──────────┘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bookmarkStart w:id="215" w:name="sub_2002"/>
      <w:bookmarkEnd w:id="215"/>
      <w:r>
        <w:rPr>
          <w:rFonts w:cs="Arial" w:ascii="Arial" w:hAnsi="Arial"/>
          <w:b/>
          <w:bCs/>
          <w:color w:val="000080"/>
          <w:sz w:val="20"/>
          <w:szCs w:val="20"/>
        </w:rPr>
        <w:t>Таблица Б.2 - Значения поправки Дельта L на групповую установку горелок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6" w:name="sub_2002"/>
      <w:bookmarkStart w:id="217" w:name="sub_2002"/>
      <w:bookmarkEnd w:id="21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┌────┬──────────────────────────────────────────────────────────────────┐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Рас-│             Поправка Дельта L, дБ, при числе горелок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сто-│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яние│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меж-│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 │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го- │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рел-│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ками│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, м │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│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├────┼─────┬────┬────┬─────┬──────┬─────┬──────┬─────┬──────┬─────┬─────┤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│ 2  │ 3  │  4  │  5   │  6  │  7   │  8  │  9   │ 10  │ 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├────┼─────┼────┼────┼─────┼──────┴─────┼──────┴─────┴──────┼─────┴─────┤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0,25│  0  │ 3  │ 5  │  6  │     7      │         8         │     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├────┼─────┼────┼────┼─────┼────────────┴──────┬────────────┴───────────┤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0,5 │     │    │ 4  │  5  │         6         │           7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├────┼─────┼────┼────┴─────┼───────────────────┴──────────────────┬─────┤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0,75│     │ 2  │    4     │                  5                   │  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├────┼─────┼────┼──────────┼──────────────────────────────────────┼─────┤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1,0 │     │    │    3     │                  4                   │  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└────┴─────┴────┴──────────┴──────────────────────────────────────┴─────┘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2007-02-05T15:41:00Z</dcterms:created>
  <dc:creator>Виктор</dc:creator>
  <dc:description/>
  <dc:language>ru-RU</dc:language>
  <cp:lastModifiedBy>Виктор</cp:lastModifiedBy>
  <dcterms:modified xsi:type="dcterms:W3CDTF">2007-02-05T15:41:00Z</dcterms:modified>
  <cp:revision>2</cp:revision>
  <dc:subject/>
  <dc:title/>
</cp:coreProperties>
</file>