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Союза ССР ГОСТ 21.113-88 (СТ СЭВ 6073-87)</w:t>
        <w:br/>
        <w:t>"Система проектной документации для строительства.</w:t>
        <w:br/>
        <w:t>Обозначения характеристик точности"</w:t>
        <w:br/>
        <w:t>(введен постановлением Госстроя СССР от 12 сентября 1988 г. N 186)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System of design documentation for construction.of dimensional accuracy data.</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января 1989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правила обозначения характеристик точности геометрических параметров зданий, сооружений и их элементов на строительных чертежах.</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чертежи сооружений, при определении характеристик точности размеров которых необходимо учитывать искривление поверхности земли.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Характеристики точности, установленные в соответствии с требованиями ГОСТ 21778-81, указывают для геометрических параметров, подлежащих контролю точности.</w:t>
      </w:r>
    </w:p>
    <w:p>
      <w:pPr>
        <w:pStyle w:val="Normal"/>
        <w:autoSpaceDE w:val="false"/>
        <w:ind w:firstLine="720"/>
        <w:jc w:val="both"/>
        <w:rPr>
          <w:rFonts w:ascii="Arial" w:hAnsi="Arial" w:cs="Arial"/>
          <w:sz w:val="20"/>
          <w:szCs w:val="20"/>
        </w:rPr>
      </w:pPr>
      <w:r>
        <w:rPr>
          <w:rFonts w:cs="Arial" w:ascii="Arial" w:hAnsi="Arial"/>
          <w:sz w:val="20"/>
          <w:szCs w:val="20"/>
        </w:rPr>
        <w:t>1.2. Характеристики точности, которые должны быть приведены один раз для одного параметра, указывают непосредственно на изображениях, а характеристики точности, относящиеся к повторяющемуся параметру, указывают в технических требованиях на чертежах.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Обозначение характеристик точности</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21"/>
      <w:bookmarkEnd w:id="6"/>
      <w:r>
        <w:rPr>
          <w:rFonts w:cs="Arial" w:ascii="Arial" w:hAnsi="Arial"/>
          <w:sz w:val="20"/>
          <w:szCs w:val="20"/>
        </w:rPr>
        <w:t>2.1. Характеристики точности линейных и угловых размеров указывают числовыми значениями предельных отклонений в соответствии с требованиями ГОСТ 2.307-68.</w:t>
      </w:r>
    </w:p>
    <w:p>
      <w:pPr>
        <w:pStyle w:val="Normal"/>
        <w:autoSpaceDE w:val="false"/>
        <w:ind w:firstLine="720"/>
        <w:jc w:val="both"/>
        <w:rPr>
          <w:rFonts w:ascii="Arial" w:hAnsi="Arial" w:cs="Arial"/>
          <w:sz w:val="20"/>
          <w:szCs w:val="20"/>
        </w:rPr>
      </w:pPr>
      <w:bookmarkStart w:id="7" w:name="sub_21"/>
      <w:bookmarkStart w:id="8" w:name="sub_22"/>
      <w:bookmarkEnd w:id="7"/>
      <w:bookmarkEnd w:id="8"/>
      <w:r>
        <w:rPr>
          <w:rFonts w:cs="Arial" w:ascii="Arial" w:hAnsi="Arial"/>
          <w:sz w:val="20"/>
          <w:szCs w:val="20"/>
        </w:rPr>
        <w:t>2.2. Характеристики точности ориентации (взаимного положения) поверхностей (например, их точек, линий, ребер, граней) одного или двух элементов либо элемента относительно заданного направления указывают числовыми значениями допусков или предельных отклонений с условными обозначениями по табл.1.</w:t>
      </w:r>
    </w:p>
    <w:p>
      <w:pPr>
        <w:pStyle w:val="Normal"/>
        <w:autoSpaceDE w:val="false"/>
        <w:ind w:firstLine="720"/>
        <w:jc w:val="both"/>
        <w:rPr>
          <w:rFonts w:ascii="Arial" w:hAnsi="Arial" w:cs="Arial"/>
          <w:sz w:val="20"/>
          <w:szCs w:val="20"/>
        </w:rPr>
      </w:pPr>
      <w:bookmarkStart w:id="9" w:name="sub_22"/>
      <w:bookmarkEnd w:id="9"/>
      <w:r>
        <w:rPr>
          <w:rFonts w:cs="Arial" w:ascii="Arial" w:hAnsi="Arial"/>
          <w:sz w:val="20"/>
          <w:szCs w:val="20"/>
        </w:rPr>
        <w:drawing>
          <wp:inline distT="0" distB="0" distL="0" distR="0">
            <wp:extent cx="571944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7194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Характеристики точности формы профиля или поверхности строительных элементов и конструкций указывают числовыми значениями допусков или предельных отклонений с условными обозначениями по табл.2.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72211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7221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Характеристики точности высотного положения и положения в плане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отклонений от номинального значения геометрического параметра, определяющего расстояние между элементом и базой в соответствии с черт.1.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86867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8686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2.5. Графическое оформление на чертежах обозначений характеристик точности геометрических параметров по </w:t>
      </w:r>
      <w:hyperlink w:anchor="sub_22">
        <w:r>
          <w:rPr>
            <w:rStyle w:val="Style15"/>
            <w:rFonts w:cs="Arial" w:ascii="Arial" w:hAnsi="Arial"/>
            <w:color w:val="008000"/>
            <w:sz w:val="20"/>
            <w:szCs w:val="20"/>
            <w:u w:val="single"/>
          </w:rPr>
          <w:t>пп.2.2 - 2.4</w:t>
        </w:r>
      </w:hyperlink>
      <w:r>
        <w:rPr>
          <w:rFonts w:cs="Arial" w:ascii="Arial" w:hAnsi="Arial"/>
          <w:sz w:val="20"/>
          <w:szCs w:val="20"/>
        </w:rPr>
        <w:t xml:space="preserve"> (например, рамки допусков, соединительные линии, значения допусков или предельных отклонений, базы) должно соответствовать ГОСТ 2.308-79.</w:t>
      </w:r>
    </w:p>
    <w:p>
      <w:pPr>
        <w:pStyle w:val="Normal"/>
        <w:autoSpaceDE w:val="false"/>
        <w:ind w:firstLine="720"/>
        <w:jc w:val="both"/>
        <w:rPr>
          <w:rFonts w:ascii="Arial" w:hAnsi="Arial" w:cs="Arial"/>
          <w:sz w:val="20"/>
          <w:szCs w:val="20"/>
        </w:rPr>
      </w:pPr>
      <w:r>
        <w:rPr>
          <w:rFonts w:cs="Arial" w:ascii="Arial" w:hAnsi="Arial"/>
          <w:sz w:val="20"/>
          <w:szCs w:val="20"/>
        </w:rPr>
        <w:t>При обозначении на чертежах характеристик точности установки элементов (в табл.1 - совмещение ориентиров, совпадение поверхностей) базы не указывают.</w:t>
      </w:r>
    </w:p>
    <w:p>
      <w:pPr>
        <w:pStyle w:val="Normal"/>
        <w:autoSpaceDE w:val="false"/>
        <w:ind w:firstLine="720"/>
        <w:jc w:val="both"/>
        <w:rPr/>
      </w:pPr>
      <w:r>
        <w:rPr>
          <w:rFonts w:cs="Arial" w:ascii="Arial" w:hAnsi="Arial"/>
          <w:sz w:val="20"/>
          <w:szCs w:val="20"/>
        </w:rPr>
        <w:t>2.6. Обозначение и числовое значение характеристики точности, относящейся к поверхности элемента, ограниченной контуром, указывают в рамке согласно черт.2, направляющая линия должна заканчиваться точкой внутри контура поверхности.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47129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14712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2.7. Характеристики точности ориентации двух граней или поверхностей элементов в случаях, когда ни одна из них не является базой, указывают в рамке с соединительной линией, заканчивающейся стрелками (черт.3). Если нет специальных указаний, требование распространяется на всю длину элементов.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38568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73856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 При необходимости указания на чертеже технологического процесса, к которому относятся характеристики точности геометрического параметра, в том числе функционального, следует применять следующие буквенные обозначения:</w:t>
      </w:r>
    </w:p>
    <w:p>
      <w:pPr>
        <w:pStyle w:val="Normal"/>
        <w:autoSpaceDE w:val="false"/>
        <w:ind w:firstLine="720"/>
        <w:jc w:val="both"/>
        <w:rPr>
          <w:rFonts w:ascii="Arial" w:hAnsi="Arial" w:cs="Arial"/>
          <w:sz w:val="20"/>
          <w:szCs w:val="20"/>
        </w:rPr>
      </w:pPr>
      <w:r>
        <w:rPr>
          <w:rFonts w:cs="Arial" w:ascii="Arial" w:hAnsi="Arial"/>
          <w:sz w:val="20"/>
          <w:szCs w:val="20"/>
        </w:rPr>
        <w:t>М - процесс изготовления элементов;</w:t>
      </w:r>
    </w:p>
    <w:p>
      <w:pPr>
        <w:pStyle w:val="Normal"/>
        <w:autoSpaceDE w:val="false"/>
        <w:ind w:firstLine="720"/>
        <w:jc w:val="both"/>
        <w:rPr>
          <w:rFonts w:ascii="Arial" w:hAnsi="Arial" w:cs="Arial"/>
          <w:sz w:val="20"/>
          <w:szCs w:val="20"/>
        </w:rPr>
      </w:pPr>
      <w:r>
        <w:rPr>
          <w:rFonts w:cs="Arial" w:ascii="Arial" w:hAnsi="Arial"/>
          <w:sz w:val="20"/>
          <w:szCs w:val="20"/>
        </w:rPr>
        <w:t>S - процесс разбивки;</w:t>
      </w:r>
    </w:p>
    <w:p>
      <w:pPr>
        <w:pStyle w:val="Normal"/>
        <w:autoSpaceDE w:val="false"/>
        <w:ind w:firstLine="720"/>
        <w:jc w:val="both"/>
        <w:rPr>
          <w:rFonts w:ascii="Arial" w:hAnsi="Arial" w:cs="Arial"/>
          <w:sz w:val="20"/>
          <w:szCs w:val="20"/>
        </w:rPr>
      </w:pPr>
      <w:r>
        <w:rPr>
          <w:rFonts w:cs="Arial" w:ascii="Arial" w:hAnsi="Arial"/>
          <w:sz w:val="20"/>
          <w:szCs w:val="20"/>
        </w:rPr>
        <w:t>Е - процесс установки элементов;</w:t>
      </w:r>
    </w:p>
    <w:p>
      <w:pPr>
        <w:pStyle w:val="Normal"/>
        <w:autoSpaceDE w:val="false"/>
        <w:ind w:firstLine="720"/>
        <w:jc w:val="both"/>
        <w:rPr>
          <w:rFonts w:ascii="Arial" w:hAnsi="Arial" w:cs="Arial"/>
          <w:sz w:val="20"/>
          <w:szCs w:val="20"/>
        </w:rPr>
      </w:pPr>
      <w:r>
        <w:rPr>
          <w:rFonts w:cs="Arial" w:ascii="Arial" w:hAnsi="Arial"/>
          <w:sz w:val="20"/>
          <w:szCs w:val="20"/>
        </w:rPr>
        <w:t>В - функциональный геометрический параметр.</w:t>
      </w:r>
    </w:p>
    <w:p>
      <w:pPr>
        <w:pStyle w:val="Normal"/>
        <w:autoSpaceDE w:val="false"/>
        <w:ind w:firstLine="720"/>
        <w:jc w:val="both"/>
        <w:rPr>
          <w:rFonts w:ascii="Arial" w:hAnsi="Arial" w:cs="Arial"/>
          <w:sz w:val="20"/>
          <w:szCs w:val="20"/>
        </w:rPr>
      </w:pPr>
      <w:r>
        <w:rPr>
          <w:rFonts w:cs="Arial" w:ascii="Arial" w:hAnsi="Arial"/>
          <w:sz w:val="20"/>
          <w:szCs w:val="20"/>
        </w:rPr>
        <w:t>Буквенное обозначение вписывают в дополнительную рамку, помещаемую слева от рамки, в которой указывают допуски или предельные отклонения.</w:t>
      </w:r>
    </w:p>
    <w:p>
      <w:pPr>
        <w:pStyle w:val="Normal"/>
        <w:autoSpaceDE w:val="false"/>
        <w:ind w:firstLine="720"/>
        <w:jc w:val="both"/>
        <w:rPr/>
      </w:pPr>
      <w:r>
        <w:rPr>
          <w:rFonts w:cs="Arial" w:ascii="Arial" w:hAnsi="Arial"/>
          <w:sz w:val="20"/>
          <w:szCs w:val="20"/>
        </w:rPr>
        <w:t xml:space="preserve">Если буквенное обозначение относится к геометрическому параметру по </w:t>
      </w:r>
      <w:hyperlink w:anchor="sub_21">
        <w:r>
          <w:rPr>
            <w:rStyle w:val="Style15"/>
            <w:rFonts w:cs="Arial" w:ascii="Arial" w:hAnsi="Arial"/>
            <w:color w:val="008000"/>
            <w:sz w:val="20"/>
            <w:szCs w:val="20"/>
            <w:u w:val="single"/>
          </w:rPr>
          <w:t>п.2.1</w:t>
        </w:r>
      </w:hyperlink>
      <w:r>
        <w:rPr>
          <w:rFonts w:cs="Arial" w:ascii="Arial" w:hAnsi="Arial"/>
          <w:sz w:val="20"/>
          <w:szCs w:val="20"/>
        </w:rPr>
        <w:t>, оно приставляется непосредственно за предельным отклонением (например, 6000 +- 6 S).</w:t>
      </w:r>
    </w:p>
    <w:p>
      <w:pPr>
        <w:pStyle w:val="Normal"/>
        <w:autoSpaceDE w:val="false"/>
        <w:ind w:firstLine="720"/>
        <w:jc w:val="both"/>
        <w:rPr>
          <w:rFonts w:ascii="Arial" w:hAnsi="Arial" w:cs="Arial"/>
          <w:sz w:val="20"/>
          <w:szCs w:val="20"/>
        </w:rPr>
      </w:pPr>
      <w:r>
        <w:rPr>
          <w:rFonts w:cs="Arial" w:ascii="Arial" w:hAnsi="Arial"/>
          <w:sz w:val="20"/>
          <w:szCs w:val="20"/>
        </w:rPr>
        <w:t>2.9. При обозначении на чертежах характеристик точности установки элементов следует указывать монтажные ориентиры.</w:t>
      </w:r>
    </w:p>
    <w:p>
      <w:pPr>
        <w:pStyle w:val="Normal"/>
        <w:autoSpaceDE w:val="false"/>
        <w:ind w:firstLine="720"/>
        <w:jc w:val="both"/>
        <w:rPr>
          <w:rFonts w:ascii="Arial" w:hAnsi="Arial" w:cs="Arial"/>
          <w:sz w:val="20"/>
          <w:szCs w:val="20"/>
        </w:rPr>
      </w:pPr>
      <w:r>
        <w:rPr>
          <w:rFonts w:cs="Arial" w:ascii="Arial" w:hAnsi="Arial"/>
          <w:sz w:val="20"/>
          <w:szCs w:val="20"/>
        </w:rPr>
        <w:t>Ориентиры обозначают:</w:t>
      </w:r>
    </w:p>
    <w:p>
      <w:pPr>
        <w:pStyle w:val="Normal"/>
        <w:autoSpaceDE w:val="false"/>
        <w:ind w:firstLine="720"/>
        <w:jc w:val="both"/>
        <w:rPr>
          <w:rFonts w:ascii="Arial" w:hAnsi="Arial" w:cs="Arial"/>
          <w:sz w:val="20"/>
          <w:szCs w:val="20"/>
        </w:rPr>
      </w:pPr>
      <w:r>
        <w:rPr>
          <w:rFonts w:cs="Arial" w:ascii="Arial" w:hAnsi="Arial"/>
          <w:sz w:val="20"/>
          <w:szCs w:val="20"/>
        </w:rPr>
        <w:t>1) зачерненным треугольником на монтажном горизонте или ранее установленном элементе.</w:t>
      </w:r>
    </w:p>
    <w:p>
      <w:pPr>
        <w:pStyle w:val="Normal"/>
        <w:autoSpaceDE w:val="false"/>
        <w:ind w:firstLine="720"/>
        <w:jc w:val="both"/>
        <w:rPr>
          <w:rFonts w:ascii="Arial" w:hAnsi="Arial" w:cs="Arial"/>
          <w:sz w:val="20"/>
          <w:szCs w:val="20"/>
        </w:rPr>
      </w:pPr>
      <w:r>
        <w:rPr>
          <w:rFonts w:cs="Arial" w:ascii="Arial" w:hAnsi="Arial"/>
          <w:sz w:val="20"/>
          <w:szCs w:val="20"/>
        </w:rPr>
        <w:t>На разрезе ориентир для установки элемента в плане помещают под линией монтажного горизонта вершиной вверх (черт.4); ориентир для установки элемента по высоте показывают направленным по горизонтали (черт.5).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24891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52489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4"</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595312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59531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плане ориентир помещают симметрично линии (оси, грани элемента), относительно которой выполняется установка (черт.6);</w:t>
      </w:r>
    </w:p>
    <w:p>
      <w:pPr>
        <w:pStyle w:val="Normal"/>
        <w:autoSpaceDE w:val="false"/>
        <w:ind w:firstLine="720"/>
        <w:jc w:val="both"/>
        <w:rPr>
          <w:rFonts w:ascii="Arial" w:hAnsi="Arial" w:cs="Arial"/>
          <w:sz w:val="20"/>
          <w:szCs w:val="20"/>
        </w:rPr>
      </w:pPr>
      <w:r>
        <w:rPr>
          <w:rFonts w:cs="Arial" w:ascii="Arial" w:hAnsi="Arial"/>
          <w:sz w:val="20"/>
          <w:szCs w:val="20"/>
        </w:rPr>
        <w:t>2) незачерненным треугольником на устанавливаемом элементе. Этот ориентир помещают симметрично на линии (оси) или грани устанавливаемого элемента.</w:t>
      </w:r>
    </w:p>
    <w:p>
      <w:pPr>
        <w:pStyle w:val="Normal"/>
        <w:autoSpaceDE w:val="false"/>
        <w:ind w:firstLine="720"/>
        <w:jc w:val="both"/>
        <w:rPr>
          <w:rFonts w:ascii="Arial" w:hAnsi="Arial" w:cs="Arial"/>
          <w:sz w:val="20"/>
          <w:szCs w:val="20"/>
        </w:rPr>
      </w:pPr>
      <w:r>
        <w:rPr>
          <w:rFonts w:cs="Arial" w:ascii="Arial" w:hAnsi="Arial"/>
          <w:sz w:val="20"/>
          <w:szCs w:val="20"/>
        </w:rPr>
        <w:t>При этом вершины каждой пары треугольников должны быть направлены друг к другу.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1279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3127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Ссылочные нормативно-технические документы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НТД, на который дана ссылка │        Номер пункта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2.307-68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2.308-79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21778-81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аблицы (моноширинный)"/>
    <w:basedOn w:val="Normal"/>
    <w:next w:val="Normal"/>
    <w:qFormat/>
    <w:pPr>
      <w:autoSpaceDE w:val="false"/>
      <w:jc w:val="both"/>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2007-02-05T21:04:00Z</dcterms:created>
  <dc:creator>Виктор</dc:creator>
  <dc:description/>
  <dc:language>ru-RU</dc:language>
  <cp:lastModifiedBy>Виктор</cp:lastModifiedBy>
  <dcterms:modified xsi:type="dcterms:W3CDTF">2007-02-05T21:04:00Z</dcterms:modified>
  <cp:revision>2</cp:revision>
  <dc:subject/>
  <dc:title/>
</cp:coreProperties>
</file>