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18108-80</w:t>
        <w:br/>
        <w:t>"Линолеум поливинилхлоридный на теплозвукоизолирующей подоснове.</w:t>
        <w:br/>
        <w:t>Технические условия"</w:t>
        <w:br/>
        <w:t>(утв. постановлением Госстроя СССР от 25 июля 1980 г. N 115)</w:t>
        <w:br/>
        <w:t>(с изменениями от 18 мая 1999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Polyvinylchloride linoleum with heat-and sound insulating backing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18108-72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Классификация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Указания по применению 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линолеум поливинилхлоридный на теплозвукоизолирующей подоснове.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Линолеум изготавливают вальцово-каландровым, экструзионным, промазным и контактно-промазным способами из смеси поливинилхлорида, наполнителей, пластификаторов, пигментов и различных технологических добавок с последующим дублированием поливинилхлоридной пленкой и подосновой.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Линолеум предназначается для устройства полов в помещениях жилых зданий. Допускается применение линолеума в помещениях общественных и производственных зданий при отсутствии интенсивного движения и воздействия абразивных материалов, жиров, масел и воды.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за исключением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1.1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Классификация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 зависимости от способа производства и структуры полимерного слоя линолеум подразделяют на шесть типов: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End w:id="4"/>
      <w:r>
        <w:rPr>
          <w:rFonts w:cs="Arial" w:ascii="Arial" w:hAnsi="Arial"/>
          <w:b/>
          <w:bCs/>
          <w:sz w:val="20"/>
          <w:szCs w:val="20"/>
        </w:rPr>
        <w:t>ВК</w:t>
      </w:r>
      <w:r>
        <w:rPr>
          <w:rFonts w:cs="Arial" w:ascii="Arial" w:hAnsi="Arial"/>
          <w:sz w:val="20"/>
          <w:szCs w:val="20"/>
        </w:rPr>
        <w:t xml:space="preserve"> - вальцово-каландровый без лицевого защитного слоя;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ВКП</w:t>
      </w:r>
      <w:r>
        <w:rPr>
          <w:rFonts w:cs="Arial" w:ascii="Arial" w:hAnsi="Arial"/>
          <w:sz w:val="20"/>
          <w:szCs w:val="20"/>
        </w:rPr>
        <w:t xml:space="preserve"> - то же с лицевым защитным слоем из поливинилхлоридной пленки;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ЭК</w:t>
      </w:r>
      <w:r>
        <w:rPr>
          <w:rFonts w:cs="Arial" w:ascii="Arial" w:hAnsi="Arial"/>
          <w:sz w:val="20"/>
          <w:szCs w:val="20"/>
        </w:rPr>
        <w:t xml:space="preserve"> - экструзионный без лицевого защитного слоя;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ЭКП</w:t>
      </w:r>
      <w:r>
        <w:rPr>
          <w:rFonts w:cs="Arial" w:ascii="Arial" w:hAnsi="Arial"/>
          <w:sz w:val="20"/>
          <w:szCs w:val="20"/>
        </w:rPr>
        <w:t xml:space="preserve"> - то же с лицевым защитным слоем из поливинилхлоридной пленки;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ПРЗ</w:t>
      </w:r>
      <w:r>
        <w:rPr>
          <w:rFonts w:cs="Arial" w:ascii="Arial" w:hAnsi="Arial"/>
          <w:sz w:val="20"/>
          <w:szCs w:val="20"/>
        </w:rPr>
        <w:t xml:space="preserve"> - промазной с печатным рисунком, защищенным прозрачным поливинилхлоридным слоем;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ПРП</w:t>
      </w:r>
      <w:r>
        <w:rPr>
          <w:rFonts w:cs="Arial" w:ascii="Arial" w:hAnsi="Arial"/>
          <w:sz w:val="20"/>
          <w:szCs w:val="20"/>
        </w:rPr>
        <w:t xml:space="preserve"> - контактно-промазной с лицевым защитным слоем из поливинилхлоридной пленки.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Номинальные размеры линолеума в рулоне и предельные отклонения от номинальных размеров должны соответствовать указанным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0"/>
      <w:bookmarkEnd w:id="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0"/>
      <w:bookmarkStart w:id="7" w:name="sub_10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│Номинальные размеры, │Предельные отклонения│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│   от номинальных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размеров, мм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│     12000-24000     │        +-100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│      1200-2000      │        +-20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общая, не менее    │        3,60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полимерного слоя   │        1,20         │        +-0,20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типов ВК, ВКП, ЭК, ЭКП │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├───────────────────────────┴─────────────────────┴─────────────────────┤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Допускается по  согласованию  с  потребителем  изготовление│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линолеума  других  номинальных   размеров   с   теми   же   предельными│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отклонениями от них.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партии не допускается более 10% составных рулонов.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одном рулоне не допускается более двух полотен при длине меньшего из них менее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Составные рулоны в местах стыковки полотен должны быть помечены бумажными сигналами или иметь соответствующую запись на этикетке. Поставка составных рулонов в торговую сеть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Условное обозначение линолеума должно состоять из слов "Линолеум ПВХ", типа, разделенных дефисом, и 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условного обозначения линолеума типа ПРП: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Линолеум ПВХ-ПРП ГОСТ 18108-80.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200"/>
      <w:bookmarkEnd w:id="8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200"/>
      <w:bookmarkStart w:id="10" w:name="sub_2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Линолеум изготавливают в соответствии с требованиями настоящего стандарта по технологическому регламенту, утвержденному предприятием-изготовителем.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Кромки линолеума должны быть параллельными, не иметь заусенцев и щербин. Отклонение от параллельности кромок не должно превышать +-3 мм на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изготовление линолеума с необрезанными кромками.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Линолеум следует изготовлять одно- и многоцветным (мраморовидным или с печатным рисунком) с гладкой или тисненой лицевой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Цвет, рисунок и фактура лицевой поверхности линолеума должны соответствовать цвету, рисунку и фактуре образца-эталона, согласованного с потребителем. Допускается отклонение от цвета не более 4 порогов цветоразличения.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Оттенки цвета основного фона и печатного рисунка в разных партиях не являются браковочным признаком. Не допускается разнооттеночность в пределах одной партии.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На лицевой поверхности линолеума не допускаются наплывы, вмятины, царапины, раковины, складки, пузыри, пятна, полосы, искажение рисунка и брызги от краски.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лицевой поверхности линолеума типов ВКП, ЭКП и ПРП количество посторонних включений или следов от них не должно быть более указанных в нормативных документах на пленку для лицевого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устанавливать качество лицевой поверхности по образцу-эталону, согласованному с потребителем.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Показатели физико-механических свойств линолеума должны соответствовать указанным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20"/>
      <w:bookmarkEnd w:id="11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20"/>
      <w:bookmarkStart w:id="13" w:name="sub_20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│    Значение для линолеума типа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ВКП       │        │   ВК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ЭКП       │  ПРЗ   │   ЭК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ПРП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Истираемостъ, мкм, не более        │     50         │ 90     │  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 остаточная  деформация,│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не более                       │      1,4       │  1,5   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линейных размеров, %,  не│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│        Для всех типов 1,5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связи   между   лицевым│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защитным   слоем   из      пленки и│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следующим слоем, Н/см, не менее    │      8,0   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связи между подосновой  и│      3,0       │   -    │ 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полимерным слоем, Н/см, не менее   │  (кроме ПРП)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            поверхностное│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сопротивление, Ом, не│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 │     Для всех типов 5 х 10(15)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Цветоустойчивость  и  равномерность│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для одноцветного линолеума,│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порог, не более                    │       4        │    -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снижения  уровня   ударного│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шума  (индекс  улучшения   изоляции│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ударного шума), дБ, не менее       │         Для всех типов 18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теплоусвоения, Вт/м2. К,│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      │         Для всех типов 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сварного шва,  Н/см2,  не│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 │        Для всех типов 294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(Исключен, Изм. N 1.)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Для линолеума должны быть определены следующие пожарно-технические характеристики: группа горючести, группа воспламеняемости, группа распространения пламени, группа дымообразующей способности и токсичности.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2.8-2.12. (Исключены,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300"/>
      <w:bookmarkEnd w:id="14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300"/>
      <w:bookmarkStart w:id="16" w:name="sub_30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Линолеум должен приниматься партиями. Партией следует считать количество линолеума одного типа, цвета, рисунка и фактуры, изготовленного за 1 сут на одной технологической линии. Количество линолеума менее суточной выработки также считают партией.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Качество линолеума проверяют по всем показателям путем проведения приемосдаточных и периодических испытаний в соответствии с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Периодическим испытаниям подвергают линолеум, прошедший приемосдаточные испытания.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30"/>
      <w:bookmarkEnd w:id="17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0"/>
      <w:bookmarkStart w:id="19" w:name="sub_30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│   Вид испытания    │ Периодичность контроля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├──────────┬─────────┤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приемосда-│периоди-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точный  │ ческий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├─────────────────────────┼──────────┼─────────┼────────────────────────┤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Правильность  упаковки  и│    +     │    -    │     Каждая партия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маркировки               │          │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и ширина           │    +     │    -    │         То же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общая            │    +     │    -    │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полимерного слоя │    +     │    -    │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Параллельность кромок    │    -     │    +    │     По требованию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потребителя, но не реже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раза в квартал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Цвет, рисунок, фактура   │    +     │    -    │     Каждая партия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          лицевой│    +     │    -    │         То же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  │          │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Истираемостъ    линолеума│          │         │         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типов:                   │          │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ВК; ЭК; ПРЗ              │    +     │    -    │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ВКП; ЭКП; ПРП            │     -    │    +    │   Для каждой партии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пленки, но не реже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раза в месяц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    остаточная│     -    │    +    │    Для каждого типа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               │          │         │    подосновы и при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изменении поставщика, 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реже одного раза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       линейных│    -     │    +    │При изменении рецептуры,│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         │          │         │но не реже одного раза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связи   между│    +     │    -    │     Каждая партия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лицевым защитным слоем из│          │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 и следующим слоем │          │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связи   между│    -     │    +    │     По требованию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подосновой  и  полимерным│          │         │потребителя, но не реже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                    │          │         │ одного раза в квартал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  поверхностное│    -     │    +    │При изменении рецептуры,│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           │          │         │но не реже одного раза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   │          │         │       полугодие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Цветоустойчивость       и│    -     │    +    │При изменении рецептуры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равномерность     окраски│          │         │ и постановке продукции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одноцветного линолеума   │          │         │    на производство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снижения   уровня│    -     │    +    │    Для каждого типа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ударного   шума   (индекс│          │         │    подосновы и при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улучшения        изоляции│          │         │  изменении поставщика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ударного шума)           │          │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теплоусвоения │    -     │    +    │         То же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сварного шва   │    -     │    +    │При изменении рецептуры,│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не реже одного раза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квартал (при условии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выпуска ковров)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Пожарно-технические      │    -     │    +    │При изменении рецептуры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         │          │         │ и постановке продукции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производство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└─────────────────────────┴──────────┴─────────┴────────────────────────┘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Пункты 3.2.1-3.2.4 (Исключены, Изм. N 1.)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3"/>
      <w:bookmarkEnd w:id="20"/>
      <w:r>
        <w:rPr>
          <w:rFonts w:cs="Arial" w:ascii="Arial" w:hAnsi="Arial"/>
          <w:sz w:val="20"/>
          <w:szCs w:val="20"/>
        </w:rPr>
        <w:t>3.3. Для проверки соответствия качества линолеума требованиям настоящего стандарта от партии случайным образцом отбирают три рулона или одну бобину, на которых проверяют маркировку, упаковку, размеры, количество полотен в рулоне, параллельность кромок, цвет, рисунок, фактуру и качество лицевой поверхности.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3"/>
      <w:bookmarkEnd w:id="21"/>
      <w:r>
        <w:rPr>
          <w:rFonts w:cs="Arial" w:ascii="Arial" w:hAnsi="Arial"/>
          <w:sz w:val="20"/>
          <w:szCs w:val="20"/>
        </w:rPr>
        <w:t>3.4. От одного рулона, прошедшего испытание по 3.3 настоящего стандарта, на расстоянии не менее 1 м от конца на всю ширину полотна отрезают полосы длиной, необходимой для изготовления образцов для всех видов испытаний, предусмотренных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отбирать куски линолеума непосредственно с технологической линии.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При неудовлетворительных результатах испытаний хотя бы по одному из показателей проводят по этому показателю повторные испытания удвоенного количества образцов, отобранных от двух других рулонов, прошедших испытания по 3.3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неудовлетворительных результатах повторных испытаний партия линолеума приемке не подлежит.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партии линолеума, не принятой по результатам испытаний по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>, допускается применять сплошной контроль (100%-ную разбраковку), при этом проверяется показатель, по которому не была принята партия.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рулонов, отобранных при сплошном контроле, формируется новая партия, которая предъявляется к приемке.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При неудовлетворительных результатах повторных периодических испытаний переходят к приемосдаточным испытаниям до получения положительных результатов не менее чем для пяти подряд изготовленных партий, после чего вновь переходят к периодическим испытаниям.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3.7, 3.7а и 3.8. (Исключены,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Потребитель имеет право проводить контрольную проверку линолеума, соблюдая при этом приведенный порядок отбора образцов и применяя указанные ниже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Каждая партия линолеума должна сопровождаться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линолеума в партии, число рулонов в шт.,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пожаро-технические характеристики.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400"/>
      <w:bookmarkEnd w:id="22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" w:name="sub_400"/>
      <w:bookmarkStart w:id="24" w:name="sub_400"/>
      <w:bookmarkEnd w:id="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Правильность упаковки и маркировки, размеры, параллельность кромок, цвет, рисунок, фактуру, качество лицевой поверхности, истираемость, абсолютную остаточную деформацию, изменение линейных размеров, прочность связи между лицевым защитным слоем из пленки и следующим слоем, прочность связи между подосновой и полимерным слоем, прочность сварного шва, удельное поверхностное электрическое сопротивление определяют по ГОСТ 11529-86.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Индекс снижения приведенного ударного шума определяют по ГОСТ 24210-80.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Показатель теплоусвоения определяют по ГОСТ 25609-83.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Равномерность окраски и цветоустойчивость одноцветного линолеума определяют по ГОСТ 11583-74.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Группу горючести определяют по ГОСТ 30244-94, группу воспламеняемости - по ГОСТ 30402-96, группу распространения пламени - по ГОСТ 30444-97/ГОСТ Р 51032-97, группу дымообразующей способности и токсичности - по ГОСТ 12.1.044-89.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500"/>
      <w:bookmarkEnd w:id="25"/>
      <w:r>
        <w:rPr>
          <w:rFonts w:cs="Arial" w:ascii="Arial" w:hAnsi="Arial"/>
          <w:b/>
          <w:bCs/>
          <w:sz w:val="20"/>
          <w:szCs w:val="20"/>
        </w:rPr>
        <w:t>5.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500"/>
      <w:bookmarkStart w:id="27" w:name="sub_500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Линолеум закатывают в рулоны на сердечник круглого сечения, лицевой стороной внутрь. Сердечник должен иметь диаметр 80-200 мм и по длине соответствовать ширине рулона.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Рулоны обертывают плотной бумагой в два слоя, полиэтиленовой пленкой или другим упаковочным материалом, перевязывают шпагатом или липкой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Упаковочные материалы должны соответствовать требованиям нормативно-технической документации, утвержденной в установленном порядке. К каждому упакованному рулону должен быть прикреплен образец линолеума.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Бобины линолеума не упаковывают.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 согласованию с потребителем допускается линолеум закатывать в рулоны лицевой стороной наружу и поставлять в упаковке, а закатанные лицевой поверхностью внутрь - без упаковки.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линолеум не наматывать на сердечник, соблюдая при этом условия транспортирования и хранения, предусмотренные настоящим стандартом.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В начале и в конце каждого рулона с нелицевой стороны полотна должен быть поставлен товарный знак или штамп ОТК, или бракера-упаковщика, или личное клеймо оператора.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изготовления линолеума на подоснове темного цвета штамп допускается наносить на лицевую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составного рулона маркировку наносят на нелицевой стороне с двух сторон каждого куска.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На нелицевой стороне линолеума, свернутого в рулон или бобины, и на упаковке рулона должны быть наклеены этикетки, в которых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линейные размеры полотна в рулоне;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линолеума в рулоне,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 или бракера;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краткие сведения о применении;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манипуляционный знак "Беречь от влаги" по ГОСТ 14192-96 и предупредительную надпись "Не бросать";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Транспортная маркировка - по ГОСТ 14192-86 с нанесением манипуляционного знака "Беречь от влаги" и предупредительной надписи "Не бросать".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5.6. (Исключены,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Линолеум транспортируют всеми видами транспорта в крытых транспортных средствах.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транспортировании, погрузке и выгрузке линолеума должны быть приняты меры, обеспечивающие его сохранность от повреждения, увлажнения и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Транспортируемые рулоны или бобины линолеума должны быть установлены в вертикальное положение в один ряд по высоте. Допускается транспортирование бобин в горизонтальном положении в два ряда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Рулоны или бобины линолеума должны храниться в сухом закрытом помещении при температуре не ниже плюс 10°С в вертикальном положении в один ряд по высоте. Допускается хранение бобин в горизонтальном положении в два ряда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хранения линолеума - один год с момента изготовления. По истечении указанного срока линолеум может быть использован только после его проверки на соответствие требованиям настоящего стандарта.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600"/>
      <w:bookmarkEnd w:id="28"/>
      <w:r>
        <w:rPr>
          <w:rFonts w:cs="Arial" w:ascii="Arial" w:hAnsi="Arial"/>
          <w:b/>
          <w:bCs/>
          <w:sz w:val="20"/>
          <w:szCs w:val="20"/>
        </w:rPr>
        <w:t>6. Указания по применению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600"/>
      <w:bookmarkStart w:id="30" w:name="sub_600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Распаковку рулонов или бобин линолеума необходимо производить при температуре не ниже плюс 15°С. В случае, если рулоны или бобины транспортировались при температуре от 0 до плюс 10°С, их следует раскатывать не ранее чем через 24 ч, а при температуре ниже 0°С - не ранее чем через 48 ч после переноса в теплое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Устройство полов с покрытием из линолеума следует производить в соответствии с требованиями СНиП 3.04.01-87 и инструкции по его применению.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полов из линолеума, изготовленного экструзионным способом, допускается приклейку к нижележащему слою не производить.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(Исключен,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700"/>
      <w:bookmarkEnd w:id="31"/>
      <w:r>
        <w:rPr>
          <w:rFonts w:cs="Arial" w:ascii="Arial" w:hAnsi="Arial"/>
          <w:b/>
          <w:bCs/>
          <w:sz w:val="20"/>
          <w:szCs w:val="20"/>
        </w:rPr>
        <w:t>7.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700"/>
      <w:bookmarkStart w:id="33" w:name="sub_700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На каждый тип линолеума в установленном порядке должен быть получен гигиенический сертификат.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По классификации ГОСТ 19433-88 покрытие не является опасным грузом.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Основными видами возможного опасного воздействия на окружающую среду являются загрязнения атмосферного воздуха населенных мест, почв и вод в результате неорганизованного сжигания и захоронения отходов линолеума на территории предприятия-изготовителя или вне его, а также произвольной свалки их в непредназначенных для этой цели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Отходы, образующиеся при изготовлении линолеума, строительстве и ремонте зданий и сооружений, подлежат утилизации на предприятии-изготовителе или вне его, вывозу на специальные полигоны промышленных отходов или организованному обезвреживанию в специальных, отведенных для этой цели,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2007-05-02T14:38:00Z</dcterms:created>
  <dc:creator>VIKTOR</dc:creator>
  <dc:description/>
  <dc:language>ru-RU</dc:language>
  <cp:lastModifiedBy>VIKTOR</cp:lastModifiedBy>
  <dcterms:modified xsi:type="dcterms:W3CDTF">2007-05-02T14:38:00Z</dcterms:modified>
  <cp:revision>2</cp:revision>
  <dc:subject/>
  <dc:title/>
</cp:coreProperties>
</file>